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sz w:val="44"/>
          <w:szCs w:val="44"/>
        </w:rPr>
      </w:pPr>
      <w:bookmarkStart w:id="0" w:name="_Hlk97806973"/>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bookmarkStart w:id="54" w:name="_GoBack"/>
      <w:bookmarkEnd w:id="54"/>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新疆喀什地区叶城县第二中学2021年度部门决算公开说明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第一部分部门单位概况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1" w:name="_Toc32314"/>
      <w:bookmarkStart w:id="2" w:name="_Toc24028"/>
      <w:r>
        <w:rPr>
          <w:rFonts w:hint="eastAsia" w:ascii="黑体" w:hAnsi="黑体" w:eastAsia="黑体"/>
          <w:sz w:val="32"/>
          <w:szCs w:val="32"/>
        </w:rPr>
        <w:t>第一部分 部门单位概况</w:t>
      </w:r>
      <w:bookmarkEnd w:id="1"/>
      <w:bookmarkEnd w:id="2"/>
    </w:p>
    <w:p>
      <w:pPr>
        <w:ind w:firstLine="640" w:firstLineChars="200"/>
        <w:outlineLvl w:val="1"/>
        <w:rPr>
          <w:rFonts w:ascii="黑体" w:hAnsi="黑体" w:eastAsia="黑体" w:cs="宋体"/>
          <w:bCs/>
          <w:kern w:val="0"/>
          <w:sz w:val="32"/>
          <w:szCs w:val="32"/>
        </w:rPr>
      </w:pPr>
      <w:bookmarkStart w:id="3" w:name="_Toc30567"/>
      <w:bookmarkStart w:id="4" w:name="_Toc30738"/>
      <w:r>
        <w:rPr>
          <w:rFonts w:hint="eastAsia" w:ascii="黑体" w:hAnsi="黑体" w:eastAsia="黑体" w:cs="宋体"/>
          <w:bCs/>
          <w:kern w:val="0"/>
          <w:sz w:val="32"/>
          <w:szCs w:val="32"/>
        </w:rPr>
        <w:t>一、主要职能</w:t>
      </w:r>
      <w:bookmarkEnd w:id="3"/>
      <w:bookmarkEnd w:id="4"/>
    </w:p>
    <w:p>
      <w:pPr>
        <w:rPr>
          <w:rFonts w:ascii="仿宋_GB2312" w:eastAsia="仿宋_GB2312"/>
          <w:sz w:val="32"/>
          <w:szCs w:val="32"/>
        </w:rPr>
      </w:pPr>
      <w:r>
        <w:rPr>
          <w:rFonts w:ascii="仿宋_GB2312" w:eastAsia="仿宋_GB2312"/>
          <w:sz w:val="32"/>
          <w:szCs w:val="32"/>
        </w:rPr>
        <w:t>　　1、宣传贯彻执行党和国家的教育方针、教育政策、教育法律和法规，贯彻执行上级教育行政部门的各项规章制度。</w:t>
      </w:r>
      <w:r>
        <w:rPr>
          <w:rFonts w:ascii="仿宋_GB2312" w:eastAsia="仿宋_GB2312"/>
          <w:sz w:val="32"/>
          <w:szCs w:val="32"/>
        </w:rPr>
        <w:br w:type="textWrapping"/>
      </w:r>
      <w:r>
        <w:rPr>
          <w:rFonts w:ascii="仿宋_GB2312" w:eastAsia="仿宋_GB2312"/>
          <w:sz w:val="32"/>
          <w:szCs w:val="32"/>
        </w:rPr>
        <w:t>　　2、在政府和上级教育主管部门的领导下，争取资金改善办学条件，为师生的学习和工作提供优美和谐的环境。</w:t>
      </w:r>
      <w:r>
        <w:rPr>
          <w:rFonts w:ascii="仿宋_GB2312" w:eastAsia="仿宋_GB2312"/>
          <w:sz w:val="32"/>
          <w:szCs w:val="32"/>
        </w:rPr>
        <w:br w:type="textWrapping"/>
      </w:r>
      <w:r>
        <w:rPr>
          <w:rFonts w:ascii="仿宋_GB2312" w:eastAsia="仿宋_GB2312"/>
          <w:sz w:val="32"/>
          <w:szCs w:val="32"/>
        </w:rPr>
        <w:t>　　3、根据县级人民政府制定的教育事业发展规划，结合实际制定并组织实施本校的教育事业发展规划。在政府的领导下，全面开展普及九年义务教育，组织教师动员适龄儿童，少年就近入学。</w:t>
      </w:r>
      <w:r>
        <w:rPr>
          <w:rFonts w:ascii="仿宋_GB2312" w:eastAsia="仿宋_GB2312"/>
          <w:sz w:val="32"/>
          <w:szCs w:val="32"/>
        </w:rPr>
        <w:br w:type="textWrapping"/>
      </w:r>
      <w:r>
        <w:rPr>
          <w:rFonts w:ascii="仿宋_GB2312" w:eastAsia="仿宋_GB2312"/>
          <w:sz w:val="32"/>
          <w:szCs w:val="32"/>
        </w:rPr>
        <w:t>　　4、组织开展教育教学科研和教育教学改革，以科学的发展和以人为本的管理理念注重学生的全面发展</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5" w:name="_Toc31238"/>
      <w:bookmarkStart w:id="6" w:name="_Toc2151"/>
      <w:r>
        <w:rPr>
          <w:rFonts w:hint="eastAsia" w:ascii="黑体" w:hAnsi="黑体" w:eastAsia="黑体" w:cs="宋体"/>
          <w:bCs/>
          <w:kern w:val="0"/>
          <w:sz w:val="32"/>
          <w:szCs w:val="32"/>
        </w:rPr>
        <w:t>二、机构设置及</w:t>
      </w:r>
      <w:bookmarkEnd w:id="5"/>
      <w:r>
        <w:rPr>
          <w:rFonts w:hint="eastAsia" w:ascii="黑体" w:hAnsi="黑体" w:eastAsia="黑体" w:cs="宋体"/>
          <w:bCs/>
          <w:kern w:val="0"/>
          <w:sz w:val="32"/>
          <w:szCs w:val="32"/>
        </w:rPr>
        <w:t>人员情况</w:t>
      </w:r>
      <w:bookmarkEnd w:id="6"/>
    </w:p>
    <w:p>
      <w:pPr>
        <w:ind w:firstLine="640" w:firstLineChars="200"/>
        <w:rPr>
          <w:rFonts w:ascii="仿宋_GB2312" w:eastAsia="仿宋_GB2312"/>
          <w:sz w:val="32"/>
          <w:szCs w:val="32"/>
        </w:rPr>
      </w:pPr>
      <w:r>
        <w:rPr>
          <w:rFonts w:hint="eastAsia" w:ascii="仿宋_GB2312" w:eastAsia="仿宋_GB2312"/>
          <w:sz w:val="32"/>
          <w:szCs w:val="32"/>
        </w:rPr>
        <w:t>新疆喀什地区叶城县第二中学</w:t>
      </w:r>
      <w:r>
        <w:rPr>
          <w:rFonts w:ascii="仿宋_GB2312" w:eastAsia="仿宋_GB2312"/>
          <w:sz w:val="32"/>
          <w:szCs w:val="32"/>
        </w:rPr>
        <w:t>2021</w:t>
      </w:r>
      <w:r>
        <w:rPr>
          <w:rFonts w:hint="eastAsia" w:ascii="仿宋_GB2312" w:eastAsia="仿宋_GB2312"/>
          <w:sz w:val="32"/>
          <w:szCs w:val="32"/>
        </w:rPr>
        <w:t>年度，实有人数</w:t>
      </w:r>
      <w:r>
        <w:rPr>
          <w:rFonts w:ascii="仿宋_GB2312" w:eastAsia="仿宋_GB2312"/>
          <w:sz w:val="32"/>
          <w:szCs w:val="32"/>
        </w:rPr>
        <w:t>196</w:t>
      </w:r>
      <w:r>
        <w:rPr>
          <w:rFonts w:hint="eastAsia" w:ascii="仿宋_GB2312" w:eastAsia="仿宋_GB2312"/>
          <w:sz w:val="32"/>
          <w:szCs w:val="32"/>
        </w:rPr>
        <w:t>人，其中：在职人员</w:t>
      </w:r>
      <w:r>
        <w:rPr>
          <w:rFonts w:ascii="仿宋_GB2312" w:eastAsia="仿宋_GB2312"/>
          <w:sz w:val="32"/>
          <w:szCs w:val="32"/>
        </w:rPr>
        <w:t>150</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46</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从部门决算单位构成看，新疆喀什地区叶城县第二中学部门决算包括：新疆喀什地区叶城县第二中学决算。</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5</w:t>
      </w:r>
      <w:r>
        <w:rPr>
          <w:rFonts w:hint="eastAsia" w:ascii="仿宋_GB2312" w:hAnsi="黑体" w:eastAsia="仿宋_GB2312" w:cs="宋体"/>
          <w:bCs/>
          <w:kern w:val="0"/>
          <w:sz w:val="32"/>
          <w:szCs w:val="32"/>
        </w:rPr>
        <w:t>个处室，分别是：书记校长办公室、总务室、党建办、教务处、财务人事办公室</w:t>
      </w:r>
      <w:r>
        <w:rPr>
          <w:rFonts w:hint="eastAsia" w:ascii="仿宋_GB2312" w:hAnsi="宋体" w:eastAsia="仿宋_GB2312" w:cs="宋体"/>
          <w:kern w:val="0"/>
          <w:sz w:val="32"/>
          <w:szCs w:val="32"/>
        </w:rPr>
        <w:t>。</w:t>
      </w:r>
    </w:p>
    <w:p>
      <w:pPr>
        <w:rPr>
          <w:rFonts w:ascii="Arial" w:hAnsi="Arial" w:cs="Arial"/>
          <w:color w:val="4D4D4D"/>
          <w:shd w:val="clear" w:color="auto" w:fill="FFFFFF"/>
        </w:rPr>
      </w:pPr>
      <w:r>
        <w:rPr>
          <w:rFonts w:ascii="Arial" w:hAnsi="Arial" w:cs="Arial"/>
          <w:color w:val="4D4D4D"/>
          <w:shd w:val="clear" w:color="auto" w:fill="FFFFFF"/>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 部门决算情况说明</w:t>
      </w:r>
    </w:p>
    <w:p>
      <w:pPr>
        <w:ind w:firstLine="640" w:firstLineChars="200"/>
        <w:outlineLvl w:val="1"/>
        <w:rPr>
          <w:rFonts w:ascii="黑体" w:hAnsi="黑体" w:eastAsia="黑体" w:cs="宋体"/>
          <w:bCs/>
          <w:kern w:val="0"/>
          <w:sz w:val="32"/>
          <w:szCs w:val="32"/>
        </w:rPr>
      </w:pPr>
      <w:bookmarkStart w:id="7" w:name="_Toc12566"/>
      <w:bookmarkStart w:id="8" w:name="_Toc25314"/>
      <w:bookmarkStart w:id="9" w:name="_Hlk97807141"/>
      <w:r>
        <w:rPr>
          <w:rFonts w:hint="eastAsia" w:ascii="黑体" w:hAnsi="黑体" w:eastAsia="黑体" w:cs="宋体"/>
          <w:bCs/>
          <w:kern w:val="0"/>
          <w:sz w:val="32"/>
          <w:szCs w:val="32"/>
        </w:rPr>
        <w:t>一、收入支出决算总体情况说明</w:t>
      </w:r>
      <w:bookmarkEnd w:id="7"/>
      <w:bookmarkEnd w:id="8"/>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2,991.76</w:t>
      </w:r>
      <w:r>
        <w:rPr>
          <w:rFonts w:hint="eastAsia" w:ascii="仿宋_GB2312" w:eastAsia="仿宋_GB2312"/>
          <w:sz w:val="32"/>
          <w:szCs w:val="32"/>
        </w:rPr>
        <w:t>万元，与上年相比，增加362.26万元，</w:t>
      </w:r>
      <w:r>
        <w:rPr>
          <w:rFonts w:ascii="仿宋_GB2312" w:eastAsia="仿宋_GB2312"/>
          <w:sz w:val="32"/>
          <w:szCs w:val="32"/>
        </w:rPr>
        <w:t>增长13.78</w:t>
      </w:r>
      <w:r>
        <w:rPr>
          <w:rFonts w:hint="eastAsia" w:ascii="仿宋_GB2312" w:eastAsia="仿宋_GB2312"/>
          <w:sz w:val="32"/>
          <w:szCs w:val="32"/>
        </w:rPr>
        <w:t>%，主要原因是：本年度教师人数及学生人数增加，人员经费及办公经费增加。本年支出</w:t>
      </w:r>
      <w:r>
        <w:rPr>
          <w:rFonts w:ascii="仿宋_GB2312" w:eastAsia="仿宋_GB2312"/>
          <w:sz w:val="32"/>
          <w:szCs w:val="32"/>
        </w:rPr>
        <w:t>2,991.76</w:t>
      </w:r>
      <w:r>
        <w:rPr>
          <w:rFonts w:hint="eastAsia" w:ascii="仿宋_GB2312" w:eastAsia="仿宋_GB2312"/>
          <w:sz w:val="32"/>
          <w:szCs w:val="32"/>
        </w:rPr>
        <w:t>万元，与上年相比，</w:t>
      </w:r>
      <w:r>
        <w:rPr>
          <w:rFonts w:ascii="仿宋_GB2312" w:eastAsia="仿宋_GB2312"/>
          <w:sz w:val="32"/>
          <w:szCs w:val="32"/>
        </w:rPr>
        <w:t>增加362.19</w:t>
      </w:r>
      <w:r>
        <w:rPr>
          <w:rFonts w:hint="eastAsia" w:ascii="仿宋_GB2312" w:eastAsia="仿宋_GB2312"/>
          <w:sz w:val="32"/>
          <w:szCs w:val="32"/>
        </w:rPr>
        <w:t>万元，</w:t>
      </w:r>
      <w:r>
        <w:rPr>
          <w:rFonts w:ascii="仿宋_GB2312" w:eastAsia="仿宋_GB2312"/>
          <w:sz w:val="32"/>
          <w:szCs w:val="32"/>
        </w:rPr>
        <w:t>增长13.77</w:t>
      </w:r>
      <w:r>
        <w:rPr>
          <w:rFonts w:hint="eastAsia" w:ascii="仿宋_GB2312" w:eastAsia="仿宋_GB2312"/>
          <w:sz w:val="32"/>
          <w:szCs w:val="32"/>
        </w:rPr>
        <w:t>%，主要原因是：本年度教师人数及学生人数增加，人员经费及办公经费增加。</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2,991.76</w:t>
      </w:r>
      <w:r>
        <w:rPr>
          <w:rFonts w:hint="eastAsia" w:ascii="仿宋_GB2312" w:eastAsia="仿宋_GB2312"/>
          <w:sz w:val="32"/>
          <w:szCs w:val="32"/>
        </w:rPr>
        <w:t>万元，其中：财政拨款收入</w:t>
      </w:r>
      <w:r>
        <w:rPr>
          <w:rFonts w:ascii="仿宋_GB2312" w:eastAsia="仿宋_GB2312"/>
          <w:sz w:val="32"/>
          <w:szCs w:val="32"/>
        </w:rPr>
        <w:t>2,991.76</w:t>
      </w:r>
      <w:r>
        <w:rPr>
          <w:rFonts w:hint="eastAsia" w:ascii="仿宋_GB2312" w:eastAsia="仿宋_GB2312"/>
          <w:sz w:val="32"/>
          <w:szCs w:val="32"/>
        </w:rPr>
        <w:t>万元，占100.00%；上级补助收入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0.00</w:t>
      </w:r>
      <w:r>
        <w:rPr>
          <w:rFonts w:hint="eastAsia" w:ascii="仿宋_GB2312" w:eastAsia="仿宋_GB2312"/>
          <w:sz w:val="32"/>
          <w:szCs w:val="32"/>
        </w:rPr>
        <w:t>万元，占0.00%。</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年度本年支出2,991.76万元，其中：基本支出</w:t>
      </w:r>
      <w:r>
        <w:rPr>
          <w:rFonts w:ascii="仿宋_GB2312" w:eastAsia="仿宋_GB2312"/>
          <w:sz w:val="32"/>
          <w:szCs w:val="32"/>
        </w:rPr>
        <w:t>2,510.56</w:t>
      </w:r>
      <w:r>
        <w:rPr>
          <w:rFonts w:hint="eastAsia" w:ascii="仿宋_GB2312" w:eastAsia="仿宋_GB2312"/>
          <w:sz w:val="32"/>
          <w:szCs w:val="32"/>
        </w:rPr>
        <w:t>万元，占83.92%；项目支出</w:t>
      </w:r>
      <w:r>
        <w:rPr>
          <w:rFonts w:ascii="仿宋_GB2312" w:eastAsia="仿宋_GB2312"/>
          <w:sz w:val="32"/>
          <w:szCs w:val="32"/>
        </w:rPr>
        <w:t>481.20</w:t>
      </w:r>
      <w:r>
        <w:rPr>
          <w:rFonts w:hint="eastAsia" w:ascii="仿宋_GB2312" w:eastAsia="仿宋_GB2312"/>
          <w:sz w:val="32"/>
          <w:szCs w:val="32"/>
        </w:rPr>
        <w:t>万元，占16.08%；上缴上级支出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bookmarkEnd w:id="9"/>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财政拨款收入2,991.76万元，与上年相比，增加362.26万元，增长13.78%，主要原因是：本年度教师人数及学生人数增加，人员经费及办公经费增加。财政拨款支出2,991.76万元，与上年相比，增加362.19万元，增长13.77%，主要原</w:t>
      </w:r>
      <w:r>
        <w:rPr>
          <w:rFonts w:hint="eastAsia" w:ascii="仿宋_GB2312" w:eastAsia="仿宋_GB2312"/>
          <w:color w:val="auto"/>
          <w:sz w:val="32"/>
          <w:szCs w:val="32"/>
        </w:rPr>
        <w:t>因是：本年度教师人数及学生人数增加</w:t>
      </w:r>
      <w:r>
        <w:rPr>
          <w:rFonts w:hint="eastAsia" w:ascii="仿宋_GB2312" w:eastAsia="仿宋_GB2312"/>
          <w:color w:val="auto"/>
          <w:sz w:val="32"/>
          <w:szCs w:val="32"/>
          <w:lang w:eastAsia="zh-CN"/>
        </w:rPr>
        <w:t>。</w:t>
      </w:r>
      <w:r>
        <w:rPr>
          <w:rFonts w:hint="eastAsia" w:ascii="仿宋_GB2312" w:eastAsia="仿宋_GB2312"/>
          <w:color w:val="auto"/>
          <w:sz w:val="32"/>
          <w:szCs w:val="32"/>
        </w:rPr>
        <w:t>与</w:t>
      </w:r>
      <w:r>
        <w:rPr>
          <w:rFonts w:hint="eastAsia" w:ascii="仿宋_GB2312" w:eastAsia="仿宋_GB2312"/>
          <w:sz w:val="32"/>
          <w:szCs w:val="32"/>
        </w:rPr>
        <w:t>年初预算数相比情况：财政拨款收入年初预算数</w:t>
      </w:r>
      <w:r>
        <w:rPr>
          <w:rFonts w:ascii="仿宋_GB2312" w:eastAsia="仿宋_GB2312"/>
          <w:sz w:val="32"/>
          <w:szCs w:val="32"/>
        </w:rPr>
        <w:t>2,335.04</w:t>
      </w:r>
      <w:r>
        <w:rPr>
          <w:rFonts w:hint="eastAsia" w:ascii="仿宋_GB2312" w:eastAsia="仿宋_GB2312"/>
          <w:sz w:val="32"/>
          <w:szCs w:val="32"/>
        </w:rPr>
        <w:t>万元，决算数</w:t>
      </w:r>
      <w:r>
        <w:rPr>
          <w:rFonts w:ascii="仿宋_GB2312" w:eastAsia="仿宋_GB2312"/>
          <w:sz w:val="32"/>
          <w:szCs w:val="32"/>
        </w:rPr>
        <w:t>2,991.76</w:t>
      </w:r>
      <w:r>
        <w:rPr>
          <w:rFonts w:hint="eastAsia" w:ascii="仿宋_GB2312" w:eastAsia="仿宋_GB2312"/>
          <w:sz w:val="32"/>
          <w:szCs w:val="32"/>
        </w:rPr>
        <w:t>万元，预决算差异率</w:t>
      </w:r>
      <w:r>
        <w:rPr>
          <w:rFonts w:ascii="仿宋_GB2312" w:eastAsia="仿宋_GB2312"/>
          <w:sz w:val="32"/>
          <w:szCs w:val="32"/>
        </w:rPr>
        <w:t>28.12</w:t>
      </w:r>
      <w:r>
        <w:rPr>
          <w:rFonts w:hint="eastAsia" w:ascii="仿宋_GB2312" w:eastAsia="仿宋_GB2312"/>
          <w:sz w:val="32"/>
          <w:szCs w:val="32"/>
        </w:rPr>
        <w:t>%，主要原因是：在职人员职务职级晋升，基本工资调整，人员工资福利增加，教职工人数及学生数增加，未做到年初预算，年末追加预算，导致预决算存在差异。财政拨款支出年初预算数</w:t>
      </w:r>
      <w:r>
        <w:rPr>
          <w:rFonts w:ascii="仿宋_GB2312" w:eastAsia="仿宋_GB2312"/>
          <w:sz w:val="32"/>
          <w:szCs w:val="32"/>
        </w:rPr>
        <w:t>2,335.04</w:t>
      </w:r>
      <w:r>
        <w:rPr>
          <w:rFonts w:hint="eastAsia" w:ascii="仿宋_GB2312" w:eastAsia="仿宋_GB2312"/>
          <w:sz w:val="32"/>
          <w:szCs w:val="32"/>
        </w:rPr>
        <w:t>万元，决算数</w:t>
      </w:r>
      <w:r>
        <w:rPr>
          <w:rFonts w:ascii="仿宋_GB2312" w:eastAsia="仿宋_GB2312"/>
          <w:sz w:val="32"/>
          <w:szCs w:val="32"/>
        </w:rPr>
        <w:t>2,991.76</w:t>
      </w:r>
      <w:r>
        <w:rPr>
          <w:rFonts w:hint="eastAsia" w:ascii="仿宋_GB2312" w:eastAsia="仿宋_GB2312"/>
          <w:sz w:val="32"/>
          <w:szCs w:val="32"/>
        </w:rPr>
        <w:t>万元，预决算差异率28.12%，主要原因是：在职人员职务职级晋升，基本工资调整，人员工资福利增加，教职工人数及学生数增加，未做年初预算，年末追加预算，导致预决算存在差异。</w:t>
      </w:r>
    </w:p>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年度一般公共预算财政拨款支出2,991.76万元。按功能分类科目项级科目公开，其中：</w:t>
      </w:r>
    </w:p>
    <w:p>
      <w:pPr>
        <w:jc w:val="left"/>
        <w:rPr>
          <w:rFonts w:ascii="仿宋_GB2312" w:eastAsia="仿宋_GB2312"/>
          <w:sz w:val="32"/>
          <w:szCs w:val="32"/>
        </w:rPr>
      </w:pPr>
      <w:bookmarkStart w:id="18" w:name="_Toc11146"/>
      <w:bookmarkStart w:id="19" w:name="_Toc30870"/>
      <w:r>
        <w:rPr>
          <w:rFonts w:ascii="仿宋_GB2312" w:eastAsia="仿宋_GB2312"/>
          <w:sz w:val="32"/>
          <w:szCs w:val="32"/>
        </w:rPr>
        <w:tab/>
      </w:r>
      <w:r>
        <w:rPr>
          <w:rFonts w:ascii="仿宋_GB2312" w:eastAsia="仿宋_GB2312"/>
          <w:sz w:val="32"/>
          <w:szCs w:val="32"/>
        </w:rPr>
        <w:t xml:space="preserve"> 2050203初中教育2,468.76万元；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2050204高中教育286.67万元；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2080505机关事业单位基本养老保险缴费支出236.22万元；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2080506机关事业单位职业年金缴费支出0.11万元。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w:t>
      </w: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年度一般公共预算财政拨款基本支出</w:t>
      </w:r>
      <w:r>
        <w:rPr>
          <w:rFonts w:ascii="仿宋_GB2312" w:eastAsia="仿宋_GB2312"/>
          <w:sz w:val="32"/>
          <w:szCs w:val="32"/>
        </w:rPr>
        <w:t>2,510.56</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2,510.56</w:t>
      </w:r>
      <w:r>
        <w:rPr>
          <w:rFonts w:hint="eastAsia" w:ascii="仿宋_GB2312" w:eastAsia="仿宋_GB2312"/>
          <w:sz w:val="32"/>
          <w:szCs w:val="32"/>
        </w:rPr>
        <w:t>万元，包括：基本工资、津贴补贴、奖金、绩效工资、机关事业单位基本养老保险缴费、职业年金缴费、职工基本医疗保险缴费、其他社会保障缴费、住房公积金、退休费、生活补助、奖励金</w:t>
      </w:r>
      <w:r>
        <w:rPr>
          <w:rFonts w:hint="eastAsia" w:ascii="仿宋_GB2312" w:hAnsi="宋体" w:eastAsia="仿宋_GB2312" w:cs="宋体"/>
          <w:kern w:val="0"/>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公用经费0.00万元，包括：无公用经费</w:t>
      </w:r>
      <w:r>
        <w:rPr>
          <w:rFonts w:hint="eastAsia" w:ascii="仿宋_GB2312" w:hAnsi="宋体" w:eastAsia="仿宋_GB2312" w:cs="宋体"/>
          <w:kern w:val="0"/>
          <w:sz w:val="32"/>
          <w:szCs w:val="32"/>
        </w:rPr>
        <w:t>。</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2021年度一般公共预算“三公”经费支出决算0.00万元，比上年增加0.00万元，增长0.00%，主要原因是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我单位无一般公共预算“三公”经费支出。其中</w:t>
      </w:r>
      <w:r>
        <w:rPr>
          <w:rFonts w:hint="eastAsia" w:ascii="仿宋_GB2312" w:eastAsia="仿宋_GB2312"/>
          <w:sz w:val="32"/>
          <w:szCs w:val="32"/>
          <w:lang w:eastAsia="zh-CN"/>
        </w:rPr>
        <w:t>：</w:t>
      </w:r>
      <w:r>
        <w:rPr>
          <w:rFonts w:ascii="仿宋_GB2312" w:eastAsia="仿宋_GB2312"/>
          <w:sz w:val="32"/>
          <w:szCs w:val="32"/>
        </w:rPr>
        <w:t>因公出国（境）费支出0.00万元，占0.00%，比上年增加0.00万元，增长0.00%，主要原因是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因公出国（境）费；公务用车购置及运行维护费支出0.00万元，占0.00%，比上年增加0.00万元，增长0.00%，主要原因是：我单位无公务用车购置及运行维护费；公务接待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我单位无公务接待费。具体情况如下：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w:t>
      </w:r>
      <w:r>
        <w:rPr>
          <w:rFonts w:hint="eastAsia" w:ascii="仿宋_GB2312" w:eastAsia="仿宋_GB2312"/>
          <w:sz w:val="32"/>
          <w:szCs w:val="32"/>
          <w:lang w:eastAsia="zh-CN"/>
        </w:rPr>
        <w:t>：</w:t>
      </w:r>
      <w:r>
        <w:rPr>
          <w:rFonts w:hint="eastAsia" w:ascii="仿宋_GB2312" w:eastAsia="仿宋_GB2312"/>
          <w:sz w:val="32"/>
          <w:szCs w:val="32"/>
        </w:rPr>
        <w:t>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万元，预决算差异率0.00%，主要原因是：我单位无一般公共预算“三公”经费支出。</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费预算数0.00万元，决算数0.00万元，预决算差异率0.00%，主要原因是：我单位无公务用车购置费；</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hint="eastAsia" w:ascii="仿宋_GB2312" w:hAnsi="宋体" w:eastAsia="仿宋_GB2312"/>
          <w:kern w:val="0"/>
          <w:sz w:val="32"/>
          <w:szCs w:val="32"/>
          <w:lang w:eastAsia="zh-CN"/>
        </w:rPr>
      </w:pPr>
      <w:r>
        <w:rPr>
          <w:rFonts w:hint="eastAsia" w:ascii="仿宋_GB2312" w:hAnsi="宋体" w:eastAsia="仿宋_GB2312"/>
          <w:kern w:val="0"/>
          <w:sz w:val="32"/>
          <w:szCs w:val="32"/>
        </w:rPr>
        <w:t>我单位本年度无政府性基金预算财政拨款收入支出，政府性基金预算财政拨款收入支出决算表为空表</w:t>
      </w:r>
      <w:r>
        <w:rPr>
          <w:rFonts w:hint="eastAsia" w:ascii="仿宋_GB2312" w:hAnsi="宋体" w:eastAsia="仿宋_GB2312"/>
          <w:kern w:val="0"/>
          <w:sz w:val="32"/>
          <w:szCs w:val="32"/>
          <w:lang w:eastAsia="zh-CN"/>
        </w:rPr>
        <w:t>。</w:t>
      </w:r>
    </w:p>
    <w:p>
      <w:pPr>
        <w:ind w:firstLine="640" w:firstLineChars="200"/>
        <w:rPr>
          <w:rFonts w:ascii="仿宋_GB2312" w:eastAsia="仿宋_GB2312"/>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Arial" w:hAnsi="Arial" w:cs="Arial"/>
          <w:color w:val="4D4D4D"/>
          <w:shd w:val="clear" w:color="auto" w:fill="FFFFFF"/>
        </w:rPr>
      </w:pPr>
      <w:r>
        <w:rPr>
          <w:rFonts w:hint="eastAsia" w:ascii="仿宋_GB2312" w:eastAsia="仿宋_GB2312"/>
          <w:sz w:val="32"/>
          <w:szCs w:val="32"/>
        </w:rPr>
        <w:t>我单位本年度无国有资本经营预算财政拨款收入支出，国有资本经营预算财政拨款收入支出决算表为空表。</w:t>
      </w:r>
    </w:p>
    <w:p>
      <w:pPr>
        <w:ind w:firstLine="640" w:firstLineChars="200"/>
        <w:outlineLvl w:val="1"/>
        <w:rPr>
          <w:rFonts w:ascii="黑体" w:hAnsi="黑体" w:eastAsia="黑体" w:cs="宋体"/>
          <w:bCs/>
          <w:kern w:val="0"/>
          <w:sz w:val="32"/>
          <w:szCs w:val="32"/>
        </w:rPr>
      </w:pPr>
      <w:bookmarkStart w:id="24" w:name="_Toc1235"/>
      <w:bookmarkStart w:id="25" w:name="_Toc7314"/>
      <w:r>
        <w:rPr>
          <w:rFonts w:hint="eastAsia" w:ascii="黑体" w:hAnsi="黑体" w:eastAsia="黑体" w:cs="宋体"/>
          <w:bCs/>
          <w:kern w:val="0"/>
          <w:sz w:val="32"/>
          <w:szCs w:val="32"/>
        </w:rPr>
        <w:t>十、其他重要事项的情况说明</w:t>
      </w:r>
      <w:bookmarkEnd w:id="24"/>
      <w:bookmarkEnd w:id="25"/>
    </w:p>
    <w:p>
      <w:pPr>
        <w:ind w:firstLine="640" w:firstLineChars="200"/>
        <w:outlineLvl w:val="2"/>
        <w:rPr>
          <w:rFonts w:hint="eastAsia" w:ascii="黑体" w:hAnsi="黑体" w:eastAsia="黑体"/>
          <w:sz w:val="32"/>
          <w:szCs w:val="32"/>
        </w:rPr>
      </w:pPr>
      <w:bookmarkStart w:id="26" w:name="_Toc14519"/>
      <w:bookmarkStart w:id="27" w:name="_Toc13105"/>
      <w:r>
        <w:rPr>
          <w:rFonts w:hint="eastAsia" w:ascii="黑体" w:hAnsi="黑体" w:eastAsia="黑体"/>
          <w:sz w:val="32"/>
          <w:szCs w:val="32"/>
        </w:rPr>
        <w:t>（一）机关运行经费支出情况</w:t>
      </w:r>
      <w:bookmarkEnd w:id="26"/>
      <w:bookmarkEnd w:id="27"/>
    </w:p>
    <w:p>
      <w:pPr>
        <w:ind w:firstLine="640" w:firstLineChars="200"/>
        <w:outlineLvl w:val="2"/>
        <w:rPr>
          <w:rFonts w:ascii="黑体" w:hAnsi="黑体" w:eastAsia="黑体"/>
          <w:sz w:val="32"/>
          <w:szCs w:val="32"/>
        </w:rPr>
      </w:pPr>
      <w:r>
        <w:rPr>
          <w:rFonts w:hint="eastAsia" w:ascii="仿宋_GB2312" w:eastAsia="仿宋_GB2312"/>
          <w:sz w:val="32"/>
          <w:szCs w:val="32"/>
        </w:rPr>
        <w:t>2021年度新疆喀什地区叶城县第二中学（事业单位）公用经费0.00万元，比</w:t>
      </w:r>
      <w:r>
        <w:rPr>
          <w:rFonts w:hint="eastAsia" w:ascii="仿宋_GB2312" w:eastAsia="仿宋_GB2312"/>
          <w:sz w:val="32"/>
          <w:szCs w:val="32"/>
          <w:lang w:val="en-US" w:eastAsia="zh-CN"/>
        </w:rPr>
        <w:t>上年</w:t>
      </w:r>
      <w:r>
        <w:rPr>
          <w:rFonts w:hint="eastAsia" w:ascii="仿宋_GB2312" w:eastAsia="仿宋_GB2312"/>
          <w:sz w:val="32"/>
          <w:szCs w:val="32"/>
        </w:rPr>
        <w:t>增加0.00</w:t>
      </w:r>
      <w:r>
        <w:rPr>
          <w:rFonts w:hint="eastAsia" w:ascii="仿宋_GB2312" w:eastAsia="仿宋_GB2312"/>
          <w:sz w:val="32"/>
          <w:szCs w:val="32"/>
          <w:lang w:val="en-US" w:eastAsia="zh-CN"/>
        </w:rPr>
        <w:t>万</w:t>
      </w:r>
      <w:r>
        <w:rPr>
          <w:rFonts w:hint="eastAsia" w:ascii="仿宋_GB2312" w:eastAsia="仿宋_GB2312"/>
          <w:sz w:val="32"/>
          <w:szCs w:val="32"/>
        </w:rPr>
        <w:t>元，增长0.00%，主要原因是：财政年初未安排公用经费支出。</w:t>
      </w:r>
    </w:p>
    <w:p>
      <w:pPr>
        <w:ind w:firstLine="640" w:firstLineChars="200"/>
        <w:outlineLvl w:val="2"/>
        <w:rPr>
          <w:rFonts w:hint="eastAsia" w:ascii="黑体" w:hAnsi="黑体" w:eastAsia="黑体"/>
          <w:sz w:val="32"/>
          <w:szCs w:val="32"/>
        </w:rPr>
      </w:pPr>
      <w:bookmarkStart w:id="28" w:name="_Toc227"/>
      <w:bookmarkStart w:id="29" w:name="_Toc26704"/>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2021年度政府采购支出总额</w:t>
      </w:r>
      <w:r>
        <w:rPr>
          <w:rFonts w:ascii="仿宋_GB2312" w:eastAsia="仿宋_GB2312"/>
          <w:sz w:val="32"/>
          <w:szCs w:val="32"/>
        </w:rPr>
        <w:t>36.96</w:t>
      </w:r>
      <w:r>
        <w:rPr>
          <w:rFonts w:hint="eastAsia" w:ascii="仿宋_GB2312" w:eastAsia="仿宋_GB2312"/>
          <w:sz w:val="32"/>
          <w:szCs w:val="32"/>
        </w:rPr>
        <w:t>万元，其中：政府采购货物支出</w:t>
      </w:r>
      <w:r>
        <w:rPr>
          <w:rFonts w:ascii="仿宋_GB2312" w:eastAsia="仿宋_GB2312"/>
          <w:sz w:val="32"/>
          <w:szCs w:val="32"/>
        </w:rPr>
        <w:t>34.74</w:t>
      </w:r>
      <w:r>
        <w:rPr>
          <w:rFonts w:hint="eastAsia" w:ascii="仿宋_GB2312" w:eastAsia="仿宋_GB2312"/>
          <w:sz w:val="32"/>
          <w:szCs w:val="32"/>
        </w:rPr>
        <w:t>万元、政府采购工程支出</w:t>
      </w:r>
      <w:r>
        <w:rPr>
          <w:rFonts w:ascii="仿宋_GB2312" w:eastAsia="仿宋_GB2312"/>
          <w:sz w:val="32"/>
          <w:szCs w:val="32"/>
        </w:rPr>
        <w:t>2.22</w:t>
      </w:r>
      <w:r>
        <w:rPr>
          <w:rFonts w:hint="eastAsia" w:ascii="仿宋_GB2312" w:eastAsia="仿宋_GB2312"/>
          <w:sz w:val="32"/>
          <w:szCs w:val="32"/>
        </w:rPr>
        <w:t>万元、政府采购服务支出</w:t>
      </w:r>
      <w:r>
        <w:rPr>
          <w:rFonts w:ascii="仿宋_GB2312" w:eastAsia="仿宋_GB2312"/>
          <w:sz w:val="32"/>
          <w:szCs w:val="32"/>
        </w:rPr>
        <w:t>0.00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36.96</w:t>
      </w:r>
      <w:r>
        <w:rPr>
          <w:rFonts w:hint="eastAsia" w:ascii="仿宋_GB2312" w:eastAsia="仿宋_GB2312"/>
          <w:sz w:val="32"/>
          <w:szCs w:val="32"/>
        </w:rPr>
        <w:t>万元，占政府采购支出总额的</w:t>
      </w:r>
      <w:r>
        <w:rPr>
          <w:rFonts w:ascii="仿宋_GB2312" w:eastAsia="仿宋_GB2312"/>
          <w:sz w:val="32"/>
          <w:szCs w:val="32"/>
        </w:rPr>
        <w:t>100.00</w:t>
      </w:r>
      <w:r>
        <w:rPr>
          <w:rFonts w:hint="eastAsia" w:ascii="仿宋_GB2312" w:eastAsia="仿宋_GB2312"/>
          <w:sz w:val="32"/>
          <w:szCs w:val="32"/>
        </w:rPr>
        <w:t>%，其中：授予小微企业合同金额</w:t>
      </w:r>
      <w:r>
        <w:rPr>
          <w:rFonts w:ascii="仿宋_GB2312" w:eastAsia="仿宋_GB2312"/>
          <w:sz w:val="32"/>
          <w:szCs w:val="32"/>
        </w:rPr>
        <w:t>36.96</w:t>
      </w:r>
      <w:r>
        <w:rPr>
          <w:rFonts w:hint="eastAsia" w:ascii="仿宋_GB2312" w:eastAsia="仿宋_GB2312"/>
          <w:sz w:val="32"/>
          <w:szCs w:val="32"/>
        </w:rPr>
        <w:t>万元，占政府采购支出总额的</w:t>
      </w:r>
      <w:r>
        <w:rPr>
          <w:rFonts w:ascii="仿宋_GB2312" w:eastAsia="仿宋_GB2312"/>
          <w:sz w:val="32"/>
          <w:szCs w:val="32"/>
        </w:rPr>
        <w:t>100.00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30" w:name="_Toc4591"/>
      <w:bookmarkStart w:id="31" w:name="_Toc83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截止2021年12月31日，单位共有房屋</w:t>
      </w:r>
      <w:r>
        <w:rPr>
          <w:rFonts w:ascii="仿宋_GB2312" w:eastAsia="仿宋_GB2312"/>
          <w:sz w:val="32"/>
          <w:szCs w:val="32"/>
        </w:rPr>
        <w:t>41,923.77</w:t>
      </w:r>
      <w:r>
        <w:rPr>
          <w:rFonts w:hint="eastAsia" w:ascii="仿宋_GB2312" w:eastAsia="仿宋_GB2312"/>
          <w:sz w:val="32"/>
          <w:szCs w:val="32"/>
        </w:rPr>
        <w:t>（平方米），价值</w:t>
      </w:r>
      <w:r>
        <w:rPr>
          <w:rFonts w:ascii="仿宋_GB2312" w:eastAsia="仿宋_GB2312"/>
          <w:sz w:val="32"/>
          <w:szCs w:val="32"/>
        </w:rPr>
        <w:t>5,161.63</w:t>
      </w:r>
      <w:r>
        <w:rPr>
          <w:rFonts w:hint="eastAsia" w:ascii="仿宋_GB2312" w:eastAsia="仿宋_GB2312"/>
          <w:sz w:val="32"/>
          <w:szCs w:val="32"/>
        </w:rPr>
        <w:t>万元。车辆</w:t>
      </w:r>
      <w:r>
        <w:rPr>
          <w:rFonts w:ascii="仿宋_GB2312" w:eastAsia="仿宋_GB2312"/>
          <w:sz w:val="32"/>
          <w:szCs w:val="32"/>
        </w:rPr>
        <w:t>1</w:t>
      </w:r>
      <w:r>
        <w:rPr>
          <w:rFonts w:hint="eastAsia" w:ascii="仿宋_GB2312" w:eastAsia="仿宋_GB2312"/>
          <w:sz w:val="32"/>
          <w:szCs w:val="32"/>
        </w:rPr>
        <w:t>辆，价值</w:t>
      </w:r>
      <w:r>
        <w:rPr>
          <w:rFonts w:ascii="仿宋_GB2312" w:eastAsia="仿宋_GB2312"/>
          <w:sz w:val="32"/>
          <w:szCs w:val="32"/>
        </w:rPr>
        <w:t>18.28</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1</w:t>
      </w:r>
      <w:r>
        <w:rPr>
          <w:rFonts w:hint="eastAsia" w:ascii="仿宋_GB2312" w:eastAsia="仿宋_GB2312"/>
          <w:sz w:val="32"/>
          <w:szCs w:val="32"/>
        </w:rPr>
        <w:t>辆，其他用车主要是：</w:t>
      </w:r>
      <w:r>
        <w:rPr>
          <w:rFonts w:hint="eastAsia" w:ascii="仿宋_GB2312" w:eastAsia="仿宋_GB2312"/>
          <w:sz w:val="32"/>
          <w:szCs w:val="32"/>
          <w:lang w:eastAsia="zh-CN"/>
        </w:rPr>
        <w:t>我单位业</w:t>
      </w:r>
      <w:r>
        <w:rPr>
          <w:rFonts w:hint="eastAsia" w:ascii="仿宋_GB2312" w:eastAsia="仿宋_GB2312"/>
          <w:sz w:val="32"/>
          <w:szCs w:val="32"/>
        </w:rPr>
        <w:t>务用车；单位价值50万元以上通用设备</w:t>
      </w:r>
      <w:r>
        <w:rPr>
          <w:rFonts w:ascii="仿宋_GB2312" w:eastAsia="仿宋_GB2312"/>
          <w:sz w:val="32"/>
          <w:szCs w:val="32"/>
        </w:rPr>
        <w:t>1</w:t>
      </w:r>
      <w:r>
        <w:rPr>
          <w:rFonts w:hint="eastAsia" w:ascii="仿宋_GB2312" w:eastAsia="仿宋_GB2312"/>
          <w:sz w:val="32"/>
          <w:szCs w:val="32"/>
        </w:rPr>
        <w:t>台（套）、单位价值100万元以上专用设备</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十一、预算绩效的情况说明</w:t>
      </w:r>
      <w:bookmarkEnd w:id="32"/>
      <w:bookmarkEnd w:id="33"/>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根据预算绩效管理要求，我单位2021年度开展预算绩效评价项目0个，共涉及资金0万元。预算绩效管理取得的成效：我单位无预算绩效项目。发现的问题及原因：我单位无预算绩效项目。下一步改进措施：我单位无预算绩效项目。具体项目自评情况附项目支出绩效自评表。</w:t>
      </w:r>
    </w:p>
    <w:p>
      <w:pPr>
        <w:rPr>
          <w:rFonts w:ascii="仿宋_GB2312" w:eastAsia="仿宋_GB2312"/>
          <w:sz w:val="32"/>
          <w:szCs w:val="32"/>
        </w:rPr>
      </w:pPr>
      <w:r>
        <w:rPr>
          <w:rFonts w:ascii="仿宋_GB2312" w:eastAsia="仿宋_GB2312"/>
          <w:sz w:val="32"/>
          <w:szCs w:val="32"/>
        </w:rPr>
        <w:br w:type="page"/>
      </w:r>
    </w:p>
    <w:p>
      <w:pPr>
        <w:ind w:firstLine="640" w:firstLineChars="200"/>
        <w:jc w:val="center"/>
        <w:outlineLvl w:val="0"/>
        <w:rPr>
          <w:rFonts w:ascii="黑体" w:hAnsi="黑体" w:eastAsia="黑体"/>
          <w:sz w:val="32"/>
          <w:szCs w:val="32"/>
        </w:rPr>
      </w:pPr>
      <w:bookmarkStart w:id="34" w:name="_Toc3250"/>
      <w:bookmarkStart w:id="35" w:name="_Toc24143"/>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黑体" w:hAnsi="黑体" w:eastAsia="黑体"/>
          <w:sz w:val="32"/>
          <w:szCs w:val="32"/>
        </w:rPr>
      </w:pPr>
      <w:bookmarkStart w:id="36" w:name="_Toc28903"/>
      <w:bookmarkStart w:id="37" w:name="_Toc22784"/>
      <w:r>
        <w:rPr>
          <w:rFonts w:hint="eastAsia"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2183"/>
      <w:bookmarkStart w:id="39" w:name="_Toc6062"/>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30364"/>
      <w:bookmarkStart w:id="41" w:name="_Toc24532"/>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28786"/>
      <w:bookmarkStart w:id="45" w:name="_Toc14238"/>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0347"/>
      <w:bookmarkStart w:id="47" w:name="_Toc14869"/>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5626"/>
      <w:bookmarkStart w:id="49" w:name="_Toc8884"/>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29106"/>
      <w:bookmarkStart w:id="51" w:name="_Toc32663"/>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bookmarkEnd w:id="0"/>
    <w:p>
      <w:pPr>
        <w:ind w:firstLine="640" w:firstLineChars="200"/>
        <w:outlineLvl w:val="1"/>
        <w:rPr>
          <w:rFonts w:ascii="黑体" w:hAnsi="黑体" w:eastAsia="黑体" w:cs="宋体"/>
          <w:bCs/>
          <w:kern w:val="0"/>
          <w:sz w:val="32"/>
          <w:szCs w:val="32"/>
        </w:rPr>
      </w:pPr>
    </w:p>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vert="horz" wrap="none" lIns="0" tIns="0" rIns="0" bIns="0" anchor="t">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BOULk3gEAALsDAAAOAAAAAAAA&#10;AAEAIAAAAB4BAABkcnMvZTJvRG9jLnhtbFBLBQYAAAAABgAGAFkBAABuBQ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NTBmZTE2ODg1YTljYjc5ZGU1YmU2Mzc1ZmRjN2YifQ=="/>
  </w:docVars>
  <w:rsids>
    <w:rsidRoot w:val="006B7B8C"/>
    <w:rsid w:val="00014AAB"/>
    <w:rsid w:val="00015801"/>
    <w:rsid w:val="0002486D"/>
    <w:rsid w:val="00062388"/>
    <w:rsid w:val="000731DE"/>
    <w:rsid w:val="00082B96"/>
    <w:rsid w:val="000874C6"/>
    <w:rsid w:val="00091D32"/>
    <w:rsid w:val="000B3F65"/>
    <w:rsid w:val="000B4DF4"/>
    <w:rsid w:val="000B597A"/>
    <w:rsid w:val="000C0611"/>
    <w:rsid w:val="000C72B8"/>
    <w:rsid w:val="000F13FC"/>
    <w:rsid w:val="000F1BC6"/>
    <w:rsid w:val="000F7D1A"/>
    <w:rsid w:val="00100F46"/>
    <w:rsid w:val="001114DC"/>
    <w:rsid w:val="001221DB"/>
    <w:rsid w:val="001224FB"/>
    <w:rsid w:val="001433D9"/>
    <w:rsid w:val="00147345"/>
    <w:rsid w:val="00157386"/>
    <w:rsid w:val="00176B00"/>
    <w:rsid w:val="001A140F"/>
    <w:rsid w:val="001A52AF"/>
    <w:rsid w:val="001C2440"/>
    <w:rsid w:val="001C44B0"/>
    <w:rsid w:val="00207BE8"/>
    <w:rsid w:val="002120BB"/>
    <w:rsid w:val="002548C8"/>
    <w:rsid w:val="00272419"/>
    <w:rsid w:val="003028E1"/>
    <w:rsid w:val="00302A04"/>
    <w:rsid w:val="00312652"/>
    <w:rsid w:val="00345A42"/>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4078AA"/>
    <w:rsid w:val="00420161"/>
    <w:rsid w:val="00464FAC"/>
    <w:rsid w:val="00480271"/>
    <w:rsid w:val="00487954"/>
    <w:rsid w:val="00495F92"/>
    <w:rsid w:val="004971F0"/>
    <w:rsid w:val="004B241A"/>
    <w:rsid w:val="004B2827"/>
    <w:rsid w:val="004B4550"/>
    <w:rsid w:val="004C036C"/>
    <w:rsid w:val="004C7698"/>
    <w:rsid w:val="004D5A4F"/>
    <w:rsid w:val="004E5240"/>
    <w:rsid w:val="004E7075"/>
    <w:rsid w:val="00511EF6"/>
    <w:rsid w:val="005266C7"/>
    <w:rsid w:val="00536589"/>
    <w:rsid w:val="005609AE"/>
    <w:rsid w:val="00565E92"/>
    <w:rsid w:val="00573DA1"/>
    <w:rsid w:val="00577003"/>
    <w:rsid w:val="00581BC9"/>
    <w:rsid w:val="0058594B"/>
    <w:rsid w:val="00597053"/>
    <w:rsid w:val="005B4B49"/>
    <w:rsid w:val="005D0449"/>
    <w:rsid w:val="005D2934"/>
    <w:rsid w:val="005D3D72"/>
    <w:rsid w:val="005D54E8"/>
    <w:rsid w:val="005D6482"/>
    <w:rsid w:val="005F26BE"/>
    <w:rsid w:val="00610E0F"/>
    <w:rsid w:val="006113E2"/>
    <w:rsid w:val="00624982"/>
    <w:rsid w:val="00625F2E"/>
    <w:rsid w:val="006505E8"/>
    <w:rsid w:val="00656A89"/>
    <w:rsid w:val="006612DA"/>
    <w:rsid w:val="00677EE6"/>
    <w:rsid w:val="006B25BA"/>
    <w:rsid w:val="006B5D26"/>
    <w:rsid w:val="006B7089"/>
    <w:rsid w:val="006B7147"/>
    <w:rsid w:val="006B7779"/>
    <w:rsid w:val="006B7B8C"/>
    <w:rsid w:val="006C09CD"/>
    <w:rsid w:val="006C6123"/>
    <w:rsid w:val="007002F4"/>
    <w:rsid w:val="0072647E"/>
    <w:rsid w:val="00730D0A"/>
    <w:rsid w:val="00753BF6"/>
    <w:rsid w:val="007718CB"/>
    <w:rsid w:val="0077373D"/>
    <w:rsid w:val="00773C57"/>
    <w:rsid w:val="00793611"/>
    <w:rsid w:val="007B5171"/>
    <w:rsid w:val="007E51A8"/>
    <w:rsid w:val="007F1677"/>
    <w:rsid w:val="008060FF"/>
    <w:rsid w:val="00817497"/>
    <w:rsid w:val="00820F01"/>
    <w:rsid w:val="00833A8D"/>
    <w:rsid w:val="00844A1B"/>
    <w:rsid w:val="00862C15"/>
    <w:rsid w:val="00866D2C"/>
    <w:rsid w:val="008936FD"/>
    <w:rsid w:val="008B0283"/>
    <w:rsid w:val="008B08E2"/>
    <w:rsid w:val="008C5CF1"/>
    <w:rsid w:val="008E1BC7"/>
    <w:rsid w:val="008E3821"/>
    <w:rsid w:val="008E6109"/>
    <w:rsid w:val="008E6A5A"/>
    <w:rsid w:val="00914AAA"/>
    <w:rsid w:val="00920BB9"/>
    <w:rsid w:val="00937335"/>
    <w:rsid w:val="00972E47"/>
    <w:rsid w:val="00984899"/>
    <w:rsid w:val="009848D4"/>
    <w:rsid w:val="009B30F0"/>
    <w:rsid w:val="009B32AE"/>
    <w:rsid w:val="009C6ACE"/>
    <w:rsid w:val="009E66FE"/>
    <w:rsid w:val="00A01F1F"/>
    <w:rsid w:val="00A04806"/>
    <w:rsid w:val="00A07771"/>
    <w:rsid w:val="00A337C0"/>
    <w:rsid w:val="00A45B04"/>
    <w:rsid w:val="00A830BA"/>
    <w:rsid w:val="00A851E1"/>
    <w:rsid w:val="00AD0C57"/>
    <w:rsid w:val="00AD0ECD"/>
    <w:rsid w:val="00AD3E2A"/>
    <w:rsid w:val="00AD75AE"/>
    <w:rsid w:val="00AE710B"/>
    <w:rsid w:val="00B14642"/>
    <w:rsid w:val="00B223C7"/>
    <w:rsid w:val="00B3137B"/>
    <w:rsid w:val="00B323EA"/>
    <w:rsid w:val="00B32435"/>
    <w:rsid w:val="00B55170"/>
    <w:rsid w:val="00B81749"/>
    <w:rsid w:val="00B82BD1"/>
    <w:rsid w:val="00B82F2C"/>
    <w:rsid w:val="00BC404C"/>
    <w:rsid w:val="00BD11BA"/>
    <w:rsid w:val="00BD1A9F"/>
    <w:rsid w:val="00BF043E"/>
    <w:rsid w:val="00BF382F"/>
    <w:rsid w:val="00BF59D3"/>
    <w:rsid w:val="00C0134C"/>
    <w:rsid w:val="00C0510A"/>
    <w:rsid w:val="00C14826"/>
    <w:rsid w:val="00C274DD"/>
    <w:rsid w:val="00C312EC"/>
    <w:rsid w:val="00C4109C"/>
    <w:rsid w:val="00C65082"/>
    <w:rsid w:val="00C67079"/>
    <w:rsid w:val="00CA4926"/>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97950"/>
    <w:rsid w:val="00DC09B1"/>
    <w:rsid w:val="00E00036"/>
    <w:rsid w:val="00E14CA4"/>
    <w:rsid w:val="00E23560"/>
    <w:rsid w:val="00E40C0B"/>
    <w:rsid w:val="00E429F1"/>
    <w:rsid w:val="00E434E9"/>
    <w:rsid w:val="00E8482F"/>
    <w:rsid w:val="00EC7E67"/>
    <w:rsid w:val="00F074B1"/>
    <w:rsid w:val="00F647BE"/>
    <w:rsid w:val="00F85377"/>
    <w:rsid w:val="00FA62CF"/>
    <w:rsid w:val="01D35DA3"/>
    <w:rsid w:val="02E743B6"/>
    <w:rsid w:val="02F1741B"/>
    <w:rsid w:val="04911B11"/>
    <w:rsid w:val="052035FD"/>
    <w:rsid w:val="05AF70DB"/>
    <w:rsid w:val="06792773"/>
    <w:rsid w:val="0742534E"/>
    <w:rsid w:val="08B509AF"/>
    <w:rsid w:val="08E75997"/>
    <w:rsid w:val="09E12A64"/>
    <w:rsid w:val="0AF87F94"/>
    <w:rsid w:val="0B835865"/>
    <w:rsid w:val="0BF6540F"/>
    <w:rsid w:val="0C7227A7"/>
    <w:rsid w:val="0C801B16"/>
    <w:rsid w:val="0D1E33E4"/>
    <w:rsid w:val="0DAA21EE"/>
    <w:rsid w:val="0FA7589A"/>
    <w:rsid w:val="102C6852"/>
    <w:rsid w:val="1081433D"/>
    <w:rsid w:val="12D3520E"/>
    <w:rsid w:val="1396784F"/>
    <w:rsid w:val="13EC0B8A"/>
    <w:rsid w:val="14EB6229"/>
    <w:rsid w:val="155C65A7"/>
    <w:rsid w:val="15E95753"/>
    <w:rsid w:val="16F045F9"/>
    <w:rsid w:val="176E6CF3"/>
    <w:rsid w:val="17C618A3"/>
    <w:rsid w:val="185F4F4D"/>
    <w:rsid w:val="193D4B9E"/>
    <w:rsid w:val="1995347B"/>
    <w:rsid w:val="1B4E62E5"/>
    <w:rsid w:val="1C666C77"/>
    <w:rsid w:val="1C8B4975"/>
    <w:rsid w:val="1C98798D"/>
    <w:rsid w:val="1D2D783E"/>
    <w:rsid w:val="1D9D4C68"/>
    <w:rsid w:val="1DAF458D"/>
    <w:rsid w:val="1E150A80"/>
    <w:rsid w:val="1EAA00AC"/>
    <w:rsid w:val="1FA73C1B"/>
    <w:rsid w:val="258917FB"/>
    <w:rsid w:val="27AF63CE"/>
    <w:rsid w:val="27CF2642"/>
    <w:rsid w:val="28605A33"/>
    <w:rsid w:val="294E4805"/>
    <w:rsid w:val="29E96D83"/>
    <w:rsid w:val="29EC087F"/>
    <w:rsid w:val="2A053397"/>
    <w:rsid w:val="2ABE0B21"/>
    <w:rsid w:val="2B3A3AD8"/>
    <w:rsid w:val="2D1136DF"/>
    <w:rsid w:val="2DE716FC"/>
    <w:rsid w:val="2E59285E"/>
    <w:rsid w:val="2FD27414"/>
    <w:rsid w:val="31857BAC"/>
    <w:rsid w:val="31B5304E"/>
    <w:rsid w:val="31C63837"/>
    <w:rsid w:val="33206C0F"/>
    <w:rsid w:val="33BC32B4"/>
    <w:rsid w:val="3429669A"/>
    <w:rsid w:val="34965581"/>
    <w:rsid w:val="35C5793C"/>
    <w:rsid w:val="36325697"/>
    <w:rsid w:val="36E958BB"/>
    <w:rsid w:val="370D7281"/>
    <w:rsid w:val="38CB046A"/>
    <w:rsid w:val="3A643253"/>
    <w:rsid w:val="3B5D1933"/>
    <w:rsid w:val="3D1D5019"/>
    <w:rsid w:val="3D5275AC"/>
    <w:rsid w:val="3E1A76DD"/>
    <w:rsid w:val="3E2B7A03"/>
    <w:rsid w:val="3E9A7BA4"/>
    <w:rsid w:val="3F076061"/>
    <w:rsid w:val="3F6A08C0"/>
    <w:rsid w:val="455E1F7C"/>
    <w:rsid w:val="45897ADA"/>
    <w:rsid w:val="46901EEE"/>
    <w:rsid w:val="469C74D2"/>
    <w:rsid w:val="48A52360"/>
    <w:rsid w:val="4902047E"/>
    <w:rsid w:val="4A7D4485"/>
    <w:rsid w:val="4C2E1A9B"/>
    <w:rsid w:val="4DE45AD9"/>
    <w:rsid w:val="4E11500F"/>
    <w:rsid w:val="4EEF1380"/>
    <w:rsid w:val="4F9D7B44"/>
    <w:rsid w:val="50DB5F45"/>
    <w:rsid w:val="512709C0"/>
    <w:rsid w:val="51DB4252"/>
    <w:rsid w:val="52314E57"/>
    <w:rsid w:val="523358A5"/>
    <w:rsid w:val="53350823"/>
    <w:rsid w:val="54054866"/>
    <w:rsid w:val="54F22EA5"/>
    <w:rsid w:val="55516A31"/>
    <w:rsid w:val="59444B98"/>
    <w:rsid w:val="59996596"/>
    <w:rsid w:val="5A8B468F"/>
    <w:rsid w:val="5B073E3D"/>
    <w:rsid w:val="5C386C32"/>
    <w:rsid w:val="5D286D33"/>
    <w:rsid w:val="5D630BDE"/>
    <w:rsid w:val="5E8A0BA7"/>
    <w:rsid w:val="5FFF1C5A"/>
    <w:rsid w:val="61A46A97"/>
    <w:rsid w:val="64275BB0"/>
    <w:rsid w:val="64925820"/>
    <w:rsid w:val="6627325F"/>
    <w:rsid w:val="66F72012"/>
    <w:rsid w:val="67623B14"/>
    <w:rsid w:val="68706FD2"/>
    <w:rsid w:val="69AD798C"/>
    <w:rsid w:val="69F01279"/>
    <w:rsid w:val="69FB110F"/>
    <w:rsid w:val="6B311CD9"/>
    <w:rsid w:val="6B68175F"/>
    <w:rsid w:val="6B8500AE"/>
    <w:rsid w:val="6C81696B"/>
    <w:rsid w:val="6D587ECB"/>
    <w:rsid w:val="6DE375B7"/>
    <w:rsid w:val="6F516C58"/>
    <w:rsid w:val="6FDFD92C"/>
    <w:rsid w:val="6FFF530B"/>
    <w:rsid w:val="70A609BC"/>
    <w:rsid w:val="73FB6630"/>
    <w:rsid w:val="74060C43"/>
    <w:rsid w:val="74947C20"/>
    <w:rsid w:val="761262E7"/>
    <w:rsid w:val="76416A32"/>
    <w:rsid w:val="77022DD9"/>
    <w:rsid w:val="77ED6F44"/>
    <w:rsid w:val="7DF42720"/>
    <w:rsid w:val="7E6C6E77"/>
    <w:rsid w:val="7F726A00"/>
    <w:rsid w:val="7FB31F36"/>
    <w:rsid w:val="7FC0756C"/>
    <w:rsid w:val="7FC85347"/>
    <w:rsid w:val="BF5DD8AA"/>
    <w:rsid w:val="D3CF2FDB"/>
    <w:rsid w:val="FDFEE3F3"/>
    <w:rsid w:val="FFBF01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6"/>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2">
    <w:name w:val="annotation reference"/>
    <w:basedOn w:val="11"/>
    <w:qFormat/>
    <w:uiPriority w:val="0"/>
    <w:rPr>
      <w:sz w:val="21"/>
      <w:szCs w:val="21"/>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ug-CN"/>
    </w:rPr>
  </w:style>
  <w:style w:type="character" w:customStyle="1" w:styleId="16">
    <w:name w:val="批注框文本 字符"/>
    <w:basedOn w:val="11"/>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BEECE7-2313-41ED-AECA-605B6CADA37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13</Pages>
  <Words>4266</Words>
  <Characters>4774</Characters>
  <Lines>59</Lines>
  <Paragraphs>16</Paragraphs>
  <TotalTime>11</TotalTime>
  <ScaleCrop>false</ScaleCrop>
  <LinksUpToDate>false</LinksUpToDate>
  <CharactersWithSpaces>4796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GXR</dc:creator>
  <cp:lastModifiedBy>Administrator</cp:lastModifiedBy>
  <dcterms:modified xsi:type="dcterms:W3CDTF">2023-08-10T05:07:37Z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30C9F6E9321044B28147E1BC70FB94E1_13</vt:lpwstr>
  </property>
</Properties>
</file>