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新疆喀什地区叶城县第五中学2021年度部门决算公开说明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3、根据县级人民政府制定的教育事业发展规划，结合实际制定并组织实施本校的教育事业发展规划。在政府的领导下，全面开展普及九年义务教育，组织教师动员适龄儿童，少年就近入学。</w:t>
      </w:r>
      <w:r>
        <w:rPr>
          <w:rFonts w:ascii="仿宋_GB2312" w:eastAsia="仿宋_GB2312"/>
          <w:sz w:val="32"/>
          <w:szCs w:val="32"/>
        </w:rPr>
        <w:br w:type="textWrapping"/>
      </w:r>
      <w:r>
        <w:rPr>
          <w:rFonts w:ascii="仿宋_GB2312" w:eastAsia="仿宋_GB2312"/>
          <w:sz w:val="32"/>
          <w:szCs w:val="32"/>
        </w:rPr>
        <w:t>　　4、组织开展教育教学科研和教育教学改革，以科学的发展和以人为本的管理理念注重学生的全面发展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新疆喀什地区叶城县第五中学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169</w:t>
      </w:r>
      <w:r>
        <w:rPr>
          <w:rFonts w:hint="eastAsia" w:ascii="仿宋_GB2312" w:eastAsia="仿宋_GB2312"/>
          <w:sz w:val="32"/>
          <w:szCs w:val="32"/>
        </w:rPr>
        <w:t>人，其中：在职人员</w:t>
      </w:r>
      <w:r>
        <w:rPr>
          <w:rFonts w:ascii="仿宋_GB2312" w:eastAsia="仿宋_GB2312"/>
          <w:sz w:val="32"/>
          <w:szCs w:val="32"/>
        </w:rPr>
        <w:t>162</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7</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从部门决算单位构成看，新疆喀什地区叶城县第五中学部门决算包括：新疆喀什地区叶城县第五中学决算。</w:t>
      </w:r>
      <w:r>
        <w:rPr>
          <w:rFonts w:hint="eastAsia" w:ascii="仿宋_GB2312" w:hAnsi="黑体" w:eastAsia="仿宋_GB2312" w:cs="宋体"/>
          <w:bCs/>
          <w:kern w:val="0"/>
          <w:sz w:val="32"/>
          <w:szCs w:val="32"/>
        </w:rPr>
        <w:t>无下属预算单位，下设</w:t>
      </w:r>
      <w:r>
        <w:rPr>
          <w:rFonts w:hint="eastAsia" w:ascii="仿宋_GB2312" w:eastAsia="仿宋_GB2312"/>
          <w:sz w:val="32"/>
          <w:szCs w:val="32"/>
        </w:rPr>
        <w:t>7</w:t>
      </w:r>
      <w:r>
        <w:rPr>
          <w:rFonts w:hint="eastAsia" w:ascii="仿宋_GB2312" w:hAnsi="黑体" w:eastAsia="仿宋_GB2312" w:cs="宋体"/>
          <w:bCs/>
          <w:kern w:val="0"/>
          <w:sz w:val="32"/>
          <w:szCs w:val="32"/>
        </w:rPr>
        <w:t>个处室，分别是：党建办、教务处、总务处、教研室、政教处、工会、电教处</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25314"/>
      <w:bookmarkStart w:id="8" w:name="_Toc12566"/>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2,916.33</w:t>
      </w:r>
      <w:r>
        <w:rPr>
          <w:rFonts w:hint="eastAsia" w:ascii="仿宋_GB2312" w:eastAsia="仿宋_GB2312"/>
          <w:sz w:val="32"/>
          <w:szCs w:val="32"/>
        </w:rPr>
        <w:t>万元，与上年相比，增加750.02万元，</w:t>
      </w:r>
      <w:r>
        <w:rPr>
          <w:rFonts w:ascii="仿宋_GB2312" w:eastAsia="仿宋_GB2312"/>
          <w:sz w:val="32"/>
          <w:szCs w:val="32"/>
        </w:rPr>
        <w:t>增长34.62</w:t>
      </w:r>
      <w:r>
        <w:rPr>
          <w:rFonts w:hint="eastAsia" w:ascii="仿宋_GB2312" w:eastAsia="仿宋_GB2312"/>
          <w:sz w:val="32"/>
          <w:szCs w:val="32"/>
        </w:rPr>
        <w:t>%，主要原因是：学生增加，生均公用经费增加，特岗教师工资增加，项目经费增加。本年支出</w:t>
      </w:r>
      <w:r>
        <w:rPr>
          <w:rFonts w:ascii="仿宋_GB2312" w:eastAsia="仿宋_GB2312"/>
          <w:sz w:val="32"/>
          <w:szCs w:val="32"/>
        </w:rPr>
        <w:t>2,916.33</w:t>
      </w:r>
      <w:r>
        <w:rPr>
          <w:rFonts w:hint="eastAsia" w:ascii="仿宋_GB2312" w:eastAsia="仿宋_GB2312"/>
          <w:sz w:val="32"/>
          <w:szCs w:val="32"/>
        </w:rPr>
        <w:t>万元，与上年相比，</w:t>
      </w:r>
      <w:r>
        <w:rPr>
          <w:rFonts w:ascii="仿宋_GB2312" w:eastAsia="仿宋_GB2312"/>
          <w:sz w:val="32"/>
          <w:szCs w:val="32"/>
        </w:rPr>
        <w:t>增加750.02</w:t>
      </w:r>
      <w:r>
        <w:rPr>
          <w:rFonts w:hint="eastAsia" w:ascii="仿宋_GB2312" w:eastAsia="仿宋_GB2312"/>
          <w:sz w:val="32"/>
          <w:szCs w:val="32"/>
        </w:rPr>
        <w:t>万元，</w:t>
      </w:r>
      <w:r>
        <w:rPr>
          <w:rFonts w:ascii="仿宋_GB2312" w:eastAsia="仿宋_GB2312"/>
          <w:sz w:val="32"/>
          <w:szCs w:val="32"/>
        </w:rPr>
        <w:t>增长34.62</w:t>
      </w:r>
      <w:r>
        <w:rPr>
          <w:rFonts w:hint="eastAsia" w:ascii="仿宋_GB2312" w:eastAsia="仿宋_GB2312"/>
          <w:sz w:val="32"/>
          <w:szCs w:val="32"/>
        </w:rPr>
        <w:t>%，主要原因是：学生增加，生均公用经费增加，特岗教师工资增加，项目经费增加。</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2,916.33</w:t>
      </w:r>
      <w:r>
        <w:rPr>
          <w:rFonts w:hint="eastAsia" w:ascii="仿宋_GB2312" w:eastAsia="仿宋_GB2312"/>
          <w:sz w:val="32"/>
          <w:szCs w:val="32"/>
        </w:rPr>
        <w:t>万元，其中：财政拨款收入</w:t>
      </w:r>
      <w:r>
        <w:rPr>
          <w:rFonts w:ascii="仿宋_GB2312" w:eastAsia="仿宋_GB2312"/>
          <w:sz w:val="32"/>
          <w:szCs w:val="32"/>
        </w:rPr>
        <w:t>2,916.33</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年度本年支出2,916.33万元，其中：基本支出</w:t>
      </w:r>
      <w:r>
        <w:rPr>
          <w:rFonts w:ascii="仿宋_GB2312" w:eastAsia="仿宋_GB2312"/>
          <w:sz w:val="32"/>
          <w:szCs w:val="32"/>
        </w:rPr>
        <w:t>2,227.13</w:t>
      </w:r>
      <w:r>
        <w:rPr>
          <w:rFonts w:hint="eastAsia" w:ascii="仿宋_GB2312" w:eastAsia="仿宋_GB2312"/>
          <w:sz w:val="32"/>
          <w:szCs w:val="32"/>
        </w:rPr>
        <w:t>万元，占76.37%；项目支出</w:t>
      </w:r>
      <w:r>
        <w:rPr>
          <w:rFonts w:ascii="仿宋_GB2312" w:eastAsia="仿宋_GB2312"/>
          <w:sz w:val="32"/>
          <w:szCs w:val="32"/>
        </w:rPr>
        <w:t>689.20</w:t>
      </w:r>
      <w:r>
        <w:rPr>
          <w:rFonts w:hint="eastAsia" w:ascii="仿宋_GB2312" w:eastAsia="仿宋_GB2312"/>
          <w:sz w:val="32"/>
          <w:szCs w:val="32"/>
        </w:rPr>
        <w:t>万元，占23.63%；上缴上级支出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2,916.33万元，与上年相比，增加750.02万元，增长34.62%，主要原因是：学生增加，生均公用经费增加，特岗教师工资增加，项目经费增加。财政拨款支出2,916.33万元，与上年相比，增加750.02万元，增长34.62%，主要原因是：学生增加，生均公用经费增加，特岗教师工资增加，项目经费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2,042.34</w:t>
      </w:r>
      <w:r>
        <w:rPr>
          <w:rFonts w:hint="eastAsia" w:ascii="仿宋_GB2312" w:eastAsia="仿宋_GB2312"/>
          <w:sz w:val="32"/>
          <w:szCs w:val="32"/>
        </w:rPr>
        <w:t>万元，决算数</w:t>
      </w:r>
      <w:r>
        <w:rPr>
          <w:rFonts w:ascii="仿宋_GB2312" w:eastAsia="仿宋_GB2312"/>
          <w:sz w:val="32"/>
          <w:szCs w:val="32"/>
        </w:rPr>
        <w:t>2,916.33</w:t>
      </w:r>
      <w:r>
        <w:rPr>
          <w:rFonts w:hint="eastAsia" w:ascii="仿宋_GB2312" w:eastAsia="仿宋_GB2312"/>
          <w:sz w:val="32"/>
          <w:szCs w:val="32"/>
        </w:rPr>
        <w:t>万元，预决算差异率</w:t>
      </w:r>
      <w:r>
        <w:rPr>
          <w:rFonts w:ascii="仿宋_GB2312" w:eastAsia="仿宋_GB2312"/>
          <w:sz w:val="32"/>
          <w:szCs w:val="32"/>
        </w:rPr>
        <w:t>42.79</w:t>
      </w:r>
      <w:r>
        <w:rPr>
          <w:rFonts w:hint="eastAsia" w:ascii="仿宋_GB2312" w:eastAsia="仿宋_GB2312"/>
          <w:sz w:val="32"/>
          <w:szCs w:val="32"/>
        </w:rPr>
        <w:t>%，主要原因是：在职人员职务职级晋升，基本工资调整，人员工资福利增加，教职工人数及学生数增加，年末追加预算，导致预决算存在差异。财政拨款支出年初预算数</w:t>
      </w:r>
      <w:r>
        <w:rPr>
          <w:rFonts w:ascii="仿宋_GB2312" w:eastAsia="仿宋_GB2312"/>
          <w:sz w:val="32"/>
          <w:szCs w:val="32"/>
        </w:rPr>
        <w:t>2,042.34</w:t>
      </w:r>
      <w:r>
        <w:rPr>
          <w:rFonts w:hint="eastAsia" w:ascii="仿宋_GB2312" w:eastAsia="仿宋_GB2312"/>
          <w:sz w:val="32"/>
          <w:szCs w:val="32"/>
        </w:rPr>
        <w:t>万元，决算数</w:t>
      </w:r>
      <w:r>
        <w:rPr>
          <w:rFonts w:ascii="仿宋_GB2312" w:eastAsia="仿宋_GB2312"/>
          <w:sz w:val="32"/>
          <w:szCs w:val="32"/>
        </w:rPr>
        <w:t>2,916.33</w:t>
      </w:r>
      <w:r>
        <w:rPr>
          <w:rFonts w:hint="eastAsia" w:ascii="仿宋_GB2312" w:eastAsia="仿宋_GB2312"/>
          <w:sz w:val="32"/>
          <w:szCs w:val="32"/>
        </w:rPr>
        <w:t>万元，预决算差异率42.79%，主要原因是：在职人员职务职级晋升，基本工资调整，人员工资福利增加，教职工人数及学生数增加，年末追加预算，导致预决算存在差异。</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w:t>
      </w:r>
      <w:bookmarkStart w:id="54" w:name="_GoBack"/>
      <w:bookmarkEnd w:id="54"/>
      <w:r>
        <w:rPr>
          <w:rFonts w:hint="eastAsia" w:ascii="黑体" w:hAnsi="黑体" w:eastAsia="黑体" w:cs="宋体"/>
          <w:bCs/>
          <w:kern w:val="0"/>
          <w:sz w:val="32"/>
          <w:szCs w:val="32"/>
        </w:rPr>
        <w:t>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年度一般公共预算财政拨款支出2,914.83万元。按功能分类科目项级科目公开，其中：</w:t>
      </w:r>
    </w:p>
    <w:p>
      <w:pPr>
        <w:jc w:val="left"/>
        <w:rPr>
          <w:rFonts w:ascii="仿宋_GB2312" w:eastAsia="仿宋_GB2312"/>
          <w:sz w:val="32"/>
          <w:szCs w:val="32"/>
        </w:rPr>
      </w:pPr>
      <w:bookmarkStart w:id="18" w:name="_Toc30870"/>
      <w:bookmarkStart w:id="19" w:name="_Toc11146"/>
      <w:r>
        <w:rPr>
          <w:rFonts w:ascii="仿宋_GB2312" w:eastAsia="仿宋_GB2312"/>
          <w:sz w:val="32"/>
          <w:szCs w:val="32"/>
        </w:rPr>
        <w:tab/>
      </w:r>
      <w:r>
        <w:rPr>
          <w:rFonts w:ascii="仿宋_GB2312" w:eastAsia="仿宋_GB2312"/>
          <w:sz w:val="32"/>
          <w:szCs w:val="32"/>
        </w:rPr>
        <w:t xml:space="preserve"> 2050202小学教育151.45万元；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2050203初中教育2,549.69万元；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2080505机关事业单位基本养老保险缴费支出213.69万元。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2,227.13</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2,227.13</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ascii="仿宋_GB2312" w:eastAsia="仿宋_GB2312"/>
          <w:sz w:val="32"/>
          <w:szCs w:val="32"/>
        </w:rPr>
        <w:t>2021年度政府性基金预算财政拨款收入1.50万元，与上年相比，减少13.50万元，降低90.00%，主要原因是：本年度减少彩票公益金项目。政府性基金预算财政拨款支出1.50万元</w:t>
      </w:r>
      <w:r>
        <w:rPr>
          <w:rFonts w:hint="eastAsia" w:ascii="仿宋_GB2312" w:eastAsia="仿宋_GB2312"/>
          <w:sz w:val="32"/>
          <w:szCs w:val="32"/>
        </w:rPr>
        <w:t>，</w:t>
      </w:r>
      <w:r>
        <w:rPr>
          <w:rFonts w:ascii="仿宋_GB2312" w:eastAsia="仿宋_GB2312"/>
          <w:sz w:val="32"/>
          <w:szCs w:val="32"/>
        </w:rPr>
        <w:t>与上年相比，减少13.50万元，降低90.00%，主要原因是：本年度减少彩票公益金项目。</w:t>
      </w:r>
    </w:p>
    <w:p>
      <w:pPr>
        <w:ind w:firstLine="640" w:firstLineChars="200"/>
        <w:rPr>
          <w:rFonts w:ascii="仿宋_GB2312" w:eastAsia="仿宋_GB2312"/>
          <w:sz w:val="32"/>
          <w:szCs w:val="32"/>
        </w:rPr>
      </w:pPr>
      <w:r>
        <w:rPr>
          <w:rFonts w:hint="eastAsia" w:ascii="仿宋_GB2312" w:eastAsia="仿宋_GB2312"/>
          <w:sz w:val="32"/>
          <w:szCs w:val="32"/>
        </w:rPr>
        <w:t>政府性基金预算财政拨款支出1.50万元。按功能分类科目项级科目公开</w:t>
      </w:r>
      <w:r>
        <w:rPr>
          <w:rFonts w:hint="eastAsia" w:ascii="仿宋_GB2312" w:eastAsia="仿宋_GB2312"/>
          <w:sz w:val="32"/>
          <w:szCs w:val="32"/>
          <w:lang w:eastAsia="zh-CN"/>
        </w:rPr>
        <w:t>，</w:t>
      </w:r>
      <w:r>
        <w:rPr>
          <w:rFonts w:hint="eastAsia" w:ascii="仿宋_GB2312" w:eastAsia="仿宋_GB2312"/>
          <w:sz w:val="32"/>
          <w:szCs w:val="32"/>
        </w:rPr>
        <w:t>其中：</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2296004用于教育事业的彩票公益金支出1.50万元。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2021年度新疆喀什地区叶城县第五中学（事业单位）公用经费0.00万元，比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35,099.16</w:t>
      </w:r>
      <w:r>
        <w:rPr>
          <w:rFonts w:hint="eastAsia" w:ascii="仿宋_GB2312" w:eastAsia="仿宋_GB2312"/>
          <w:sz w:val="32"/>
          <w:szCs w:val="32"/>
        </w:rPr>
        <w:t>（平方米），价值</w:t>
      </w:r>
      <w:r>
        <w:rPr>
          <w:rFonts w:ascii="仿宋_GB2312" w:eastAsia="仿宋_GB2312"/>
          <w:sz w:val="32"/>
          <w:szCs w:val="32"/>
        </w:rPr>
        <w:t>1,985.42</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8903"/>
      <w:bookmarkStart w:id="37"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584FD3"/>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737DAC"/>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AB37246"/>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4355</Words>
  <Characters>4883</Characters>
  <Lines>59</Lines>
  <Paragraphs>16</Paragraphs>
  <TotalTime>5</TotalTime>
  <ScaleCrop>false</ScaleCrop>
  <LinksUpToDate>false</LinksUpToDate>
  <CharactersWithSpaces>4903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2023-08-10T10:42:23Z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D40F654B69394A72AEAC25682F6E345A_13</vt:lpwstr>
  </property>
</Properties>
</file>