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_GBK" w:hAnsi="宋体" w:eastAsia="方正小标宋_GBK"/>
          <w:sz w:val="44"/>
          <w:szCs w:val="44"/>
        </w:rPr>
      </w:pPr>
      <w:bookmarkStart w:id="0" w:name="_Hlk97806973"/>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r>
        <w:rPr>
          <w:rFonts w:hint="eastAsia" w:ascii="方正小标宋_GBK" w:hAnsi="宋体" w:eastAsia="方正小标宋_GBK"/>
          <w:sz w:val="44"/>
          <w:szCs w:val="44"/>
        </w:rPr>
        <w:t>新疆喀什地区叶城县第八小学2021年度部门决算公开说明</w:t>
      </w:r>
    </w:p>
    <w:p>
      <w:pPr>
        <w:jc w:val="center"/>
        <w:rPr>
          <w:rFonts w:ascii="仿宋_GB2312" w:hAnsi="仿宋_GB2312" w:eastAsia="仿宋_GB2312" w:cs="仿宋_GB2312"/>
          <w:bCs/>
          <w:kern w:val="0"/>
          <w:sz w:val="32"/>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目录</w:t>
      </w:r>
    </w:p>
    <w:p>
      <w:pPr>
        <w:pStyle w:val="7"/>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第一部分部门单位概况</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第二部分部门决算情况说明</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七、一般公共预算财政拨款“三公”经费支出决算情况说明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第三部分专业名词解释</w:t>
      </w:r>
      <w:r>
        <w:rPr>
          <w:rFonts w:hint="eastAsia" w:ascii="仿宋_GB2312" w:hAnsi="仿宋_GB2312" w:eastAsia="仿宋_GB2312" w:cs="仿宋_GB2312"/>
          <w:b/>
          <w:bCs/>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第四部分部门决算报表（见附表）</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七、《一般公共预算财政拨款“三公”经费支出决算表》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bookmarkStart w:id="1" w:name="_Toc24028"/>
      <w:bookmarkStart w:id="2" w:name="_Toc32314"/>
      <w:r>
        <w:rPr>
          <w:rFonts w:hint="eastAsia" w:ascii="黑体" w:hAnsi="黑体" w:eastAsia="黑体"/>
          <w:sz w:val="32"/>
          <w:szCs w:val="32"/>
        </w:rPr>
        <w:t>第一部分 部门单位概况</w:t>
      </w:r>
      <w:bookmarkEnd w:id="1"/>
      <w:bookmarkEnd w:id="2"/>
    </w:p>
    <w:p>
      <w:pPr>
        <w:ind w:firstLine="640" w:firstLineChars="200"/>
        <w:outlineLvl w:val="1"/>
        <w:rPr>
          <w:rFonts w:ascii="黑体" w:hAnsi="黑体" w:eastAsia="黑体" w:cs="宋体"/>
          <w:bCs/>
          <w:kern w:val="0"/>
          <w:sz w:val="32"/>
          <w:szCs w:val="32"/>
        </w:rPr>
      </w:pPr>
      <w:bookmarkStart w:id="3" w:name="_Toc30567"/>
      <w:bookmarkStart w:id="4" w:name="_Toc30738"/>
      <w:r>
        <w:rPr>
          <w:rFonts w:hint="eastAsia" w:ascii="黑体" w:hAnsi="黑体" w:eastAsia="黑体" w:cs="宋体"/>
          <w:bCs/>
          <w:kern w:val="0"/>
          <w:sz w:val="32"/>
          <w:szCs w:val="32"/>
        </w:rPr>
        <w:t>一、主要职能</w:t>
      </w:r>
      <w:bookmarkEnd w:id="3"/>
      <w:bookmarkEnd w:id="4"/>
    </w:p>
    <w:p>
      <w:pPr>
        <w:rPr>
          <w:rFonts w:ascii="仿宋_GB2312" w:eastAsia="仿宋_GB2312"/>
          <w:sz w:val="32"/>
          <w:szCs w:val="32"/>
        </w:rPr>
      </w:pPr>
      <w:r>
        <w:rPr>
          <w:rFonts w:ascii="仿宋_GB2312" w:eastAsia="仿宋_GB2312"/>
          <w:sz w:val="32"/>
          <w:szCs w:val="32"/>
        </w:rPr>
        <w:t>　　</w:t>
      </w:r>
      <w:r>
        <w:rPr>
          <w:rFonts w:hint="eastAsia" w:ascii="仿宋_GB2312" w:eastAsia="仿宋_GB2312"/>
          <w:sz w:val="32"/>
          <w:szCs w:val="32"/>
          <w:lang w:eastAsia="zh-CN"/>
        </w:rPr>
        <w:t>（</w:t>
      </w:r>
      <w:r>
        <w:rPr>
          <w:rFonts w:ascii="仿宋_GB2312" w:eastAsia="仿宋_GB2312"/>
          <w:sz w:val="32"/>
          <w:szCs w:val="32"/>
        </w:rPr>
        <w:t>一</w:t>
      </w:r>
      <w:r>
        <w:rPr>
          <w:rFonts w:hint="eastAsia" w:ascii="仿宋_GB2312" w:eastAsia="仿宋_GB2312"/>
          <w:sz w:val="32"/>
          <w:szCs w:val="32"/>
          <w:lang w:eastAsia="zh-CN"/>
        </w:rPr>
        <w:t>）</w:t>
      </w:r>
      <w:r>
        <w:rPr>
          <w:rFonts w:ascii="仿宋_GB2312" w:eastAsia="仿宋_GB2312"/>
          <w:sz w:val="32"/>
          <w:szCs w:val="32"/>
        </w:rPr>
        <w:t>宣传贯彻执行党和国家的教育方针、教育政策、教育法律和法规，贯彻执行上级教育行政部门的各项规章制度。</w:t>
      </w:r>
      <w:r>
        <w:rPr>
          <w:rFonts w:ascii="仿宋_GB2312" w:eastAsia="仿宋_GB2312"/>
          <w:sz w:val="32"/>
          <w:szCs w:val="32"/>
        </w:rPr>
        <w:br w:type="textWrapping"/>
      </w:r>
      <w:r>
        <w:rPr>
          <w:rFonts w:ascii="仿宋_GB2312" w:eastAsia="仿宋_GB2312"/>
          <w:sz w:val="32"/>
          <w:szCs w:val="32"/>
        </w:rPr>
        <w:t>　　</w:t>
      </w:r>
      <w:r>
        <w:rPr>
          <w:rFonts w:hint="eastAsia" w:ascii="仿宋_GB2312" w:eastAsia="仿宋_GB2312"/>
          <w:sz w:val="32"/>
          <w:szCs w:val="32"/>
          <w:lang w:eastAsia="zh-CN"/>
        </w:rPr>
        <w:t>（</w:t>
      </w:r>
      <w:r>
        <w:rPr>
          <w:rFonts w:ascii="仿宋_GB2312" w:eastAsia="仿宋_GB2312"/>
          <w:sz w:val="32"/>
          <w:szCs w:val="32"/>
        </w:rPr>
        <w:t>二</w:t>
      </w:r>
      <w:r>
        <w:rPr>
          <w:rFonts w:hint="eastAsia" w:ascii="仿宋_GB2312" w:eastAsia="仿宋_GB2312"/>
          <w:sz w:val="32"/>
          <w:szCs w:val="32"/>
          <w:lang w:eastAsia="zh-CN"/>
        </w:rPr>
        <w:t>）</w:t>
      </w:r>
      <w:r>
        <w:rPr>
          <w:rFonts w:ascii="仿宋_GB2312" w:eastAsia="仿宋_GB2312"/>
          <w:sz w:val="32"/>
          <w:szCs w:val="32"/>
        </w:rPr>
        <w:t>在政府和上级教育主管部门的领导下，争取资金改善办学条件，为师生的学习和工作提供优美和谐的环境。</w:t>
      </w:r>
      <w:r>
        <w:rPr>
          <w:rFonts w:ascii="仿宋_GB2312" w:eastAsia="仿宋_GB2312"/>
          <w:sz w:val="32"/>
          <w:szCs w:val="32"/>
        </w:rPr>
        <w:br w:type="textWrapping"/>
      </w:r>
      <w:r>
        <w:rPr>
          <w:rFonts w:ascii="仿宋_GB2312" w:eastAsia="仿宋_GB2312"/>
          <w:sz w:val="32"/>
          <w:szCs w:val="32"/>
        </w:rPr>
        <w:t>　　</w:t>
      </w:r>
      <w:r>
        <w:rPr>
          <w:rFonts w:hint="eastAsia" w:ascii="仿宋_GB2312" w:eastAsia="仿宋_GB2312"/>
          <w:sz w:val="32"/>
          <w:szCs w:val="32"/>
          <w:lang w:eastAsia="zh-CN"/>
        </w:rPr>
        <w:t>（</w:t>
      </w:r>
      <w:r>
        <w:rPr>
          <w:rFonts w:ascii="仿宋_GB2312" w:eastAsia="仿宋_GB2312"/>
          <w:sz w:val="32"/>
          <w:szCs w:val="32"/>
        </w:rPr>
        <w:t>三</w:t>
      </w:r>
      <w:r>
        <w:rPr>
          <w:rFonts w:hint="eastAsia" w:ascii="仿宋_GB2312" w:eastAsia="仿宋_GB2312"/>
          <w:sz w:val="32"/>
          <w:szCs w:val="32"/>
          <w:lang w:eastAsia="zh-CN"/>
        </w:rPr>
        <w:t>）</w:t>
      </w:r>
      <w:r>
        <w:rPr>
          <w:rFonts w:ascii="仿宋_GB2312" w:eastAsia="仿宋_GB2312"/>
          <w:sz w:val="32"/>
          <w:szCs w:val="32"/>
        </w:rPr>
        <w:t>根据县级人民政府制定的教育事业发展规划，结合实际制定并组织实施本校的教育事业发展规划。在政府的领导下，全面开展普及九年义务教育，组织教师动员适龄儿童</w:t>
      </w:r>
      <w:r>
        <w:rPr>
          <w:rFonts w:hint="eastAsia" w:ascii="仿宋_GB2312" w:eastAsia="仿宋_GB2312"/>
          <w:sz w:val="32"/>
          <w:szCs w:val="32"/>
          <w:lang w:eastAsia="zh-CN"/>
        </w:rPr>
        <w:t>、</w:t>
      </w:r>
      <w:r>
        <w:rPr>
          <w:rFonts w:ascii="仿宋_GB2312" w:eastAsia="仿宋_GB2312"/>
          <w:sz w:val="32"/>
          <w:szCs w:val="32"/>
        </w:rPr>
        <w:t>少年就近入学。</w:t>
      </w:r>
      <w:r>
        <w:rPr>
          <w:rFonts w:ascii="仿宋_GB2312" w:eastAsia="仿宋_GB2312"/>
          <w:sz w:val="32"/>
          <w:szCs w:val="32"/>
        </w:rPr>
        <w:br w:type="textWrapping"/>
      </w:r>
      <w:r>
        <w:rPr>
          <w:rFonts w:ascii="仿宋_GB2312" w:eastAsia="仿宋_GB2312"/>
          <w:sz w:val="32"/>
          <w:szCs w:val="32"/>
        </w:rPr>
        <w:t>　　</w:t>
      </w:r>
      <w:r>
        <w:rPr>
          <w:rFonts w:hint="eastAsia" w:ascii="仿宋_GB2312" w:eastAsia="仿宋_GB2312"/>
          <w:sz w:val="32"/>
          <w:szCs w:val="32"/>
          <w:lang w:eastAsia="zh-CN"/>
        </w:rPr>
        <w:t>（</w:t>
      </w:r>
      <w:r>
        <w:rPr>
          <w:rFonts w:ascii="仿宋_GB2312" w:eastAsia="仿宋_GB2312"/>
          <w:sz w:val="32"/>
          <w:szCs w:val="32"/>
        </w:rPr>
        <w:t>四</w:t>
      </w:r>
      <w:r>
        <w:rPr>
          <w:rFonts w:hint="eastAsia" w:ascii="仿宋_GB2312" w:eastAsia="仿宋_GB2312"/>
          <w:sz w:val="32"/>
          <w:szCs w:val="32"/>
          <w:lang w:eastAsia="zh-CN"/>
        </w:rPr>
        <w:t>）</w:t>
      </w:r>
      <w:r>
        <w:rPr>
          <w:rFonts w:ascii="仿宋_GB2312" w:eastAsia="仿宋_GB2312"/>
          <w:sz w:val="32"/>
          <w:szCs w:val="32"/>
        </w:rPr>
        <w:t>组织开展教育教学科研和教育教学改革，以科学的发展和以人为本的管理理念注重学生的全面发展</w:t>
      </w:r>
      <w:r>
        <w:rPr>
          <w:rFonts w:hint="eastAsia" w:ascii="仿宋_GB2312" w:eastAsia="仿宋_GB2312"/>
          <w:sz w:val="32"/>
          <w:szCs w:val="32"/>
        </w:rPr>
        <w:t>。</w:t>
      </w:r>
    </w:p>
    <w:p>
      <w:pPr>
        <w:ind w:firstLine="640" w:firstLineChars="200"/>
        <w:outlineLvl w:val="1"/>
        <w:rPr>
          <w:rFonts w:ascii="黑体" w:hAnsi="黑体" w:eastAsia="黑体" w:cs="宋体"/>
          <w:bCs/>
          <w:kern w:val="0"/>
          <w:sz w:val="32"/>
          <w:szCs w:val="32"/>
        </w:rPr>
      </w:pPr>
      <w:bookmarkStart w:id="5" w:name="_Toc31238"/>
      <w:bookmarkStart w:id="6" w:name="_Toc2151"/>
      <w:r>
        <w:rPr>
          <w:rFonts w:hint="eastAsia" w:ascii="黑体" w:hAnsi="黑体" w:eastAsia="黑体" w:cs="宋体"/>
          <w:bCs/>
          <w:kern w:val="0"/>
          <w:sz w:val="32"/>
          <w:szCs w:val="32"/>
        </w:rPr>
        <w:t>二、机构设置及</w:t>
      </w:r>
      <w:bookmarkEnd w:id="5"/>
      <w:r>
        <w:rPr>
          <w:rFonts w:hint="eastAsia" w:ascii="黑体" w:hAnsi="黑体" w:eastAsia="黑体" w:cs="宋体"/>
          <w:bCs/>
          <w:kern w:val="0"/>
          <w:sz w:val="32"/>
          <w:szCs w:val="32"/>
        </w:rPr>
        <w:t>人员情况</w:t>
      </w:r>
      <w:bookmarkEnd w:id="6"/>
    </w:p>
    <w:p>
      <w:pPr>
        <w:ind w:firstLine="640" w:firstLineChars="200"/>
        <w:rPr>
          <w:rFonts w:ascii="仿宋_GB2312" w:eastAsia="仿宋_GB2312"/>
          <w:sz w:val="32"/>
          <w:szCs w:val="32"/>
        </w:rPr>
      </w:pPr>
      <w:r>
        <w:rPr>
          <w:rFonts w:hint="eastAsia" w:ascii="仿宋_GB2312" w:eastAsia="仿宋_GB2312"/>
          <w:sz w:val="32"/>
          <w:szCs w:val="32"/>
        </w:rPr>
        <w:t>新疆喀什地区叶城县第八小学</w:t>
      </w:r>
      <w:r>
        <w:rPr>
          <w:rFonts w:ascii="仿宋_GB2312" w:eastAsia="仿宋_GB2312"/>
          <w:sz w:val="32"/>
          <w:szCs w:val="32"/>
        </w:rPr>
        <w:t>2021</w:t>
      </w:r>
      <w:r>
        <w:rPr>
          <w:rFonts w:hint="eastAsia" w:ascii="仿宋_GB2312" w:eastAsia="仿宋_GB2312"/>
          <w:sz w:val="32"/>
          <w:szCs w:val="32"/>
        </w:rPr>
        <w:t>年度，实有人数</w:t>
      </w:r>
      <w:r>
        <w:rPr>
          <w:rFonts w:ascii="仿宋_GB2312" w:eastAsia="仿宋_GB2312"/>
          <w:sz w:val="32"/>
          <w:szCs w:val="32"/>
        </w:rPr>
        <w:t>160</w:t>
      </w:r>
      <w:r>
        <w:rPr>
          <w:rFonts w:hint="eastAsia" w:ascii="仿宋_GB2312" w:eastAsia="仿宋_GB2312"/>
          <w:sz w:val="32"/>
          <w:szCs w:val="32"/>
        </w:rPr>
        <w:t>人，其中：在职人员</w:t>
      </w:r>
      <w:r>
        <w:rPr>
          <w:rFonts w:ascii="仿宋_GB2312" w:eastAsia="仿宋_GB2312"/>
          <w:sz w:val="32"/>
          <w:szCs w:val="32"/>
        </w:rPr>
        <w:t>124</w:t>
      </w:r>
      <w:r>
        <w:rPr>
          <w:rFonts w:hint="eastAsia" w:ascii="仿宋_GB2312" w:eastAsia="仿宋_GB2312"/>
          <w:sz w:val="32"/>
          <w:szCs w:val="32"/>
        </w:rPr>
        <w:t>人，离休人员</w:t>
      </w:r>
      <w:r>
        <w:rPr>
          <w:rFonts w:ascii="仿宋_GB2312" w:eastAsia="仿宋_GB2312"/>
          <w:sz w:val="32"/>
          <w:szCs w:val="32"/>
        </w:rPr>
        <w:t>0</w:t>
      </w:r>
      <w:r>
        <w:rPr>
          <w:rFonts w:hint="eastAsia" w:ascii="仿宋_GB2312" w:eastAsia="仿宋_GB2312"/>
          <w:sz w:val="32"/>
          <w:szCs w:val="32"/>
        </w:rPr>
        <w:t>人，退休人员</w:t>
      </w:r>
      <w:r>
        <w:rPr>
          <w:rFonts w:ascii="仿宋_GB2312" w:eastAsia="仿宋_GB2312"/>
          <w:sz w:val="32"/>
          <w:szCs w:val="32"/>
        </w:rPr>
        <w:t>36</w:t>
      </w:r>
      <w:r>
        <w:rPr>
          <w:rFonts w:hint="eastAsia" w:ascii="仿宋_GB2312" w:eastAsia="仿宋_GB2312"/>
          <w:sz w:val="32"/>
          <w:szCs w:val="32"/>
        </w:rPr>
        <w:t>人。</w:t>
      </w:r>
    </w:p>
    <w:p>
      <w:pPr>
        <w:ind w:firstLine="640" w:firstLineChars="200"/>
        <w:rPr>
          <w:rFonts w:ascii="仿宋_GB2312" w:eastAsia="仿宋_GB2312"/>
          <w:sz w:val="32"/>
          <w:szCs w:val="32"/>
        </w:rPr>
      </w:pPr>
      <w:r>
        <w:rPr>
          <w:rFonts w:hint="eastAsia" w:ascii="仿宋_GB2312" w:eastAsia="仿宋_GB2312"/>
          <w:sz w:val="32"/>
          <w:szCs w:val="32"/>
        </w:rPr>
        <w:t>从部门决算单位构成看，新疆喀什地区叶城县第八小学部门决算包括：新疆喀什地区叶城县第八小学决算。</w:t>
      </w: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6</w:t>
      </w:r>
      <w:r>
        <w:rPr>
          <w:rFonts w:hint="eastAsia" w:ascii="仿宋_GB2312" w:hAnsi="黑体" w:eastAsia="仿宋_GB2312" w:cs="宋体"/>
          <w:bCs/>
          <w:kern w:val="0"/>
          <w:sz w:val="32"/>
          <w:szCs w:val="32"/>
        </w:rPr>
        <w:t>个处室，分别是：党建办、办公室、德育办、教务办、后勤办、财务室</w:t>
      </w:r>
      <w:r>
        <w:rPr>
          <w:rFonts w:hint="eastAsia" w:ascii="仿宋_GB2312" w:hAnsi="宋体" w:eastAsia="仿宋_GB2312" w:cs="宋体"/>
          <w:kern w:val="0"/>
          <w:sz w:val="32"/>
          <w:szCs w:val="32"/>
        </w:rPr>
        <w:t>。</w:t>
      </w:r>
    </w:p>
    <w:p>
      <w:pPr>
        <w:rPr>
          <w:rFonts w:ascii="Arial" w:hAnsi="Arial" w:cs="Arial"/>
          <w:color w:val="4D4D4D"/>
          <w:shd w:val="clear" w:color="auto" w:fill="FFFFFF"/>
        </w:rPr>
      </w:pPr>
      <w:r>
        <w:rPr>
          <w:rFonts w:ascii="Arial" w:hAnsi="Arial" w:cs="Arial"/>
          <w:color w:val="4D4D4D"/>
          <w:shd w:val="clear" w:color="auto" w:fill="FFFFFF"/>
        </w:rPr>
        <w:br w:type="page"/>
      </w:r>
    </w:p>
    <w:p>
      <w:pPr>
        <w:ind w:firstLine="640" w:firstLineChars="200"/>
        <w:jc w:val="center"/>
        <w:outlineLvl w:val="0"/>
        <w:rPr>
          <w:rFonts w:ascii="黑体" w:hAnsi="黑体" w:eastAsia="黑体"/>
          <w:sz w:val="32"/>
          <w:szCs w:val="32"/>
        </w:rPr>
      </w:pPr>
      <w:r>
        <w:rPr>
          <w:rFonts w:hint="eastAsia" w:ascii="黑体" w:hAnsi="黑体" w:eastAsia="黑体"/>
          <w:sz w:val="32"/>
          <w:szCs w:val="32"/>
        </w:rPr>
        <w:t>第二部分 部门决算情况说明</w:t>
      </w:r>
    </w:p>
    <w:p>
      <w:pPr>
        <w:ind w:firstLine="640" w:firstLineChars="200"/>
        <w:outlineLvl w:val="1"/>
        <w:rPr>
          <w:rFonts w:ascii="黑体" w:hAnsi="黑体" w:eastAsia="黑体" w:cs="宋体"/>
          <w:bCs/>
          <w:kern w:val="0"/>
          <w:sz w:val="32"/>
          <w:szCs w:val="32"/>
        </w:rPr>
      </w:pPr>
      <w:bookmarkStart w:id="7" w:name="_Toc12566"/>
      <w:bookmarkStart w:id="8" w:name="_Toc25314"/>
      <w:bookmarkStart w:id="9" w:name="_Hlk97807141"/>
      <w:r>
        <w:rPr>
          <w:rFonts w:hint="eastAsia" w:ascii="黑体" w:hAnsi="黑体" w:eastAsia="黑体" w:cs="宋体"/>
          <w:bCs/>
          <w:kern w:val="0"/>
          <w:sz w:val="32"/>
          <w:szCs w:val="32"/>
        </w:rPr>
        <w:t>一、收入支出决算总体情况说明</w:t>
      </w:r>
      <w:bookmarkEnd w:id="7"/>
      <w:bookmarkEnd w:id="8"/>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年度本年收入</w:t>
      </w:r>
      <w:r>
        <w:rPr>
          <w:rFonts w:ascii="仿宋_GB2312" w:eastAsia="仿宋_GB2312"/>
          <w:sz w:val="32"/>
          <w:szCs w:val="32"/>
        </w:rPr>
        <w:t>2,165.58</w:t>
      </w:r>
      <w:r>
        <w:rPr>
          <w:rFonts w:hint="eastAsia" w:ascii="仿宋_GB2312" w:eastAsia="仿宋_GB2312"/>
          <w:sz w:val="32"/>
          <w:szCs w:val="32"/>
        </w:rPr>
        <w:t>万元，与上年相比，增加474.89万元，</w:t>
      </w:r>
      <w:r>
        <w:rPr>
          <w:rFonts w:ascii="仿宋_GB2312" w:eastAsia="仿宋_GB2312"/>
          <w:sz w:val="32"/>
          <w:szCs w:val="32"/>
        </w:rPr>
        <w:t>增长28.09</w:t>
      </w:r>
      <w:r>
        <w:rPr>
          <w:rFonts w:hint="eastAsia" w:ascii="仿宋_GB2312" w:eastAsia="仿宋_GB2312"/>
          <w:sz w:val="32"/>
          <w:szCs w:val="32"/>
        </w:rPr>
        <w:t>%，主要原因是：2021年新增入编教师，2021年在职人员职务职别晋升，基本工资调整，基础绩效奖，人员工资增加，学生数增加，</w:t>
      </w:r>
      <w:r>
        <w:rPr>
          <w:rFonts w:hint="eastAsia" w:ascii="仿宋_GB2312" w:eastAsia="仿宋_GB2312"/>
          <w:sz w:val="32"/>
          <w:szCs w:val="32"/>
          <w:lang w:eastAsia="zh-CN"/>
        </w:rPr>
        <w:t>收入</w:t>
      </w:r>
      <w:r>
        <w:rPr>
          <w:rFonts w:hint="eastAsia" w:ascii="仿宋_GB2312" w:eastAsia="仿宋_GB2312"/>
          <w:sz w:val="32"/>
          <w:szCs w:val="32"/>
        </w:rPr>
        <w:t>相应增加。本年支出</w:t>
      </w:r>
      <w:r>
        <w:rPr>
          <w:rFonts w:ascii="仿宋_GB2312" w:eastAsia="仿宋_GB2312"/>
          <w:sz w:val="32"/>
          <w:szCs w:val="32"/>
        </w:rPr>
        <w:t>2,165.58</w:t>
      </w:r>
      <w:r>
        <w:rPr>
          <w:rFonts w:hint="eastAsia" w:ascii="仿宋_GB2312" w:eastAsia="仿宋_GB2312"/>
          <w:sz w:val="32"/>
          <w:szCs w:val="32"/>
        </w:rPr>
        <w:t>万元，与上年相比，</w:t>
      </w:r>
      <w:r>
        <w:rPr>
          <w:rFonts w:ascii="仿宋_GB2312" w:eastAsia="仿宋_GB2312"/>
          <w:sz w:val="32"/>
          <w:szCs w:val="32"/>
        </w:rPr>
        <w:t>增加474.89</w:t>
      </w:r>
      <w:r>
        <w:rPr>
          <w:rFonts w:hint="eastAsia" w:ascii="仿宋_GB2312" w:eastAsia="仿宋_GB2312"/>
          <w:sz w:val="32"/>
          <w:szCs w:val="32"/>
        </w:rPr>
        <w:t>万元，</w:t>
      </w:r>
      <w:r>
        <w:rPr>
          <w:rFonts w:ascii="仿宋_GB2312" w:eastAsia="仿宋_GB2312"/>
          <w:sz w:val="32"/>
          <w:szCs w:val="32"/>
        </w:rPr>
        <w:t>增长28.09</w:t>
      </w:r>
      <w:r>
        <w:rPr>
          <w:rFonts w:hint="eastAsia" w:ascii="仿宋_GB2312" w:eastAsia="仿宋_GB2312"/>
          <w:sz w:val="32"/>
          <w:szCs w:val="32"/>
        </w:rPr>
        <w:t>%，主要原因是：2021年新增入编教师，2021年在职人员职务职别晋升，基本工资调整，基础绩效奖，人员工资增加，学生数增加，</w:t>
      </w:r>
      <w:r>
        <w:rPr>
          <w:rFonts w:hint="eastAsia" w:ascii="仿宋_GB2312" w:eastAsia="仿宋_GB2312"/>
          <w:sz w:val="32"/>
          <w:szCs w:val="32"/>
          <w:lang w:eastAsia="zh-CN"/>
        </w:rPr>
        <w:t>支出</w:t>
      </w:r>
      <w:r>
        <w:rPr>
          <w:rFonts w:hint="eastAsia" w:ascii="仿宋_GB2312" w:eastAsia="仿宋_GB2312"/>
          <w:sz w:val="32"/>
          <w:szCs w:val="32"/>
        </w:rPr>
        <w:t>相应增加。</w:t>
      </w:r>
    </w:p>
    <w:p>
      <w:pPr>
        <w:ind w:firstLine="640" w:firstLineChars="200"/>
        <w:outlineLvl w:val="1"/>
        <w:rPr>
          <w:rFonts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年度本年收入</w:t>
      </w:r>
      <w:r>
        <w:rPr>
          <w:rFonts w:ascii="仿宋_GB2312" w:eastAsia="仿宋_GB2312"/>
          <w:sz w:val="32"/>
          <w:szCs w:val="32"/>
        </w:rPr>
        <w:t>2,165.58</w:t>
      </w:r>
      <w:r>
        <w:rPr>
          <w:rFonts w:hint="eastAsia" w:ascii="仿宋_GB2312" w:eastAsia="仿宋_GB2312"/>
          <w:sz w:val="32"/>
          <w:szCs w:val="32"/>
        </w:rPr>
        <w:t>万元，其中：财政拨款收入</w:t>
      </w:r>
      <w:r>
        <w:rPr>
          <w:rFonts w:ascii="仿宋_GB2312" w:eastAsia="仿宋_GB2312"/>
          <w:sz w:val="32"/>
          <w:szCs w:val="32"/>
        </w:rPr>
        <w:t>2,165.58</w:t>
      </w:r>
      <w:r>
        <w:rPr>
          <w:rFonts w:hint="eastAsia" w:ascii="仿宋_GB2312" w:eastAsia="仿宋_GB2312"/>
          <w:sz w:val="32"/>
          <w:szCs w:val="32"/>
        </w:rPr>
        <w:t>万元，占100.00%；上级补助收入</w:t>
      </w:r>
      <w:r>
        <w:rPr>
          <w:rFonts w:ascii="仿宋_GB2312" w:eastAsia="仿宋_GB2312"/>
          <w:sz w:val="32"/>
          <w:szCs w:val="32"/>
        </w:rPr>
        <w:t>0.00</w:t>
      </w:r>
      <w:r>
        <w:rPr>
          <w:rFonts w:hint="eastAsia" w:ascii="仿宋_GB2312" w:eastAsia="仿宋_GB2312"/>
          <w:sz w:val="32"/>
          <w:szCs w:val="32"/>
        </w:rPr>
        <w:t>万元，占0.00%；事业收入</w:t>
      </w:r>
      <w:r>
        <w:rPr>
          <w:rFonts w:ascii="仿宋_GB2312" w:eastAsia="仿宋_GB2312"/>
          <w:sz w:val="32"/>
          <w:szCs w:val="32"/>
        </w:rPr>
        <w:t>0.00</w:t>
      </w:r>
      <w:r>
        <w:rPr>
          <w:rFonts w:hint="eastAsia" w:ascii="仿宋_GB2312" w:eastAsia="仿宋_GB2312"/>
          <w:sz w:val="32"/>
          <w:szCs w:val="32"/>
        </w:rPr>
        <w:t>万元，占0.00%；经营收入</w:t>
      </w:r>
      <w:r>
        <w:rPr>
          <w:rFonts w:ascii="仿宋_GB2312" w:eastAsia="仿宋_GB2312"/>
          <w:sz w:val="32"/>
          <w:szCs w:val="32"/>
        </w:rPr>
        <w:t>0.00</w:t>
      </w:r>
      <w:r>
        <w:rPr>
          <w:rFonts w:hint="eastAsia" w:ascii="仿宋_GB2312" w:eastAsia="仿宋_GB2312"/>
          <w:sz w:val="32"/>
          <w:szCs w:val="32"/>
        </w:rPr>
        <w:t>万元，占0.00%；附属单位上缴收入</w:t>
      </w:r>
      <w:r>
        <w:rPr>
          <w:rFonts w:ascii="仿宋_GB2312" w:eastAsia="仿宋_GB2312"/>
          <w:sz w:val="32"/>
          <w:szCs w:val="32"/>
        </w:rPr>
        <w:t>0.00</w:t>
      </w:r>
      <w:r>
        <w:rPr>
          <w:rFonts w:hint="eastAsia" w:ascii="仿宋_GB2312" w:eastAsia="仿宋_GB2312"/>
          <w:sz w:val="32"/>
          <w:szCs w:val="32"/>
        </w:rPr>
        <w:t>万元，占0.00%；其他收入</w:t>
      </w:r>
      <w:r>
        <w:rPr>
          <w:rFonts w:ascii="仿宋_GB2312" w:eastAsia="仿宋_GB2312"/>
          <w:sz w:val="32"/>
          <w:szCs w:val="32"/>
        </w:rPr>
        <w:t>0.00</w:t>
      </w:r>
      <w:r>
        <w:rPr>
          <w:rFonts w:hint="eastAsia" w:ascii="仿宋_GB2312" w:eastAsia="仿宋_GB2312"/>
          <w:sz w:val="32"/>
          <w:szCs w:val="32"/>
        </w:rPr>
        <w:t>万元，占0.00%。</w:t>
      </w:r>
    </w:p>
    <w:p>
      <w:pPr>
        <w:ind w:firstLine="640" w:firstLineChars="200"/>
        <w:outlineLvl w:val="1"/>
        <w:rPr>
          <w:rFonts w:ascii="黑体" w:hAnsi="黑体" w:eastAsia="黑体" w:cs="宋体"/>
          <w:bCs/>
          <w:kern w:val="0"/>
          <w:sz w:val="32"/>
          <w:szCs w:val="32"/>
        </w:rPr>
      </w:pPr>
      <w:bookmarkStart w:id="12" w:name="_Toc13201"/>
      <w:bookmarkStart w:id="13" w:name="_Toc27961"/>
      <w:r>
        <w:rPr>
          <w:rFonts w:hint="eastAsia" w:ascii="黑体" w:hAnsi="黑体" w:eastAsia="黑体" w:cs="宋体"/>
          <w:bCs/>
          <w:kern w:val="0"/>
          <w:sz w:val="32"/>
          <w:szCs w:val="32"/>
        </w:rPr>
        <w:t>三、支出决算情况说明</w:t>
      </w:r>
      <w:bookmarkEnd w:id="12"/>
      <w:bookmarkEnd w:id="13"/>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年度本年支出2,165.58万元，其中：基本支出</w:t>
      </w:r>
      <w:r>
        <w:rPr>
          <w:rFonts w:ascii="仿宋_GB2312" w:eastAsia="仿宋_GB2312"/>
          <w:sz w:val="32"/>
          <w:szCs w:val="32"/>
        </w:rPr>
        <w:t>1,670.61</w:t>
      </w:r>
      <w:r>
        <w:rPr>
          <w:rFonts w:hint="eastAsia" w:ascii="仿宋_GB2312" w:eastAsia="仿宋_GB2312"/>
          <w:sz w:val="32"/>
          <w:szCs w:val="32"/>
        </w:rPr>
        <w:t>万元，占77.14%；项目支出</w:t>
      </w:r>
      <w:r>
        <w:rPr>
          <w:rFonts w:ascii="仿宋_GB2312" w:eastAsia="仿宋_GB2312"/>
          <w:sz w:val="32"/>
          <w:szCs w:val="32"/>
        </w:rPr>
        <w:t>494.97</w:t>
      </w:r>
      <w:r>
        <w:rPr>
          <w:rFonts w:hint="eastAsia" w:ascii="仿宋_GB2312" w:eastAsia="仿宋_GB2312"/>
          <w:sz w:val="32"/>
          <w:szCs w:val="32"/>
        </w:rPr>
        <w:t>万元，占22.86%；上缴上级支出</w:t>
      </w:r>
      <w:r>
        <w:rPr>
          <w:rFonts w:ascii="仿宋_GB2312" w:eastAsia="仿宋_GB2312"/>
          <w:sz w:val="32"/>
          <w:szCs w:val="32"/>
        </w:rPr>
        <w:t>0.00</w:t>
      </w:r>
      <w:r>
        <w:rPr>
          <w:rFonts w:hint="eastAsia" w:ascii="仿宋_GB2312" w:eastAsia="仿宋_GB2312"/>
          <w:sz w:val="32"/>
          <w:szCs w:val="32"/>
        </w:rPr>
        <w:t>万元，占0.00%；经营支出</w:t>
      </w:r>
      <w:r>
        <w:rPr>
          <w:rFonts w:ascii="仿宋_GB2312" w:eastAsia="仿宋_GB2312"/>
          <w:sz w:val="32"/>
          <w:szCs w:val="32"/>
        </w:rPr>
        <w:t>0.00</w:t>
      </w:r>
      <w:r>
        <w:rPr>
          <w:rFonts w:hint="eastAsia" w:ascii="仿宋_GB2312" w:eastAsia="仿宋_GB2312"/>
          <w:sz w:val="32"/>
          <w:szCs w:val="32"/>
        </w:rPr>
        <w:t>万元，占</w:t>
      </w:r>
      <w:r>
        <w:rPr>
          <w:rFonts w:ascii="仿宋_GB2312" w:eastAsia="仿宋_GB2312"/>
          <w:sz w:val="32"/>
          <w:szCs w:val="32"/>
        </w:rPr>
        <w:t>0.00</w:t>
      </w:r>
      <w:r>
        <w:rPr>
          <w:rFonts w:hint="eastAsia" w:ascii="仿宋_GB2312" w:eastAsia="仿宋_GB2312"/>
          <w:sz w:val="32"/>
          <w:szCs w:val="32"/>
        </w:rPr>
        <w:t>%；对附属单位补助支出0.00万元，占0.00%。</w:t>
      </w:r>
    </w:p>
    <w:bookmarkEnd w:id="9"/>
    <w:p>
      <w:pPr>
        <w:ind w:firstLine="640" w:firstLineChars="200"/>
        <w:outlineLvl w:val="1"/>
        <w:rPr>
          <w:rFonts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财政拨款收入2,165.58万元，与上年相比，增加474.89万元，增长28.09%，主要原因是：2021年新增入编教师，2021年在职人员职务职别晋升，基本工资调整，基础绩效奖，人员工资增加，学生数增加，财政拨款收入相应增加。财政拨款支出2,165.58万元，与上年相比，增加474.89万元，增长28.09%，主要原因是：2021年新增入编教师，2021年在职人员职务职别晋升，基本工资调整，基础绩效奖，人员工资增加，学生数增加，财政拨款支出相应增加。</w:t>
      </w:r>
    </w:p>
    <w:p>
      <w:pPr>
        <w:ind w:firstLine="640" w:firstLineChars="200"/>
        <w:rPr>
          <w:rFonts w:ascii="仿宋_GB2312" w:eastAsia="仿宋_GB2312"/>
          <w:sz w:val="32"/>
          <w:szCs w:val="32"/>
        </w:rPr>
      </w:pPr>
      <w:bookmarkStart w:id="54" w:name="_GoBack"/>
      <w:r>
        <w:rPr>
          <w:rFonts w:hint="eastAsia" w:ascii="仿宋_GB2312" w:eastAsia="仿宋_GB2312"/>
          <w:sz w:val="32"/>
          <w:szCs w:val="32"/>
        </w:rPr>
        <w:t>与年初预算数相比情况：财政拨款收入年初预算数</w:t>
      </w:r>
      <w:r>
        <w:rPr>
          <w:rFonts w:ascii="仿宋_GB2312" w:eastAsia="仿宋_GB2312"/>
          <w:sz w:val="32"/>
          <w:szCs w:val="32"/>
        </w:rPr>
        <w:t>1,412.05</w:t>
      </w:r>
      <w:r>
        <w:rPr>
          <w:rFonts w:hint="eastAsia" w:ascii="仿宋_GB2312" w:eastAsia="仿宋_GB2312"/>
          <w:sz w:val="32"/>
          <w:szCs w:val="32"/>
        </w:rPr>
        <w:t>万元，决算数</w:t>
      </w:r>
      <w:r>
        <w:rPr>
          <w:rFonts w:ascii="仿宋_GB2312" w:eastAsia="仿宋_GB2312"/>
          <w:sz w:val="32"/>
          <w:szCs w:val="32"/>
        </w:rPr>
        <w:t>2,165.58</w:t>
      </w:r>
      <w:r>
        <w:rPr>
          <w:rFonts w:hint="eastAsia" w:ascii="仿宋_GB2312" w:eastAsia="仿宋_GB2312"/>
          <w:sz w:val="32"/>
          <w:szCs w:val="32"/>
        </w:rPr>
        <w:t>万元，预决算差异率</w:t>
      </w:r>
      <w:r>
        <w:rPr>
          <w:rFonts w:ascii="仿宋_GB2312" w:eastAsia="仿宋_GB2312"/>
          <w:sz w:val="32"/>
          <w:szCs w:val="32"/>
        </w:rPr>
        <w:t>53.36</w:t>
      </w:r>
      <w:r>
        <w:rPr>
          <w:rFonts w:hint="eastAsia" w:ascii="仿宋_GB2312" w:eastAsia="仿宋_GB2312"/>
          <w:sz w:val="32"/>
          <w:szCs w:val="32"/>
        </w:rPr>
        <w:t>%，主要原因是：2021年新增入编教师，2021年在职人员职务职别晋升，基本工资调整，基础绩效奖，人员工资增加，学生数增加，年中追加以上经费预算。财政拨款支出年初预算数</w:t>
      </w:r>
      <w:r>
        <w:rPr>
          <w:rFonts w:ascii="仿宋_GB2312" w:eastAsia="仿宋_GB2312"/>
          <w:sz w:val="32"/>
          <w:szCs w:val="32"/>
        </w:rPr>
        <w:t>1,412.05</w:t>
      </w:r>
      <w:r>
        <w:rPr>
          <w:rFonts w:hint="eastAsia" w:ascii="仿宋_GB2312" w:eastAsia="仿宋_GB2312"/>
          <w:sz w:val="32"/>
          <w:szCs w:val="32"/>
        </w:rPr>
        <w:t>万元，决算数</w:t>
      </w:r>
      <w:r>
        <w:rPr>
          <w:rFonts w:ascii="仿宋_GB2312" w:eastAsia="仿宋_GB2312"/>
          <w:sz w:val="32"/>
          <w:szCs w:val="32"/>
        </w:rPr>
        <w:t>2,165.58</w:t>
      </w:r>
      <w:r>
        <w:rPr>
          <w:rFonts w:hint="eastAsia" w:ascii="仿宋_GB2312" w:eastAsia="仿宋_GB2312"/>
          <w:sz w:val="32"/>
          <w:szCs w:val="32"/>
        </w:rPr>
        <w:t>万元，预决算差异率53.36%，主要原因是：2021年新增入编教师，2021年在职人员职务职别晋升，基本工资调整，基础绩效奖，人员工资增加，学生数增加，年中追加以上经费预算。</w:t>
      </w:r>
    </w:p>
    <w:bookmarkEnd w:id="54"/>
    <w:p>
      <w:pPr>
        <w:ind w:firstLine="640" w:firstLineChars="200"/>
        <w:outlineLvl w:val="1"/>
        <w:rPr>
          <w:rFonts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年度一般公共预算财政拨款支出2,165.58万元。按功能分类科目项级科目公开，其中：</w:t>
      </w:r>
    </w:p>
    <w:p>
      <w:pPr>
        <w:jc w:val="left"/>
        <w:rPr>
          <w:rFonts w:ascii="仿宋_GB2312" w:eastAsia="仿宋_GB2312"/>
          <w:sz w:val="32"/>
          <w:szCs w:val="32"/>
        </w:rPr>
      </w:pPr>
      <w:bookmarkStart w:id="18" w:name="_Toc11146"/>
      <w:bookmarkStart w:id="19" w:name="_Toc30870"/>
      <w:r>
        <w:rPr>
          <w:rFonts w:ascii="仿宋_GB2312" w:eastAsia="仿宋_GB2312"/>
          <w:sz w:val="32"/>
          <w:szCs w:val="32"/>
        </w:rPr>
        <w:tab/>
      </w:r>
      <w:r>
        <w:rPr>
          <w:rFonts w:ascii="仿宋_GB2312" w:eastAsia="仿宋_GB2312"/>
          <w:sz w:val="32"/>
          <w:szCs w:val="32"/>
        </w:rPr>
        <w:t xml:space="preserve"> 2050202小学教育2,013.42万元；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2080505机关事业单位基本养老保险缴费支出152.16万元。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w:t>
      </w:r>
      <w:r>
        <w:rPr>
          <w:rFonts w:hint="eastAsia" w:ascii="黑体" w:hAnsi="黑体" w:eastAsia="黑体" w:cs="宋体"/>
          <w:bCs/>
          <w:kern w:val="0"/>
          <w:sz w:val="32"/>
          <w:szCs w:val="32"/>
        </w:rPr>
        <w:t>六、一般公共预算财政拨款基本支出决算情况说明</w:t>
      </w:r>
      <w:bookmarkEnd w:id="18"/>
      <w:bookmarkEnd w:id="19"/>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年度一般公共预算财政拨款基本支出</w:t>
      </w:r>
      <w:r>
        <w:rPr>
          <w:rFonts w:ascii="仿宋_GB2312" w:eastAsia="仿宋_GB2312"/>
          <w:sz w:val="32"/>
          <w:szCs w:val="32"/>
        </w:rPr>
        <w:t>1,670.61</w:t>
      </w:r>
      <w:r>
        <w:rPr>
          <w:rFonts w:hint="eastAsia" w:ascii="仿宋_GB2312" w:eastAsia="仿宋_GB2312"/>
          <w:sz w:val="32"/>
          <w:szCs w:val="32"/>
        </w:rPr>
        <w:t>万元，其中：</w:t>
      </w:r>
    </w:p>
    <w:p>
      <w:pPr>
        <w:ind w:firstLine="640" w:firstLineChars="200"/>
        <w:rPr>
          <w:rFonts w:ascii="仿宋_GB2312" w:eastAsia="仿宋_GB2312"/>
          <w:sz w:val="32"/>
          <w:szCs w:val="32"/>
        </w:rPr>
      </w:pPr>
      <w:r>
        <w:rPr>
          <w:rFonts w:hint="eastAsia" w:ascii="仿宋_GB2312" w:eastAsia="仿宋_GB2312"/>
          <w:sz w:val="32"/>
          <w:szCs w:val="32"/>
        </w:rPr>
        <w:t>人员经费</w:t>
      </w:r>
      <w:r>
        <w:rPr>
          <w:rFonts w:ascii="仿宋_GB2312" w:eastAsia="仿宋_GB2312"/>
          <w:sz w:val="32"/>
          <w:szCs w:val="32"/>
        </w:rPr>
        <w:t>1,670.61</w:t>
      </w:r>
      <w:r>
        <w:rPr>
          <w:rFonts w:hint="eastAsia" w:ascii="仿宋_GB2312" w:eastAsia="仿宋_GB2312"/>
          <w:sz w:val="32"/>
          <w:szCs w:val="32"/>
        </w:rPr>
        <w:t>万元，包括：基本工资、津贴补贴、奖金、绩效工资、机关事业单位基本养老保险缴费、职工基本医疗保险缴费、其他社会保障缴费、住房公积金、退休费、生活补助、奖励金</w:t>
      </w:r>
      <w:r>
        <w:rPr>
          <w:rFonts w:hint="eastAsia" w:ascii="仿宋_GB2312" w:hAnsi="宋体" w:eastAsia="仿宋_GB2312" w:cs="宋体"/>
          <w:kern w:val="0"/>
          <w:sz w:val="32"/>
          <w:szCs w:val="32"/>
        </w:rPr>
        <w:t>。</w:t>
      </w:r>
    </w:p>
    <w:p>
      <w:pPr>
        <w:ind w:firstLine="640" w:firstLineChars="200"/>
        <w:rPr>
          <w:rFonts w:ascii="仿宋_GB2312" w:eastAsia="仿宋_GB2312"/>
          <w:sz w:val="32"/>
          <w:szCs w:val="32"/>
        </w:rPr>
      </w:pPr>
      <w:r>
        <w:rPr>
          <w:rFonts w:hint="eastAsia" w:ascii="仿宋_GB2312" w:eastAsia="仿宋_GB2312"/>
          <w:sz w:val="32"/>
          <w:szCs w:val="32"/>
        </w:rPr>
        <w:t>公用经费0.00万元，包括：无公用经费</w:t>
      </w:r>
      <w:r>
        <w:rPr>
          <w:rFonts w:hint="eastAsia" w:ascii="仿宋_GB2312" w:hAnsi="宋体" w:eastAsia="仿宋_GB2312" w:cs="宋体"/>
          <w:kern w:val="0"/>
          <w:sz w:val="32"/>
          <w:szCs w:val="32"/>
        </w:rPr>
        <w:t>。</w:t>
      </w:r>
    </w:p>
    <w:p>
      <w:pPr>
        <w:ind w:firstLine="640" w:firstLineChars="200"/>
        <w:outlineLvl w:val="1"/>
        <w:rPr>
          <w:rFonts w:ascii="黑体" w:hAnsi="黑体" w:eastAsia="黑体" w:cs="宋体"/>
          <w:bCs/>
          <w:kern w:val="0"/>
          <w:sz w:val="32"/>
          <w:szCs w:val="32"/>
        </w:rPr>
      </w:pPr>
      <w:bookmarkStart w:id="20" w:name="_Toc7190"/>
      <w:bookmarkStart w:id="21" w:name="_Toc21518"/>
      <w:r>
        <w:rPr>
          <w:rFonts w:hint="eastAsia" w:ascii="黑体" w:hAnsi="黑体" w:eastAsia="黑体" w:cs="宋体"/>
          <w:bCs/>
          <w:kern w:val="0"/>
          <w:sz w:val="32"/>
          <w:szCs w:val="32"/>
        </w:rPr>
        <w:t>七、一般公共预算财政拨款“三公”经费支出决算情况说明</w:t>
      </w:r>
      <w:bookmarkEnd w:id="20"/>
      <w:bookmarkEnd w:id="21"/>
    </w:p>
    <w:p>
      <w:pPr>
        <w:pStyle w:val="9"/>
        <w:widowControl/>
        <w:shd w:val="clear" w:color="auto" w:fill="FFFFFF"/>
        <w:ind w:firstLine="640" w:firstLineChars="200"/>
        <w:rPr>
          <w:rFonts w:hint="default" w:ascii="仿宋_GB2312" w:eastAsia="仿宋_GB2312"/>
          <w:sz w:val="32"/>
          <w:szCs w:val="32"/>
        </w:rPr>
      </w:pPr>
      <w:r>
        <w:rPr>
          <w:rFonts w:ascii="仿宋_GB2312" w:eastAsia="仿宋_GB2312"/>
          <w:sz w:val="32"/>
          <w:szCs w:val="32"/>
        </w:rPr>
        <w:t>2021年度一般公共预算“三公”经费支出决算0.00万元，比上年增加0.00万元，增长0.00%，主要原因是</w:t>
      </w:r>
      <w:r>
        <w:rPr>
          <w:rFonts w:hint="eastAsia" w:ascii="仿宋_GB2312" w:eastAsia="仿宋_GB2312"/>
          <w:sz w:val="32"/>
          <w:szCs w:val="32"/>
          <w:lang w:eastAsia="zh-CN"/>
        </w:rPr>
        <w:t>：</w:t>
      </w:r>
      <w:r>
        <w:rPr>
          <w:rFonts w:ascii="仿宋_GB2312" w:eastAsia="仿宋_GB2312"/>
          <w:sz w:val="32"/>
          <w:szCs w:val="32"/>
        </w:rPr>
        <w:t>我单位无一般公共预算“三公”经费支出。其中</w:t>
      </w:r>
      <w:r>
        <w:rPr>
          <w:rFonts w:hint="eastAsia" w:ascii="仿宋_GB2312" w:eastAsia="仿宋_GB2312"/>
          <w:sz w:val="32"/>
          <w:szCs w:val="32"/>
          <w:lang w:eastAsia="zh-CN"/>
        </w:rPr>
        <w:t>：</w:t>
      </w:r>
      <w:r>
        <w:rPr>
          <w:rFonts w:ascii="仿宋_GB2312" w:eastAsia="仿宋_GB2312"/>
          <w:sz w:val="32"/>
          <w:szCs w:val="32"/>
        </w:rPr>
        <w:t>因公出国（境）费支出0.00万元，占0.00%，比上年增加0.00万元，增长0.00%，主要原因是</w:t>
      </w:r>
      <w:r>
        <w:rPr>
          <w:rFonts w:hint="eastAsia" w:ascii="仿宋_GB2312" w:eastAsia="仿宋_GB2312"/>
          <w:sz w:val="32"/>
          <w:szCs w:val="32"/>
          <w:lang w:eastAsia="zh-CN"/>
        </w:rPr>
        <w:t>：</w:t>
      </w:r>
      <w:r>
        <w:rPr>
          <w:rFonts w:ascii="仿宋_GB2312" w:eastAsia="仿宋_GB2312"/>
          <w:sz w:val="32"/>
          <w:szCs w:val="32"/>
        </w:rPr>
        <w:t>我单位无因公出国（境）费；公务用车购置及运行维护费支出0.00万元，占0.00%，比上年增加0.00万元，增长0.00%，主要原因是：我单位无公务用车购置及运行维护费；公务接待费支出0.00万元，占0.00%，比上年增加0.00万元，增长0.00%，主要原因是</w:t>
      </w:r>
      <w:r>
        <w:rPr>
          <w:rFonts w:hint="eastAsia" w:ascii="仿宋_GB2312" w:eastAsia="仿宋_GB2312"/>
          <w:sz w:val="32"/>
          <w:szCs w:val="32"/>
          <w:lang w:eastAsia="zh-CN"/>
        </w:rPr>
        <w:t>：</w:t>
      </w:r>
      <w:r>
        <w:rPr>
          <w:rFonts w:ascii="仿宋_GB2312" w:eastAsia="仿宋_GB2312"/>
          <w:sz w:val="32"/>
          <w:szCs w:val="32"/>
        </w:rPr>
        <w:t>我单位无公务接待费。具体情况如下：</w:t>
      </w:r>
    </w:p>
    <w:p>
      <w:pPr>
        <w:ind w:firstLine="640" w:firstLineChars="200"/>
        <w:rPr>
          <w:rFonts w:ascii="仿宋_GB2312" w:eastAsia="仿宋_GB2312"/>
          <w:sz w:val="32"/>
          <w:szCs w:val="32"/>
        </w:rPr>
      </w:pPr>
      <w:r>
        <w:rPr>
          <w:rFonts w:hint="eastAsia" w:ascii="仿宋_GB2312" w:eastAsia="仿宋_GB2312"/>
          <w:sz w:val="32"/>
          <w:szCs w:val="32"/>
        </w:rPr>
        <w:t>因公出国（境）费支出</w:t>
      </w:r>
      <w:r>
        <w:rPr>
          <w:rFonts w:ascii="仿宋_GB2312" w:eastAsia="仿宋_GB2312"/>
          <w:sz w:val="32"/>
          <w:szCs w:val="32"/>
        </w:rPr>
        <w:t>0.00</w:t>
      </w:r>
      <w:r>
        <w:rPr>
          <w:rFonts w:hint="eastAsia" w:ascii="仿宋_GB2312" w:eastAsia="仿宋_GB2312"/>
          <w:sz w:val="32"/>
          <w:szCs w:val="32"/>
        </w:rPr>
        <w:t>万元，开支内容包括我单位无因公出国（境）费。单位全年安排的因公出国（境）团组</w:t>
      </w:r>
      <w:r>
        <w:rPr>
          <w:rFonts w:ascii="仿宋_GB2312" w:eastAsia="仿宋_GB2312"/>
          <w:sz w:val="32"/>
          <w:szCs w:val="32"/>
        </w:rPr>
        <w:t>0</w:t>
      </w:r>
      <w:r>
        <w:rPr>
          <w:rFonts w:hint="eastAsia" w:ascii="仿宋_GB2312" w:eastAsia="仿宋_GB2312"/>
          <w:sz w:val="32"/>
          <w:szCs w:val="32"/>
        </w:rPr>
        <w:t>个，因公出国（境）0人次。</w:t>
      </w:r>
    </w:p>
    <w:p>
      <w:pPr>
        <w:ind w:firstLine="640" w:firstLineChars="200"/>
        <w:rPr>
          <w:rFonts w:ascii="仿宋_GB2312" w:eastAsia="仿宋_GB2312"/>
          <w:sz w:val="32"/>
          <w:szCs w:val="32"/>
        </w:rPr>
      </w:pPr>
      <w:r>
        <w:rPr>
          <w:rFonts w:hint="eastAsia" w:ascii="仿宋_GB2312" w:eastAsia="仿宋_GB2312"/>
          <w:sz w:val="32"/>
          <w:szCs w:val="32"/>
        </w:rPr>
        <w:t>公务用车购置及运行维护费</w:t>
      </w:r>
      <w:r>
        <w:rPr>
          <w:rFonts w:ascii="仿宋_GB2312" w:eastAsia="仿宋_GB2312"/>
          <w:sz w:val="32"/>
          <w:szCs w:val="32"/>
        </w:rPr>
        <w:t>0.00</w:t>
      </w:r>
      <w:r>
        <w:rPr>
          <w:rFonts w:hint="eastAsia" w:ascii="仿宋_GB2312" w:eastAsia="仿宋_GB2312"/>
          <w:sz w:val="32"/>
          <w:szCs w:val="32"/>
        </w:rPr>
        <w:t>万元，其中</w:t>
      </w:r>
      <w:r>
        <w:rPr>
          <w:rFonts w:hint="eastAsia" w:ascii="仿宋_GB2312" w:eastAsia="仿宋_GB2312"/>
          <w:sz w:val="32"/>
          <w:szCs w:val="32"/>
          <w:lang w:eastAsia="zh-CN"/>
        </w:rPr>
        <w:t>：</w:t>
      </w:r>
      <w:r>
        <w:rPr>
          <w:rFonts w:hint="eastAsia" w:ascii="仿宋_GB2312" w:eastAsia="仿宋_GB2312"/>
          <w:sz w:val="32"/>
          <w:szCs w:val="32"/>
        </w:rPr>
        <w:t>公务用车购置费</w:t>
      </w:r>
      <w:r>
        <w:rPr>
          <w:rFonts w:ascii="仿宋_GB2312" w:eastAsia="仿宋_GB2312"/>
          <w:sz w:val="32"/>
          <w:szCs w:val="32"/>
        </w:rPr>
        <w:t>0.00</w:t>
      </w:r>
      <w:r>
        <w:rPr>
          <w:rFonts w:hint="eastAsia" w:ascii="仿宋_GB2312" w:eastAsia="仿宋_GB2312"/>
          <w:sz w:val="32"/>
          <w:szCs w:val="32"/>
        </w:rPr>
        <w:t>万元，公务用车运行维护费</w:t>
      </w:r>
      <w:r>
        <w:rPr>
          <w:rFonts w:ascii="仿宋_GB2312" w:eastAsia="仿宋_GB2312"/>
          <w:sz w:val="32"/>
          <w:szCs w:val="32"/>
        </w:rPr>
        <w:t>0.00</w:t>
      </w:r>
      <w:r>
        <w:rPr>
          <w:rFonts w:hint="eastAsia" w:ascii="仿宋_GB2312" w:eastAsia="仿宋_GB2312"/>
          <w:sz w:val="32"/>
          <w:szCs w:val="32"/>
        </w:rPr>
        <w:t>万元。公务用车运行维护费开支内容包括：我单位无公务用车运行维护费。公务用车购置数</w:t>
      </w:r>
      <w:r>
        <w:rPr>
          <w:rFonts w:ascii="仿宋_GB2312" w:eastAsia="仿宋_GB2312"/>
          <w:sz w:val="32"/>
          <w:szCs w:val="32"/>
        </w:rPr>
        <w:t>0</w:t>
      </w:r>
      <w:r>
        <w:rPr>
          <w:rFonts w:hint="eastAsia" w:ascii="仿宋_GB2312" w:eastAsia="仿宋_GB2312"/>
          <w:sz w:val="32"/>
          <w:szCs w:val="32"/>
        </w:rPr>
        <w:t>辆，公务用车保有量0辆。</w:t>
      </w:r>
    </w:p>
    <w:p>
      <w:pPr>
        <w:ind w:firstLine="640" w:firstLineChars="200"/>
        <w:rPr>
          <w:rFonts w:ascii="仿宋_GB2312" w:eastAsia="仿宋_GB2312"/>
          <w:sz w:val="32"/>
          <w:szCs w:val="32"/>
        </w:rPr>
      </w:pPr>
      <w:r>
        <w:rPr>
          <w:rFonts w:hint="eastAsia" w:ascii="仿宋_GB2312" w:eastAsia="仿宋_GB2312"/>
          <w:sz w:val="32"/>
          <w:szCs w:val="32"/>
        </w:rPr>
        <w:t>公务接待费</w:t>
      </w:r>
      <w:r>
        <w:rPr>
          <w:rFonts w:ascii="仿宋_GB2312" w:eastAsia="仿宋_GB2312"/>
          <w:sz w:val="32"/>
          <w:szCs w:val="32"/>
        </w:rPr>
        <w:t>0.00</w:t>
      </w:r>
      <w:r>
        <w:rPr>
          <w:rFonts w:hint="eastAsia" w:ascii="仿宋_GB2312" w:eastAsia="仿宋_GB2312"/>
          <w:sz w:val="32"/>
          <w:szCs w:val="32"/>
        </w:rPr>
        <w:t>万元，开支内容包括我单位无公务接待费。单位全年安排的国内公务接待</w:t>
      </w:r>
      <w:r>
        <w:rPr>
          <w:rFonts w:ascii="仿宋_GB2312" w:eastAsia="仿宋_GB2312"/>
          <w:sz w:val="32"/>
          <w:szCs w:val="32"/>
        </w:rPr>
        <w:t>0</w:t>
      </w:r>
      <w:r>
        <w:rPr>
          <w:rFonts w:hint="eastAsia" w:ascii="仿宋_GB2312" w:eastAsia="仿宋_GB2312"/>
          <w:sz w:val="32"/>
          <w:szCs w:val="32"/>
        </w:rPr>
        <w:t>批次，</w:t>
      </w:r>
      <w:r>
        <w:rPr>
          <w:rFonts w:ascii="仿宋_GB2312" w:eastAsia="仿宋_GB2312"/>
          <w:sz w:val="32"/>
          <w:szCs w:val="32"/>
        </w:rPr>
        <w:t>0</w:t>
      </w:r>
      <w:r>
        <w:rPr>
          <w:rFonts w:hint="eastAsia" w:ascii="仿宋_GB2312" w:eastAsia="仿宋_GB2312"/>
          <w:sz w:val="32"/>
          <w:szCs w:val="32"/>
        </w:rPr>
        <w:t>人次。</w:t>
      </w:r>
    </w:p>
    <w:p>
      <w:pPr>
        <w:ind w:firstLine="640" w:firstLineChars="200"/>
        <w:rPr>
          <w:rFonts w:ascii="仿宋_GB2312" w:eastAsia="仿宋_GB2312"/>
          <w:sz w:val="32"/>
          <w:szCs w:val="32"/>
        </w:rPr>
      </w:pPr>
      <w:r>
        <w:rPr>
          <w:rFonts w:hint="eastAsia" w:ascii="仿宋_GB2312" w:eastAsia="仿宋_GB2312"/>
          <w:sz w:val="32"/>
          <w:szCs w:val="32"/>
        </w:rPr>
        <w:t>与年初预算数相比情况：一般公共预算“三公”经费支出年初预算数0.00万元，决算数</w:t>
      </w:r>
      <w:r>
        <w:rPr>
          <w:rFonts w:ascii="仿宋_GB2312" w:eastAsia="仿宋_GB2312"/>
          <w:sz w:val="32"/>
          <w:szCs w:val="32"/>
        </w:rPr>
        <w:t>0.00</w:t>
      </w:r>
      <w:r>
        <w:rPr>
          <w:rFonts w:hint="eastAsia" w:ascii="仿宋_GB2312" w:eastAsia="仿宋_GB2312"/>
          <w:sz w:val="32"/>
          <w:szCs w:val="32"/>
        </w:rPr>
        <w:t>万元，预决算差异率0.00%，主要原因是：我单位无一般公共预算“三公”经费支出。</w:t>
      </w:r>
      <w:r>
        <w:rPr>
          <w:rFonts w:hint="eastAsia" w:ascii="仿宋_GB2312" w:hAnsi="宋体" w:eastAsia="仿宋_GB2312" w:cs="宋体"/>
          <w:kern w:val="0"/>
          <w:sz w:val="32"/>
          <w:szCs w:val="32"/>
        </w:rPr>
        <w:t>其中：因公出国（境）费</w:t>
      </w:r>
      <w:r>
        <w:rPr>
          <w:rFonts w:hint="eastAsia" w:ascii="仿宋_GB2312" w:eastAsia="仿宋_GB2312"/>
          <w:sz w:val="32"/>
          <w:szCs w:val="32"/>
        </w:rPr>
        <w:t>预算数0.00万元，决算数0.00万元，预决算差异率0.00%，主要原因是：我单位无因公出国（境）费；</w:t>
      </w:r>
      <w:r>
        <w:rPr>
          <w:rFonts w:hint="eastAsia" w:ascii="仿宋_GB2312" w:hAnsi="宋体" w:eastAsia="仿宋_GB2312" w:cs="宋体"/>
          <w:kern w:val="0"/>
          <w:sz w:val="32"/>
          <w:szCs w:val="32"/>
        </w:rPr>
        <w:t>公务用车购置</w:t>
      </w:r>
      <w:r>
        <w:rPr>
          <w:rFonts w:hint="eastAsia" w:ascii="仿宋_GB2312" w:eastAsia="仿宋_GB2312"/>
          <w:sz w:val="32"/>
          <w:szCs w:val="32"/>
        </w:rPr>
        <w:t>费预算数0.00万元，决算数0.00万元，预决算差异率0.00%，主要原因是：我单位无公务用车购置费；</w:t>
      </w:r>
      <w:r>
        <w:rPr>
          <w:rFonts w:hint="eastAsia" w:ascii="仿宋_GB2312" w:hAnsi="宋体" w:eastAsia="仿宋_GB2312" w:cs="宋体"/>
          <w:kern w:val="0"/>
          <w:sz w:val="32"/>
          <w:szCs w:val="32"/>
        </w:rPr>
        <w:t>公务用车运行费</w:t>
      </w:r>
      <w:r>
        <w:rPr>
          <w:rFonts w:hint="eastAsia" w:ascii="仿宋_GB2312" w:eastAsia="仿宋_GB2312"/>
          <w:sz w:val="32"/>
          <w:szCs w:val="32"/>
        </w:rPr>
        <w:t>预算数0.00万元，决算数0.00万元，预决算差异率0.00%，主要原因是：我单位无公务用车运行维护费；</w:t>
      </w:r>
      <w:r>
        <w:rPr>
          <w:rFonts w:hint="eastAsia" w:ascii="仿宋_GB2312" w:hAnsi="宋体" w:eastAsia="仿宋_GB2312" w:cs="宋体"/>
          <w:kern w:val="0"/>
          <w:sz w:val="32"/>
          <w:szCs w:val="32"/>
        </w:rPr>
        <w:t>公务接待费</w:t>
      </w:r>
      <w:r>
        <w:rPr>
          <w:rFonts w:hint="eastAsia" w:ascii="仿宋_GB2312" w:eastAsia="仿宋_GB2312"/>
          <w:sz w:val="32"/>
          <w:szCs w:val="32"/>
        </w:rPr>
        <w:t>预算数</w:t>
      </w:r>
      <w:r>
        <w:rPr>
          <w:rFonts w:ascii="仿宋_GB2312" w:eastAsia="仿宋_GB2312"/>
          <w:sz w:val="32"/>
          <w:szCs w:val="32"/>
        </w:rPr>
        <w:t>0.00</w:t>
      </w:r>
      <w:r>
        <w:rPr>
          <w:rFonts w:hint="eastAsia" w:ascii="仿宋_GB2312" w:eastAsia="仿宋_GB2312"/>
          <w:sz w:val="32"/>
          <w:szCs w:val="32"/>
        </w:rPr>
        <w:t>万元，决算数</w:t>
      </w:r>
      <w:r>
        <w:rPr>
          <w:rFonts w:ascii="仿宋_GB2312" w:eastAsia="仿宋_GB2312"/>
          <w:sz w:val="32"/>
          <w:szCs w:val="32"/>
        </w:rPr>
        <w:t>0.00</w:t>
      </w:r>
      <w:r>
        <w:rPr>
          <w:rFonts w:hint="eastAsia" w:ascii="仿宋_GB2312" w:eastAsia="仿宋_GB2312"/>
          <w:sz w:val="32"/>
          <w:szCs w:val="32"/>
        </w:rPr>
        <w:t>万元，预决算差异率0.00%，主要原因是：我单位无公务接待费。</w:t>
      </w:r>
    </w:p>
    <w:p>
      <w:pPr>
        <w:ind w:firstLine="640" w:firstLineChars="200"/>
        <w:outlineLvl w:val="1"/>
        <w:rPr>
          <w:rFonts w:ascii="黑体" w:hAnsi="黑体" w:eastAsia="黑体" w:cs="宋体"/>
          <w:bCs/>
          <w:kern w:val="0"/>
          <w:sz w:val="32"/>
          <w:szCs w:val="32"/>
        </w:rPr>
      </w:pPr>
      <w:bookmarkStart w:id="22" w:name="_Toc7927"/>
      <w:bookmarkStart w:id="23" w:name="_Toc5810"/>
      <w:r>
        <w:rPr>
          <w:rFonts w:hint="eastAsia" w:ascii="黑体" w:hAnsi="黑体" w:eastAsia="黑体" w:cs="宋体"/>
          <w:bCs/>
          <w:kern w:val="0"/>
          <w:sz w:val="32"/>
          <w:szCs w:val="32"/>
        </w:rPr>
        <w:t>八、政府性基金预算财政拨款收入支出决算情况说明</w:t>
      </w:r>
      <w:bookmarkEnd w:id="22"/>
      <w:bookmarkEnd w:id="23"/>
    </w:p>
    <w:p>
      <w:pPr>
        <w:ind w:firstLine="640" w:firstLineChars="200"/>
        <w:rPr>
          <w:rFonts w:hint="eastAsia" w:ascii="仿宋_GB2312" w:hAnsi="宋体" w:eastAsia="仿宋_GB2312"/>
          <w:kern w:val="0"/>
          <w:sz w:val="32"/>
          <w:szCs w:val="32"/>
          <w:lang w:eastAsia="zh-CN"/>
        </w:rPr>
      </w:pPr>
      <w:r>
        <w:rPr>
          <w:rFonts w:hint="eastAsia" w:ascii="仿宋_GB2312" w:hAnsi="宋体" w:eastAsia="仿宋_GB2312"/>
          <w:kern w:val="0"/>
          <w:sz w:val="32"/>
          <w:szCs w:val="32"/>
        </w:rPr>
        <w:t>我单位本年度无政府性基金预算财政拨款收入支出，政府性基金预算财政拨款收入支出决算表为空表</w:t>
      </w:r>
      <w:r>
        <w:rPr>
          <w:rFonts w:hint="eastAsia" w:ascii="仿宋_GB2312" w:hAnsi="宋体" w:eastAsia="仿宋_GB2312"/>
          <w:kern w:val="0"/>
          <w:sz w:val="32"/>
          <w:szCs w:val="32"/>
          <w:lang w:eastAsia="zh-CN"/>
        </w:rPr>
        <w:t>。</w:t>
      </w:r>
    </w:p>
    <w:p>
      <w:pPr>
        <w:ind w:firstLine="640" w:firstLineChars="200"/>
        <w:rPr>
          <w:rFonts w:ascii="仿宋_GB2312" w:eastAsia="仿宋_GB2312"/>
          <w:sz w:val="32"/>
          <w:szCs w:val="32"/>
        </w:rPr>
      </w:pPr>
      <w:r>
        <w:rPr>
          <w:rFonts w:hint="eastAsia" w:ascii="黑体" w:hAnsi="黑体" w:eastAsia="黑体" w:cs="宋体"/>
          <w:bCs/>
          <w:kern w:val="0"/>
          <w:sz w:val="32"/>
          <w:szCs w:val="32"/>
        </w:rPr>
        <w:t>九、国有资本经营预算财政拨款收入支出决算情况说明</w:t>
      </w:r>
    </w:p>
    <w:p>
      <w:pPr>
        <w:ind w:firstLine="640" w:firstLineChars="200"/>
        <w:rPr>
          <w:rFonts w:ascii="Arial" w:hAnsi="Arial" w:cs="Arial"/>
          <w:color w:val="4D4D4D"/>
          <w:shd w:val="clear" w:color="auto" w:fill="FFFFFF"/>
        </w:rPr>
      </w:pPr>
      <w:r>
        <w:rPr>
          <w:rFonts w:hint="eastAsia" w:ascii="仿宋_GB2312" w:eastAsia="仿宋_GB2312"/>
          <w:sz w:val="32"/>
          <w:szCs w:val="32"/>
        </w:rPr>
        <w:t>我单位本年度无国有资本经营预算财政拨款收入支出，国有资本经营预算财政拨款收入支出决算表为空表。</w:t>
      </w:r>
    </w:p>
    <w:p>
      <w:pPr>
        <w:ind w:firstLine="640" w:firstLineChars="200"/>
        <w:outlineLvl w:val="1"/>
        <w:rPr>
          <w:rFonts w:ascii="黑体" w:hAnsi="黑体" w:eastAsia="黑体" w:cs="宋体"/>
          <w:bCs/>
          <w:kern w:val="0"/>
          <w:sz w:val="32"/>
          <w:szCs w:val="32"/>
        </w:rPr>
      </w:pPr>
      <w:bookmarkStart w:id="24" w:name="_Toc1235"/>
      <w:bookmarkStart w:id="25" w:name="_Toc7314"/>
      <w:r>
        <w:rPr>
          <w:rFonts w:hint="eastAsia" w:ascii="黑体" w:hAnsi="黑体" w:eastAsia="黑体" w:cs="宋体"/>
          <w:bCs/>
          <w:kern w:val="0"/>
          <w:sz w:val="32"/>
          <w:szCs w:val="32"/>
        </w:rPr>
        <w:t>十、其他重要事项的情况说明</w:t>
      </w:r>
      <w:bookmarkEnd w:id="24"/>
      <w:bookmarkEnd w:id="25"/>
    </w:p>
    <w:p>
      <w:pPr>
        <w:ind w:firstLine="640" w:firstLineChars="200"/>
        <w:outlineLvl w:val="2"/>
        <w:rPr>
          <w:rFonts w:hint="eastAsia" w:ascii="黑体" w:hAnsi="黑体" w:eastAsia="黑体"/>
          <w:sz w:val="32"/>
          <w:szCs w:val="32"/>
        </w:rPr>
      </w:pPr>
      <w:bookmarkStart w:id="26" w:name="_Toc14519"/>
      <w:bookmarkStart w:id="27" w:name="_Toc13105"/>
      <w:r>
        <w:rPr>
          <w:rFonts w:hint="eastAsia" w:ascii="黑体" w:hAnsi="黑体" w:eastAsia="黑体"/>
          <w:sz w:val="32"/>
          <w:szCs w:val="32"/>
        </w:rPr>
        <w:t>（一）机关运行经费支出情况</w:t>
      </w:r>
      <w:bookmarkEnd w:id="26"/>
      <w:bookmarkEnd w:id="27"/>
    </w:p>
    <w:p>
      <w:pPr>
        <w:ind w:firstLine="640" w:firstLineChars="200"/>
        <w:outlineLvl w:val="2"/>
        <w:rPr>
          <w:rFonts w:ascii="黑体" w:hAnsi="黑体" w:eastAsia="黑体"/>
          <w:sz w:val="32"/>
          <w:szCs w:val="32"/>
        </w:rPr>
      </w:pPr>
      <w:r>
        <w:rPr>
          <w:rFonts w:hint="eastAsia" w:ascii="仿宋_GB2312" w:eastAsia="仿宋_GB2312"/>
          <w:sz w:val="32"/>
          <w:szCs w:val="32"/>
        </w:rPr>
        <w:t>2021年度新疆喀什地区叶城县第八小学（事业单位）公用经费0.00万元，比</w:t>
      </w:r>
      <w:r>
        <w:rPr>
          <w:rFonts w:hint="eastAsia" w:ascii="仿宋_GB2312" w:eastAsia="仿宋_GB2312"/>
          <w:sz w:val="32"/>
          <w:szCs w:val="32"/>
          <w:lang w:val="en-US" w:eastAsia="zh-CN"/>
        </w:rPr>
        <w:t>上年</w:t>
      </w:r>
      <w:r>
        <w:rPr>
          <w:rFonts w:hint="eastAsia" w:ascii="仿宋_GB2312" w:eastAsia="仿宋_GB2312"/>
          <w:sz w:val="32"/>
          <w:szCs w:val="32"/>
        </w:rPr>
        <w:t>增加0.00</w:t>
      </w:r>
      <w:r>
        <w:rPr>
          <w:rFonts w:hint="eastAsia" w:ascii="仿宋_GB2312" w:eastAsia="仿宋_GB2312"/>
          <w:sz w:val="32"/>
          <w:szCs w:val="32"/>
          <w:lang w:val="en-US" w:eastAsia="zh-CN"/>
        </w:rPr>
        <w:t>万</w:t>
      </w:r>
      <w:r>
        <w:rPr>
          <w:rFonts w:hint="eastAsia" w:ascii="仿宋_GB2312" w:eastAsia="仿宋_GB2312"/>
          <w:sz w:val="32"/>
          <w:szCs w:val="32"/>
        </w:rPr>
        <w:t>元，增长0.00%，主要原因是：财政年初未安排公用经费支出。</w:t>
      </w:r>
    </w:p>
    <w:p>
      <w:pPr>
        <w:ind w:firstLine="640" w:firstLineChars="200"/>
        <w:outlineLvl w:val="2"/>
        <w:rPr>
          <w:rFonts w:hint="eastAsia" w:ascii="黑体" w:hAnsi="黑体" w:eastAsia="黑体"/>
          <w:sz w:val="32"/>
          <w:szCs w:val="32"/>
        </w:rPr>
      </w:pPr>
      <w:bookmarkStart w:id="28" w:name="_Toc227"/>
      <w:bookmarkStart w:id="29" w:name="_Toc26704"/>
      <w:r>
        <w:rPr>
          <w:rFonts w:hint="eastAsia" w:ascii="黑体" w:hAnsi="黑体" w:eastAsia="黑体"/>
          <w:sz w:val="32"/>
          <w:szCs w:val="32"/>
        </w:rPr>
        <w:t>（二）政府采购情况</w:t>
      </w:r>
      <w:bookmarkEnd w:id="28"/>
      <w:bookmarkEnd w:id="29"/>
    </w:p>
    <w:p>
      <w:pPr>
        <w:ind w:firstLine="640" w:firstLineChars="200"/>
        <w:rPr>
          <w:rFonts w:ascii="仿宋_GB2312" w:eastAsia="仿宋_GB2312"/>
          <w:sz w:val="32"/>
          <w:szCs w:val="32"/>
        </w:rPr>
      </w:pPr>
      <w:r>
        <w:rPr>
          <w:rFonts w:hint="eastAsia" w:ascii="仿宋_GB2312" w:eastAsia="仿宋_GB2312"/>
          <w:sz w:val="32"/>
          <w:szCs w:val="32"/>
        </w:rPr>
        <w:t>2021年度政府采购支出总额</w:t>
      </w:r>
      <w:r>
        <w:rPr>
          <w:rFonts w:ascii="仿宋_GB2312" w:eastAsia="仿宋_GB2312"/>
          <w:sz w:val="32"/>
          <w:szCs w:val="32"/>
        </w:rPr>
        <w:t>0.00</w:t>
      </w:r>
      <w:r>
        <w:rPr>
          <w:rFonts w:hint="eastAsia" w:ascii="仿宋_GB2312" w:eastAsia="仿宋_GB2312"/>
          <w:sz w:val="32"/>
          <w:szCs w:val="32"/>
        </w:rPr>
        <w:t>万元，其中：政府采购货物支出</w:t>
      </w:r>
      <w:r>
        <w:rPr>
          <w:rFonts w:ascii="仿宋_GB2312" w:eastAsia="仿宋_GB2312"/>
          <w:sz w:val="32"/>
          <w:szCs w:val="32"/>
        </w:rPr>
        <w:t>0.00</w:t>
      </w:r>
      <w:r>
        <w:rPr>
          <w:rFonts w:hint="eastAsia" w:ascii="仿宋_GB2312" w:eastAsia="仿宋_GB2312"/>
          <w:sz w:val="32"/>
          <w:szCs w:val="32"/>
        </w:rPr>
        <w:t>万元、政府采购工程支出</w:t>
      </w:r>
      <w:r>
        <w:rPr>
          <w:rFonts w:ascii="仿宋_GB2312" w:eastAsia="仿宋_GB2312"/>
          <w:sz w:val="32"/>
          <w:szCs w:val="32"/>
        </w:rPr>
        <w:t>0.00</w:t>
      </w:r>
      <w:r>
        <w:rPr>
          <w:rFonts w:hint="eastAsia" w:ascii="仿宋_GB2312" w:eastAsia="仿宋_GB2312"/>
          <w:sz w:val="32"/>
          <w:szCs w:val="32"/>
        </w:rPr>
        <w:t>万元、政府采购服务支出</w:t>
      </w:r>
      <w:r>
        <w:rPr>
          <w:rFonts w:ascii="仿宋_GB2312" w:eastAsia="仿宋_GB2312"/>
          <w:sz w:val="32"/>
          <w:szCs w:val="32"/>
        </w:rPr>
        <w:t>0.00</w:t>
      </w:r>
      <w:r>
        <w:rPr>
          <w:rFonts w:hint="eastAsia" w:ascii="仿宋_GB2312" w:eastAsia="仿宋_GB2312"/>
          <w:sz w:val="32"/>
          <w:szCs w:val="32"/>
        </w:rPr>
        <w:t>万元。</w:t>
      </w:r>
    </w:p>
    <w:p>
      <w:pPr>
        <w:ind w:firstLine="640" w:firstLineChars="200"/>
        <w:rPr>
          <w:rFonts w:ascii="仿宋_GB2312" w:eastAsia="仿宋_GB2312"/>
          <w:sz w:val="32"/>
          <w:szCs w:val="32"/>
        </w:rPr>
      </w:pPr>
      <w:r>
        <w:rPr>
          <w:rFonts w:hint="eastAsia" w:ascii="仿宋_GB2312" w:eastAsia="仿宋_GB2312"/>
          <w:sz w:val="32"/>
          <w:szCs w:val="32"/>
        </w:rPr>
        <w:t>授予中小企业合同金额</w:t>
      </w:r>
      <w:r>
        <w:rPr>
          <w:rFonts w:ascii="仿宋_GB2312" w:eastAsia="仿宋_GB2312"/>
          <w:sz w:val="32"/>
          <w:szCs w:val="32"/>
        </w:rPr>
        <w:t>0.00</w:t>
      </w:r>
      <w:r>
        <w:rPr>
          <w:rFonts w:hint="eastAsia" w:ascii="仿宋_GB2312" w:eastAsia="仿宋_GB2312"/>
          <w:sz w:val="32"/>
          <w:szCs w:val="32"/>
        </w:rPr>
        <w:t>万元，占政府采购支出总额的</w:t>
      </w:r>
      <w:r>
        <w:rPr>
          <w:rFonts w:ascii="仿宋_GB2312" w:eastAsia="仿宋_GB2312"/>
          <w:sz w:val="32"/>
          <w:szCs w:val="32"/>
        </w:rPr>
        <w:t>0.00</w:t>
      </w:r>
      <w:r>
        <w:rPr>
          <w:rFonts w:hint="eastAsia" w:ascii="仿宋_GB2312" w:eastAsia="仿宋_GB2312"/>
          <w:sz w:val="32"/>
          <w:szCs w:val="32"/>
        </w:rPr>
        <w:t>%，其中：授予小微企业合同金额</w:t>
      </w:r>
      <w:r>
        <w:rPr>
          <w:rFonts w:ascii="仿宋_GB2312" w:eastAsia="仿宋_GB2312"/>
          <w:sz w:val="32"/>
          <w:szCs w:val="32"/>
        </w:rPr>
        <w:t>0.00</w:t>
      </w:r>
      <w:r>
        <w:rPr>
          <w:rFonts w:hint="eastAsia" w:ascii="仿宋_GB2312" w:eastAsia="仿宋_GB2312"/>
          <w:sz w:val="32"/>
          <w:szCs w:val="32"/>
        </w:rPr>
        <w:t>万元，占政府采购支出总额的</w:t>
      </w:r>
      <w:r>
        <w:rPr>
          <w:rFonts w:ascii="仿宋_GB2312" w:eastAsia="仿宋_GB2312"/>
          <w:sz w:val="32"/>
          <w:szCs w:val="32"/>
        </w:rPr>
        <w:t>0.00</w:t>
      </w:r>
      <w:r>
        <w:rPr>
          <w:rFonts w:hint="eastAsia" w:ascii="仿宋_GB2312" w:eastAsia="仿宋_GB2312"/>
          <w:sz w:val="32"/>
          <w:szCs w:val="32"/>
        </w:rPr>
        <w:t>%。</w:t>
      </w:r>
    </w:p>
    <w:p>
      <w:pPr>
        <w:ind w:firstLine="640" w:firstLineChars="200"/>
        <w:outlineLvl w:val="2"/>
        <w:rPr>
          <w:rFonts w:ascii="黑体" w:hAnsi="黑体" w:eastAsia="黑体"/>
          <w:sz w:val="32"/>
          <w:szCs w:val="32"/>
        </w:rPr>
      </w:pPr>
      <w:bookmarkStart w:id="30" w:name="_Toc4591"/>
      <w:bookmarkStart w:id="31" w:name="_Toc8391"/>
      <w:r>
        <w:rPr>
          <w:rFonts w:hint="eastAsia" w:ascii="黑体" w:hAnsi="黑体" w:eastAsia="黑体"/>
          <w:sz w:val="32"/>
          <w:szCs w:val="32"/>
        </w:rPr>
        <w:t>（三）国有资产占用情况说明</w:t>
      </w:r>
      <w:bookmarkEnd w:id="30"/>
      <w:bookmarkEnd w:id="31"/>
    </w:p>
    <w:p>
      <w:pPr>
        <w:ind w:firstLine="640" w:firstLineChars="200"/>
        <w:rPr>
          <w:rFonts w:ascii="仿宋_GB2312" w:eastAsia="仿宋_GB2312"/>
          <w:sz w:val="32"/>
          <w:szCs w:val="32"/>
        </w:rPr>
      </w:pPr>
      <w:r>
        <w:rPr>
          <w:rFonts w:hint="eastAsia" w:ascii="仿宋_GB2312" w:eastAsia="仿宋_GB2312"/>
          <w:sz w:val="32"/>
          <w:szCs w:val="32"/>
        </w:rPr>
        <w:t>截止2021年12月31日，单位共有房屋</w:t>
      </w:r>
      <w:r>
        <w:rPr>
          <w:rFonts w:ascii="仿宋_GB2312" w:eastAsia="仿宋_GB2312"/>
          <w:sz w:val="32"/>
          <w:szCs w:val="32"/>
        </w:rPr>
        <w:t>9,230.11</w:t>
      </w:r>
      <w:r>
        <w:rPr>
          <w:rFonts w:hint="eastAsia" w:ascii="仿宋_GB2312" w:eastAsia="仿宋_GB2312"/>
          <w:sz w:val="32"/>
          <w:szCs w:val="32"/>
        </w:rPr>
        <w:t>（平方米），价值</w:t>
      </w:r>
      <w:r>
        <w:rPr>
          <w:rFonts w:ascii="仿宋_GB2312" w:eastAsia="仿宋_GB2312"/>
          <w:sz w:val="32"/>
          <w:szCs w:val="32"/>
        </w:rPr>
        <w:t>1,129.87</w:t>
      </w:r>
      <w:r>
        <w:rPr>
          <w:rFonts w:hint="eastAsia" w:ascii="仿宋_GB2312" w:eastAsia="仿宋_GB2312"/>
          <w:sz w:val="32"/>
          <w:szCs w:val="32"/>
        </w:rPr>
        <w:t>万元。车辆</w:t>
      </w:r>
      <w:r>
        <w:rPr>
          <w:rFonts w:ascii="仿宋_GB2312" w:eastAsia="仿宋_GB2312"/>
          <w:sz w:val="32"/>
          <w:szCs w:val="32"/>
        </w:rPr>
        <w:t>0</w:t>
      </w:r>
      <w:r>
        <w:rPr>
          <w:rFonts w:hint="eastAsia" w:ascii="仿宋_GB2312" w:eastAsia="仿宋_GB2312"/>
          <w:sz w:val="32"/>
          <w:szCs w:val="32"/>
        </w:rPr>
        <w:t>辆，价值</w:t>
      </w:r>
      <w:r>
        <w:rPr>
          <w:rFonts w:ascii="仿宋_GB2312" w:eastAsia="仿宋_GB2312"/>
          <w:sz w:val="32"/>
          <w:szCs w:val="32"/>
        </w:rPr>
        <w:t>0.00</w:t>
      </w:r>
      <w:r>
        <w:rPr>
          <w:rFonts w:hint="eastAsia" w:ascii="仿宋_GB2312" w:eastAsia="仿宋_GB2312"/>
          <w:sz w:val="32"/>
          <w:szCs w:val="32"/>
        </w:rPr>
        <w:t>万元，其中：副部（省）级及以上领导用车0辆、主要领导干部用车0辆、机要通信用车</w:t>
      </w:r>
      <w:r>
        <w:rPr>
          <w:rFonts w:ascii="仿宋_GB2312" w:eastAsia="仿宋_GB2312"/>
          <w:sz w:val="32"/>
          <w:szCs w:val="32"/>
        </w:rPr>
        <w:t>0</w:t>
      </w:r>
      <w:r>
        <w:rPr>
          <w:rFonts w:hint="eastAsia" w:ascii="仿宋_GB2312" w:eastAsia="仿宋_GB2312"/>
          <w:sz w:val="32"/>
          <w:szCs w:val="32"/>
        </w:rPr>
        <w:t>辆、应急保障用车</w:t>
      </w:r>
      <w:r>
        <w:rPr>
          <w:rFonts w:ascii="仿宋_GB2312" w:eastAsia="仿宋_GB2312"/>
          <w:sz w:val="32"/>
          <w:szCs w:val="32"/>
        </w:rPr>
        <w:t>0</w:t>
      </w:r>
      <w:r>
        <w:rPr>
          <w:rFonts w:hint="eastAsia" w:ascii="仿宋_GB2312" w:eastAsia="仿宋_GB2312"/>
          <w:sz w:val="32"/>
          <w:szCs w:val="32"/>
        </w:rPr>
        <w:t>辆、执法执勤用车</w:t>
      </w:r>
      <w:r>
        <w:rPr>
          <w:rFonts w:ascii="仿宋_GB2312" w:eastAsia="仿宋_GB2312"/>
          <w:sz w:val="32"/>
          <w:szCs w:val="32"/>
        </w:rPr>
        <w:t>0</w:t>
      </w:r>
      <w:r>
        <w:rPr>
          <w:rFonts w:hint="eastAsia" w:ascii="仿宋_GB2312" w:eastAsia="仿宋_GB2312"/>
          <w:sz w:val="32"/>
          <w:szCs w:val="32"/>
        </w:rPr>
        <w:t>辆、特种专业技术用车</w:t>
      </w:r>
      <w:r>
        <w:rPr>
          <w:rFonts w:ascii="仿宋_GB2312" w:eastAsia="仿宋_GB2312"/>
          <w:sz w:val="32"/>
          <w:szCs w:val="32"/>
        </w:rPr>
        <w:t>0</w:t>
      </w:r>
      <w:r>
        <w:rPr>
          <w:rFonts w:hint="eastAsia" w:ascii="仿宋_GB2312" w:eastAsia="仿宋_GB2312"/>
          <w:sz w:val="32"/>
          <w:szCs w:val="32"/>
        </w:rPr>
        <w:t>辆、离退休干部用车</w:t>
      </w:r>
      <w:r>
        <w:rPr>
          <w:rFonts w:ascii="仿宋_GB2312" w:eastAsia="仿宋_GB2312"/>
          <w:sz w:val="32"/>
          <w:szCs w:val="32"/>
        </w:rPr>
        <w:t>0</w:t>
      </w:r>
      <w:r>
        <w:rPr>
          <w:rFonts w:hint="eastAsia" w:ascii="仿宋_GB2312" w:eastAsia="仿宋_GB2312"/>
          <w:sz w:val="32"/>
          <w:szCs w:val="32"/>
        </w:rPr>
        <w:t>辆、其他用车</w:t>
      </w:r>
      <w:r>
        <w:rPr>
          <w:rFonts w:ascii="仿宋_GB2312" w:eastAsia="仿宋_GB2312"/>
          <w:sz w:val="32"/>
          <w:szCs w:val="32"/>
        </w:rPr>
        <w:t>0</w:t>
      </w:r>
      <w:r>
        <w:rPr>
          <w:rFonts w:hint="eastAsia" w:ascii="仿宋_GB2312" w:eastAsia="仿宋_GB2312"/>
          <w:sz w:val="32"/>
          <w:szCs w:val="32"/>
        </w:rPr>
        <w:t>辆，其他用车主要是：我单位无其他用车；单位价值50万元以上通用设备</w:t>
      </w:r>
      <w:r>
        <w:rPr>
          <w:rFonts w:ascii="仿宋_GB2312" w:eastAsia="仿宋_GB2312"/>
          <w:sz w:val="32"/>
          <w:szCs w:val="32"/>
        </w:rPr>
        <w:t>0</w:t>
      </w:r>
      <w:r>
        <w:rPr>
          <w:rFonts w:hint="eastAsia" w:ascii="仿宋_GB2312" w:eastAsia="仿宋_GB2312"/>
          <w:sz w:val="32"/>
          <w:szCs w:val="32"/>
        </w:rPr>
        <w:t>台（套）、单位价值100万元以上专用设备</w:t>
      </w:r>
      <w:r>
        <w:rPr>
          <w:rFonts w:ascii="仿宋_GB2312" w:eastAsia="仿宋_GB2312"/>
          <w:sz w:val="32"/>
          <w:szCs w:val="32"/>
        </w:rPr>
        <w:t>0</w:t>
      </w:r>
      <w:r>
        <w:rPr>
          <w:rFonts w:hint="eastAsia" w:ascii="仿宋_GB2312" w:eastAsia="仿宋_GB2312"/>
          <w:sz w:val="32"/>
          <w:szCs w:val="32"/>
        </w:rPr>
        <w:t>台（套）。</w:t>
      </w:r>
    </w:p>
    <w:p>
      <w:pPr>
        <w:ind w:firstLine="640" w:firstLineChars="200"/>
        <w:outlineLvl w:val="1"/>
        <w:rPr>
          <w:rFonts w:ascii="黑体" w:hAnsi="黑体" w:eastAsia="黑体" w:cs="宋体"/>
          <w:bCs/>
          <w:kern w:val="0"/>
          <w:sz w:val="32"/>
          <w:szCs w:val="32"/>
        </w:rPr>
      </w:pPr>
      <w:bookmarkStart w:id="32" w:name="_Toc435"/>
      <w:bookmarkStart w:id="33" w:name="_Toc11283"/>
      <w:r>
        <w:rPr>
          <w:rFonts w:hint="eastAsia" w:ascii="黑体" w:hAnsi="黑体" w:eastAsia="黑体" w:cs="宋体"/>
          <w:bCs/>
          <w:kern w:val="0"/>
          <w:sz w:val="32"/>
          <w:szCs w:val="32"/>
        </w:rPr>
        <w:t>十一、预算绩效的情况说明</w:t>
      </w:r>
      <w:bookmarkEnd w:id="32"/>
      <w:bookmarkEnd w:id="33"/>
    </w:p>
    <w:p>
      <w:pPr>
        <w:pStyle w:val="9"/>
        <w:widowControl/>
        <w:shd w:val="clear" w:color="auto" w:fill="FFFFFF"/>
        <w:ind w:firstLine="640" w:firstLineChars="200"/>
        <w:rPr>
          <w:rFonts w:hint="default" w:ascii="仿宋_GB2312" w:eastAsia="仿宋_GB2312"/>
          <w:sz w:val="32"/>
          <w:szCs w:val="32"/>
        </w:rPr>
      </w:pPr>
      <w:r>
        <w:rPr>
          <w:rFonts w:ascii="仿宋_GB2312" w:eastAsia="仿宋_GB2312"/>
          <w:sz w:val="32"/>
          <w:szCs w:val="32"/>
        </w:rPr>
        <w:t>根据预算绩效管理要求，我单位2021年度开展预算绩效评价项目0个，共涉及资金0万元。预算绩效管理取得的成效：我单位无预算绩效项目。发现的问题及原因：我单位无预算绩效项目。下一步改进措施：我单位无预算绩效项目。具体项目自评情况附项目支出绩效自评表。</w:t>
      </w:r>
    </w:p>
    <w:p>
      <w:pPr>
        <w:rPr>
          <w:rFonts w:ascii="仿宋_GB2312" w:eastAsia="仿宋_GB2312"/>
          <w:sz w:val="32"/>
          <w:szCs w:val="32"/>
        </w:rPr>
      </w:pPr>
      <w:r>
        <w:rPr>
          <w:rFonts w:ascii="仿宋_GB2312" w:eastAsia="仿宋_GB2312"/>
          <w:sz w:val="32"/>
          <w:szCs w:val="32"/>
        </w:rPr>
        <w:br w:type="page"/>
      </w:r>
    </w:p>
    <w:p>
      <w:pPr>
        <w:ind w:firstLine="640" w:firstLineChars="200"/>
        <w:jc w:val="center"/>
        <w:outlineLvl w:val="0"/>
        <w:rPr>
          <w:rFonts w:ascii="黑体" w:hAnsi="黑体" w:eastAsia="黑体"/>
          <w:sz w:val="32"/>
          <w:szCs w:val="32"/>
        </w:rPr>
      </w:pPr>
      <w:bookmarkStart w:id="34" w:name="_Toc3250"/>
      <w:bookmarkStart w:id="35" w:name="_Toc24143"/>
      <w:r>
        <w:rPr>
          <w:rFonts w:hint="eastAsia" w:ascii="黑体" w:hAnsi="黑体" w:eastAsia="黑体"/>
          <w:sz w:val="32"/>
          <w:szCs w:val="32"/>
        </w:rPr>
        <w:t>第三部分 专业名词解释</w:t>
      </w:r>
      <w:bookmarkEnd w:id="34"/>
      <w:bookmarkEnd w:id="35"/>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rPr>
          <w:rFonts w:ascii="黑体" w:hAnsi="黑体" w:eastAsia="黑体"/>
          <w:sz w:val="32"/>
          <w:szCs w:val="32"/>
        </w:rPr>
      </w:pPr>
      <w:bookmarkStart w:id="36" w:name="_Toc28903"/>
      <w:bookmarkStart w:id="37" w:name="_Toc22784"/>
      <w:r>
        <w:rPr>
          <w:rFonts w:hint="eastAsia" w:ascii="黑体" w:hAnsi="黑体" w:eastAsia="黑体"/>
          <w:sz w:val="32"/>
          <w:szCs w:val="32"/>
        </w:rPr>
        <w:br w:type="page"/>
      </w:r>
    </w:p>
    <w:p>
      <w:pPr>
        <w:ind w:firstLine="640" w:firstLineChars="200"/>
        <w:jc w:val="center"/>
        <w:outlineLvl w:val="0"/>
        <w:rPr>
          <w:rFonts w:ascii="黑体" w:hAnsi="黑体" w:eastAsia="黑体"/>
          <w:sz w:val="32"/>
          <w:szCs w:val="32"/>
        </w:rPr>
      </w:pPr>
      <w:r>
        <w:rPr>
          <w:rFonts w:hint="eastAsia" w:ascii="黑体" w:hAnsi="黑体" w:eastAsia="黑体"/>
          <w:sz w:val="32"/>
          <w:szCs w:val="32"/>
        </w:rPr>
        <w:t>第四部分 部门决算报表（见附表）</w:t>
      </w:r>
      <w:bookmarkEnd w:id="36"/>
      <w:bookmarkEnd w:id="37"/>
    </w:p>
    <w:p>
      <w:pPr>
        <w:ind w:firstLine="640" w:firstLineChars="200"/>
        <w:outlineLvl w:val="1"/>
        <w:rPr>
          <w:rFonts w:ascii="黑体" w:hAnsi="黑体" w:eastAsia="黑体" w:cs="宋体"/>
          <w:bCs/>
          <w:kern w:val="0"/>
          <w:sz w:val="32"/>
          <w:szCs w:val="32"/>
        </w:rPr>
      </w:pPr>
      <w:bookmarkStart w:id="38" w:name="_Toc2183"/>
      <w:bookmarkStart w:id="39" w:name="_Toc6062"/>
      <w:r>
        <w:rPr>
          <w:rFonts w:hint="eastAsia" w:ascii="黑体" w:hAnsi="黑体" w:eastAsia="黑体" w:cs="宋体"/>
          <w:bCs/>
          <w:kern w:val="0"/>
          <w:sz w:val="32"/>
          <w:szCs w:val="32"/>
        </w:rPr>
        <w:t>一、《收入支出决算总表》</w:t>
      </w:r>
      <w:bookmarkEnd w:id="38"/>
      <w:bookmarkEnd w:id="39"/>
    </w:p>
    <w:p>
      <w:pPr>
        <w:ind w:firstLine="640" w:firstLineChars="200"/>
        <w:outlineLvl w:val="1"/>
        <w:rPr>
          <w:rFonts w:ascii="黑体" w:hAnsi="黑体" w:eastAsia="黑体" w:cs="宋体"/>
          <w:bCs/>
          <w:kern w:val="0"/>
          <w:sz w:val="32"/>
          <w:szCs w:val="32"/>
        </w:rPr>
      </w:pPr>
      <w:bookmarkStart w:id="40" w:name="_Toc30364"/>
      <w:bookmarkStart w:id="41" w:name="_Toc24532"/>
      <w:r>
        <w:rPr>
          <w:rFonts w:hint="eastAsia" w:ascii="黑体" w:hAnsi="黑体" w:eastAsia="黑体" w:cs="宋体"/>
          <w:bCs/>
          <w:kern w:val="0"/>
          <w:sz w:val="32"/>
          <w:szCs w:val="32"/>
        </w:rPr>
        <w:t>二、《收入决算表》</w:t>
      </w:r>
      <w:bookmarkEnd w:id="40"/>
      <w:bookmarkEnd w:id="41"/>
    </w:p>
    <w:p>
      <w:pPr>
        <w:ind w:firstLine="640" w:firstLineChars="200"/>
        <w:outlineLvl w:val="1"/>
        <w:rPr>
          <w:rFonts w:ascii="黑体" w:hAnsi="黑体" w:eastAsia="黑体" w:cs="宋体"/>
          <w:bCs/>
          <w:kern w:val="0"/>
          <w:sz w:val="32"/>
          <w:szCs w:val="32"/>
        </w:rPr>
      </w:pPr>
      <w:bookmarkStart w:id="42" w:name="_Toc21304"/>
      <w:bookmarkStart w:id="43" w:name="_Toc32434"/>
      <w:r>
        <w:rPr>
          <w:rFonts w:hint="eastAsia" w:ascii="黑体" w:hAnsi="黑体" w:eastAsia="黑体" w:cs="宋体"/>
          <w:bCs/>
          <w:kern w:val="0"/>
          <w:sz w:val="32"/>
          <w:szCs w:val="32"/>
        </w:rPr>
        <w:t>三、《支出决算表》</w:t>
      </w:r>
      <w:bookmarkEnd w:id="42"/>
      <w:bookmarkEnd w:id="43"/>
    </w:p>
    <w:p>
      <w:pPr>
        <w:ind w:firstLine="640" w:firstLineChars="200"/>
        <w:outlineLvl w:val="1"/>
        <w:rPr>
          <w:rFonts w:ascii="黑体" w:hAnsi="黑体" w:eastAsia="黑体" w:cs="宋体"/>
          <w:bCs/>
          <w:kern w:val="0"/>
          <w:sz w:val="32"/>
          <w:szCs w:val="32"/>
        </w:rPr>
      </w:pPr>
      <w:bookmarkStart w:id="44" w:name="_Toc28786"/>
      <w:bookmarkStart w:id="45" w:name="_Toc14238"/>
      <w:r>
        <w:rPr>
          <w:rFonts w:hint="eastAsia" w:ascii="黑体" w:hAnsi="黑体" w:eastAsia="黑体" w:cs="宋体"/>
          <w:bCs/>
          <w:kern w:val="0"/>
          <w:sz w:val="32"/>
          <w:szCs w:val="32"/>
        </w:rPr>
        <w:t>四、《财政拨款收入支出决算总表》</w:t>
      </w:r>
      <w:bookmarkEnd w:id="44"/>
      <w:bookmarkEnd w:id="45"/>
    </w:p>
    <w:p>
      <w:pPr>
        <w:ind w:firstLine="640" w:firstLineChars="200"/>
        <w:outlineLvl w:val="1"/>
        <w:rPr>
          <w:rFonts w:ascii="黑体" w:hAnsi="黑体" w:eastAsia="黑体" w:cs="宋体"/>
          <w:bCs/>
          <w:kern w:val="0"/>
          <w:sz w:val="32"/>
          <w:szCs w:val="32"/>
        </w:rPr>
      </w:pPr>
      <w:bookmarkStart w:id="46" w:name="_Toc10347"/>
      <w:bookmarkStart w:id="47" w:name="_Toc14869"/>
      <w:r>
        <w:rPr>
          <w:rFonts w:hint="eastAsia" w:ascii="黑体" w:hAnsi="黑体" w:eastAsia="黑体" w:cs="宋体"/>
          <w:bCs/>
          <w:kern w:val="0"/>
          <w:sz w:val="32"/>
          <w:szCs w:val="32"/>
        </w:rPr>
        <w:t>五、《一般公共预算财政拨款支出决算表》</w:t>
      </w:r>
      <w:bookmarkEnd w:id="46"/>
      <w:bookmarkEnd w:id="47"/>
    </w:p>
    <w:p>
      <w:pPr>
        <w:ind w:firstLine="640" w:firstLineChars="200"/>
        <w:outlineLvl w:val="1"/>
        <w:rPr>
          <w:rFonts w:ascii="黑体" w:hAnsi="黑体" w:eastAsia="黑体" w:cs="宋体"/>
          <w:bCs/>
          <w:kern w:val="0"/>
          <w:sz w:val="32"/>
          <w:szCs w:val="32"/>
        </w:rPr>
      </w:pPr>
      <w:bookmarkStart w:id="48" w:name="_Toc5626"/>
      <w:bookmarkStart w:id="49" w:name="_Toc8884"/>
      <w:r>
        <w:rPr>
          <w:rFonts w:hint="eastAsia" w:ascii="黑体" w:hAnsi="黑体" w:eastAsia="黑体" w:cs="宋体"/>
          <w:bCs/>
          <w:kern w:val="0"/>
          <w:sz w:val="32"/>
          <w:szCs w:val="32"/>
        </w:rPr>
        <w:t>六、《一般公共预算财政拨款基本支出决算表》</w:t>
      </w:r>
      <w:bookmarkEnd w:id="48"/>
      <w:bookmarkEnd w:id="49"/>
    </w:p>
    <w:p>
      <w:pPr>
        <w:ind w:firstLine="640" w:firstLineChars="200"/>
        <w:outlineLvl w:val="1"/>
        <w:rPr>
          <w:rFonts w:ascii="黑体" w:hAnsi="黑体" w:eastAsia="黑体" w:cs="宋体"/>
          <w:bCs/>
          <w:kern w:val="0"/>
          <w:sz w:val="32"/>
          <w:szCs w:val="32"/>
        </w:rPr>
      </w:pPr>
      <w:bookmarkStart w:id="50" w:name="_Toc29106"/>
      <w:bookmarkStart w:id="51" w:name="_Toc32663"/>
      <w:r>
        <w:rPr>
          <w:rFonts w:hint="eastAsia" w:ascii="黑体" w:hAnsi="黑体" w:eastAsia="黑体" w:cs="宋体"/>
          <w:bCs/>
          <w:kern w:val="0"/>
          <w:sz w:val="32"/>
          <w:szCs w:val="32"/>
        </w:rPr>
        <w:t>七、《一般公共预算财政拨款“三公”经费支出决算表》</w:t>
      </w:r>
      <w:bookmarkEnd w:id="50"/>
      <w:bookmarkEnd w:id="51"/>
    </w:p>
    <w:p>
      <w:pPr>
        <w:ind w:firstLine="640" w:firstLineChars="200"/>
        <w:outlineLvl w:val="1"/>
        <w:rPr>
          <w:rFonts w:ascii="黑体" w:hAnsi="黑体" w:eastAsia="黑体" w:cs="宋体"/>
          <w:bCs/>
          <w:kern w:val="0"/>
          <w:sz w:val="32"/>
          <w:szCs w:val="32"/>
        </w:rPr>
      </w:pPr>
      <w:bookmarkStart w:id="52" w:name="_Toc5453"/>
      <w:bookmarkStart w:id="53" w:name="_Toc7643"/>
      <w:r>
        <w:rPr>
          <w:rFonts w:hint="eastAsia" w:ascii="黑体" w:hAnsi="黑体" w:eastAsia="黑体" w:cs="宋体"/>
          <w:bCs/>
          <w:kern w:val="0"/>
          <w:sz w:val="32"/>
          <w:szCs w:val="32"/>
        </w:rPr>
        <w:t>八、《政府性基金预算财政拨款收入支出决算表》</w:t>
      </w:r>
      <w:bookmarkEnd w:id="52"/>
      <w:bookmarkEnd w:id="53"/>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九、《国有资本经营预算财政拨款收入支出决算表》</w:t>
      </w:r>
    </w:p>
    <w:bookmarkEnd w:id="0"/>
    <w:p>
      <w:pPr>
        <w:ind w:firstLine="640" w:firstLineChars="200"/>
        <w:outlineLvl w:val="1"/>
        <w:rPr>
          <w:rFonts w:ascii="黑体" w:hAnsi="黑体" w:eastAsia="黑体" w:cs="宋体"/>
          <w:bCs/>
          <w:kern w:val="0"/>
          <w:sz w:val="32"/>
          <w:szCs w:val="32"/>
        </w:rPr>
      </w:pPr>
    </w:p>
    <w:p/>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lang w:bidi="ug-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t>15</w:t>
                          </w:r>
                          <w:r>
                            <w:rPr>
                              <w:rFonts w:hint="eastAsia"/>
                            </w:rPr>
                            <w:fldChar w:fldCharType="end"/>
                          </w:r>
                        </w:p>
                      </w:txbxContent>
                    </wps:txbx>
                    <wps:bodyPr vert="horz" wrap="none" lIns="0" tIns="0" rIns="0" bIns="0" anchor="t">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M6pebnPAAAABQEAAA8AAAAAAAAAAQAg&#10;AAAAIgAAAGRycy9kb3ducmV2LnhtbFBLAQIUABQAAAAIAIdO4kBBOULk3gEAALsDAAAOAAAAAAAA&#10;AAEAIAAAAB4BAABkcnMvZTJvRG9jLnhtbFBLBQYAAAAABgAGAFkBAABuBQAAAAA=&#10;">
              <v:fill on="f" focussize="0,0"/>
              <v:stroke on="f"/>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15</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E0NmYxM2JiY2ZmNTY4NjgyYzY1ZDIyZTY4NjRhYzQifQ=="/>
  </w:docVars>
  <w:rsids>
    <w:rsidRoot w:val="006B7B8C"/>
    <w:rsid w:val="00014AAB"/>
    <w:rsid w:val="00015801"/>
    <w:rsid w:val="0002486D"/>
    <w:rsid w:val="00062388"/>
    <w:rsid w:val="000731DE"/>
    <w:rsid w:val="00082B96"/>
    <w:rsid w:val="000874C6"/>
    <w:rsid w:val="00091D32"/>
    <w:rsid w:val="000B3F65"/>
    <w:rsid w:val="000B4DF4"/>
    <w:rsid w:val="000B597A"/>
    <w:rsid w:val="000C0611"/>
    <w:rsid w:val="000C72B8"/>
    <w:rsid w:val="000F13FC"/>
    <w:rsid w:val="000F1BC6"/>
    <w:rsid w:val="000F7D1A"/>
    <w:rsid w:val="00100F46"/>
    <w:rsid w:val="001114DC"/>
    <w:rsid w:val="001221DB"/>
    <w:rsid w:val="001224FB"/>
    <w:rsid w:val="001433D9"/>
    <w:rsid w:val="00147345"/>
    <w:rsid w:val="00157386"/>
    <w:rsid w:val="00176B00"/>
    <w:rsid w:val="001A140F"/>
    <w:rsid w:val="001A52AF"/>
    <w:rsid w:val="001C2440"/>
    <w:rsid w:val="001C44B0"/>
    <w:rsid w:val="00207BE8"/>
    <w:rsid w:val="002120BB"/>
    <w:rsid w:val="002548C8"/>
    <w:rsid w:val="00272419"/>
    <w:rsid w:val="003028E1"/>
    <w:rsid w:val="00302A04"/>
    <w:rsid w:val="00312652"/>
    <w:rsid w:val="00345A42"/>
    <w:rsid w:val="0035250E"/>
    <w:rsid w:val="00353DD9"/>
    <w:rsid w:val="00362C48"/>
    <w:rsid w:val="0036666F"/>
    <w:rsid w:val="00370F5B"/>
    <w:rsid w:val="003824A3"/>
    <w:rsid w:val="00392A24"/>
    <w:rsid w:val="0039326B"/>
    <w:rsid w:val="00395F5C"/>
    <w:rsid w:val="003A65AE"/>
    <w:rsid w:val="003C4475"/>
    <w:rsid w:val="003C4518"/>
    <w:rsid w:val="003C5962"/>
    <w:rsid w:val="003D230A"/>
    <w:rsid w:val="003D381A"/>
    <w:rsid w:val="003D4CE8"/>
    <w:rsid w:val="004078AA"/>
    <w:rsid w:val="00420161"/>
    <w:rsid w:val="00464FAC"/>
    <w:rsid w:val="00480271"/>
    <w:rsid w:val="00487954"/>
    <w:rsid w:val="00495F92"/>
    <w:rsid w:val="004971F0"/>
    <w:rsid w:val="004B241A"/>
    <w:rsid w:val="004B2827"/>
    <w:rsid w:val="004B4550"/>
    <w:rsid w:val="004C036C"/>
    <w:rsid w:val="004C7698"/>
    <w:rsid w:val="004D5A4F"/>
    <w:rsid w:val="004E5240"/>
    <w:rsid w:val="004E7075"/>
    <w:rsid w:val="00511EF6"/>
    <w:rsid w:val="005266C7"/>
    <w:rsid w:val="00536589"/>
    <w:rsid w:val="005609AE"/>
    <w:rsid w:val="00565E92"/>
    <w:rsid w:val="00573DA1"/>
    <w:rsid w:val="00577003"/>
    <w:rsid w:val="00581BC9"/>
    <w:rsid w:val="0058594B"/>
    <w:rsid w:val="00597053"/>
    <w:rsid w:val="005B4B49"/>
    <w:rsid w:val="005D0449"/>
    <w:rsid w:val="005D2934"/>
    <w:rsid w:val="005D3D72"/>
    <w:rsid w:val="005D54E8"/>
    <w:rsid w:val="005D6482"/>
    <w:rsid w:val="005F26BE"/>
    <w:rsid w:val="00610E0F"/>
    <w:rsid w:val="006113E2"/>
    <w:rsid w:val="00624982"/>
    <w:rsid w:val="00625F2E"/>
    <w:rsid w:val="006505E8"/>
    <w:rsid w:val="00656A89"/>
    <w:rsid w:val="006612DA"/>
    <w:rsid w:val="00677EE6"/>
    <w:rsid w:val="006B25BA"/>
    <w:rsid w:val="006B5D26"/>
    <w:rsid w:val="006B7089"/>
    <w:rsid w:val="006B7147"/>
    <w:rsid w:val="006B7779"/>
    <w:rsid w:val="006B7B8C"/>
    <w:rsid w:val="006C09CD"/>
    <w:rsid w:val="006C6123"/>
    <w:rsid w:val="007002F4"/>
    <w:rsid w:val="0072647E"/>
    <w:rsid w:val="00730D0A"/>
    <w:rsid w:val="00753BF6"/>
    <w:rsid w:val="007718CB"/>
    <w:rsid w:val="0077373D"/>
    <w:rsid w:val="00773C57"/>
    <w:rsid w:val="00793611"/>
    <w:rsid w:val="007B5171"/>
    <w:rsid w:val="007E51A8"/>
    <w:rsid w:val="007F1677"/>
    <w:rsid w:val="008060FF"/>
    <w:rsid w:val="00817497"/>
    <w:rsid w:val="00820F01"/>
    <w:rsid w:val="00833A8D"/>
    <w:rsid w:val="00844A1B"/>
    <w:rsid w:val="00862C15"/>
    <w:rsid w:val="00866D2C"/>
    <w:rsid w:val="008936FD"/>
    <w:rsid w:val="008B0283"/>
    <w:rsid w:val="008B08E2"/>
    <w:rsid w:val="008C5CF1"/>
    <w:rsid w:val="008E1BC7"/>
    <w:rsid w:val="008E3821"/>
    <w:rsid w:val="008E6109"/>
    <w:rsid w:val="008E6A5A"/>
    <w:rsid w:val="00914AAA"/>
    <w:rsid w:val="00920BB9"/>
    <w:rsid w:val="00937335"/>
    <w:rsid w:val="00972E47"/>
    <w:rsid w:val="00984899"/>
    <w:rsid w:val="009848D4"/>
    <w:rsid w:val="009B30F0"/>
    <w:rsid w:val="009B32AE"/>
    <w:rsid w:val="009C6ACE"/>
    <w:rsid w:val="009E66FE"/>
    <w:rsid w:val="00A01F1F"/>
    <w:rsid w:val="00A04806"/>
    <w:rsid w:val="00A07771"/>
    <w:rsid w:val="00A337C0"/>
    <w:rsid w:val="00A45B04"/>
    <w:rsid w:val="00A830BA"/>
    <w:rsid w:val="00A851E1"/>
    <w:rsid w:val="00AD0C57"/>
    <w:rsid w:val="00AD0ECD"/>
    <w:rsid w:val="00AD3E2A"/>
    <w:rsid w:val="00AD75AE"/>
    <w:rsid w:val="00AE710B"/>
    <w:rsid w:val="00B14642"/>
    <w:rsid w:val="00B223C7"/>
    <w:rsid w:val="00B3137B"/>
    <w:rsid w:val="00B323EA"/>
    <w:rsid w:val="00B32435"/>
    <w:rsid w:val="00B55170"/>
    <w:rsid w:val="00B81749"/>
    <w:rsid w:val="00B82BD1"/>
    <w:rsid w:val="00B82F2C"/>
    <w:rsid w:val="00BC404C"/>
    <w:rsid w:val="00BD11BA"/>
    <w:rsid w:val="00BD1A9F"/>
    <w:rsid w:val="00BF043E"/>
    <w:rsid w:val="00BF382F"/>
    <w:rsid w:val="00BF59D3"/>
    <w:rsid w:val="00C0134C"/>
    <w:rsid w:val="00C0510A"/>
    <w:rsid w:val="00C14826"/>
    <w:rsid w:val="00C274DD"/>
    <w:rsid w:val="00C312EC"/>
    <w:rsid w:val="00C4109C"/>
    <w:rsid w:val="00C65082"/>
    <w:rsid w:val="00C67079"/>
    <w:rsid w:val="00CA4926"/>
    <w:rsid w:val="00CB467D"/>
    <w:rsid w:val="00CC4A46"/>
    <w:rsid w:val="00CD75DB"/>
    <w:rsid w:val="00CF2197"/>
    <w:rsid w:val="00D00715"/>
    <w:rsid w:val="00D060F1"/>
    <w:rsid w:val="00D13254"/>
    <w:rsid w:val="00D20143"/>
    <w:rsid w:val="00D218B2"/>
    <w:rsid w:val="00D26864"/>
    <w:rsid w:val="00D26E58"/>
    <w:rsid w:val="00D27269"/>
    <w:rsid w:val="00D44942"/>
    <w:rsid w:val="00D548CB"/>
    <w:rsid w:val="00D65A9C"/>
    <w:rsid w:val="00D706DB"/>
    <w:rsid w:val="00D8490F"/>
    <w:rsid w:val="00D97950"/>
    <w:rsid w:val="00DC09B1"/>
    <w:rsid w:val="00E00036"/>
    <w:rsid w:val="00E14CA4"/>
    <w:rsid w:val="00E23560"/>
    <w:rsid w:val="00E40C0B"/>
    <w:rsid w:val="00E429F1"/>
    <w:rsid w:val="00E434E9"/>
    <w:rsid w:val="00E8482F"/>
    <w:rsid w:val="00EC7E67"/>
    <w:rsid w:val="00F074B1"/>
    <w:rsid w:val="00F647BE"/>
    <w:rsid w:val="00F85377"/>
    <w:rsid w:val="00FA62CF"/>
    <w:rsid w:val="01D35DA3"/>
    <w:rsid w:val="02E743B6"/>
    <w:rsid w:val="02F1741B"/>
    <w:rsid w:val="04911B11"/>
    <w:rsid w:val="052035FD"/>
    <w:rsid w:val="05AF70DB"/>
    <w:rsid w:val="06792773"/>
    <w:rsid w:val="0742534E"/>
    <w:rsid w:val="08B509AF"/>
    <w:rsid w:val="08E75997"/>
    <w:rsid w:val="09E12A64"/>
    <w:rsid w:val="0AF87F94"/>
    <w:rsid w:val="0B835865"/>
    <w:rsid w:val="0BF6540F"/>
    <w:rsid w:val="0C48205E"/>
    <w:rsid w:val="0C7227A7"/>
    <w:rsid w:val="0C801B16"/>
    <w:rsid w:val="0D1E33E4"/>
    <w:rsid w:val="0DAA21EE"/>
    <w:rsid w:val="0FA7589A"/>
    <w:rsid w:val="102C6852"/>
    <w:rsid w:val="1081433D"/>
    <w:rsid w:val="12D3520E"/>
    <w:rsid w:val="1396784F"/>
    <w:rsid w:val="13EC0B8A"/>
    <w:rsid w:val="14EB6229"/>
    <w:rsid w:val="155C65A7"/>
    <w:rsid w:val="15E95753"/>
    <w:rsid w:val="16F045F9"/>
    <w:rsid w:val="176E6CF3"/>
    <w:rsid w:val="17C618A3"/>
    <w:rsid w:val="185F4F4D"/>
    <w:rsid w:val="193D4B9E"/>
    <w:rsid w:val="1B4E62E5"/>
    <w:rsid w:val="1C666C77"/>
    <w:rsid w:val="1C8B4975"/>
    <w:rsid w:val="1C98798D"/>
    <w:rsid w:val="1D2D783E"/>
    <w:rsid w:val="1D9D4C68"/>
    <w:rsid w:val="1DAF458D"/>
    <w:rsid w:val="1E150A80"/>
    <w:rsid w:val="1EAA00AC"/>
    <w:rsid w:val="1FA73C1B"/>
    <w:rsid w:val="258917FB"/>
    <w:rsid w:val="27AF63CE"/>
    <w:rsid w:val="27CF2642"/>
    <w:rsid w:val="28605A33"/>
    <w:rsid w:val="294E4805"/>
    <w:rsid w:val="29E96D83"/>
    <w:rsid w:val="29EC087F"/>
    <w:rsid w:val="2A053397"/>
    <w:rsid w:val="2ABE0B21"/>
    <w:rsid w:val="2B3A3AD8"/>
    <w:rsid w:val="2D1136DF"/>
    <w:rsid w:val="2DE716FC"/>
    <w:rsid w:val="2E59285E"/>
    <w:rsid w:val="2FD27414"/>
    <w:rsid w:val="31857BAC"/>
    <w:rsid w:val="31B5304E"/>
    <w:rsid w:val="31C63837"/>
    <w:rsid w:val="33206C0F"/>
    <w:rsid w:val="33BC32B4"/>
    <w:rsid w:val="3429669A"/>
    <w:rsid w:val="34965581"/>
    <w:rsid w:val="35C5793C"/>
    <w:rsid w:val="36325697"/>
    <w:rsid w:val="36E958BB"/>
    <w:rsid w:val="370D7281"/>
    <w:rsid w:val="38CB046A"/>
    <w:rsid w:val="3A643253"/>
    <w:rsid w:val="3B5D1933"/>
    <w:rsid w:val="3D1D5019"/>
    <w:rsid w:val="3D5275AC"/>
    <w:rsid w:val="3E1A76DD"/>
    <w:rsid w:val="3E2B7A03"/>
    <w:rsid w:val="3E9A7BA4"/>
    <w:rsid w:val="3F076061"/>
    <w:rsid w:val="3F6A08C0"/>
    <w:rsid w:val="455E1F7C"/>
    <w:rsid w:val="45897ADA"/>
    <w:rsid w:val="46901EEE"/>
    <w:rsid w:val="469C74D2"/>
    <w:rsid w:val="48A52360"/>
    <w:rsid w:val="4902047E"/>
    <w:rsid w:val="4A7D4485"/>
    <w:rsid w:val="4C2E1A9B"/>
    <w:rsid w:val="4DE45AD9"/>
    <w:rsid w:val="4E11500F"/>
    <w:rsid w:val="4EEF1380"/>
    <w:rsid w:val="4F9D7B44"/>
    <w:rsid w:val="50DB5F45"/>
    <w:rsid w:val="512709C0"/>
    <w:rsid w:val="51DB4252"/>
    <w:rsid w:val="52314E57"/>
    <w:rsid w:val="523358A5"/>
    <w:rsid w:val="524168E5"/>
    <w:rsid w:val="53350823"/>
    <w:rsid w:val="54054866"/>
    <w:rsid w:val="54F22EA5"/>
    <w:rsid w:val="55516A31"/>
    <w:rsid w:val="59444B98"/>
    <w:rsid w:val="59996596"/>
    <w:rsid w:val="5A8B468F"/>
    <w:rsid w:val="5C386C32"/>
    <w:rsid w:val="5D286D33"/>
    <w:rsid w:val="5D630BDE"/>
    <w:rsid w:val="5E8A0BA7"/>
    <w:rsid w:val="5FFF1C5A"/>
    <w:rsid w:val="61A46A97"/>
    <w:rsid w:val="64275BB0"/>
    <w:rsid w:val="64925820"/>
    <w:rsid w:val="6627325F"/>
    <w:rsid w:val="66F72012"/>
    <w:rsid w:val="67623B14"/>
    <w:rsid w:val="68706FD2"/>
    <w:rsid w:val="69AD798C"/>
    <w:rsid w:val="69F01279"/>
    <w:rsid w:val="6B311CD9"/>
    <w:rsid w:val="6B68175F"/>
    <w:rsid w:val="6B8500AE"/>
    <w:rsid w:val="6C81696B"/>
    <w:rsid w:val="6D587ECB"/>
    <w:rsid w:val="6DE375B7"/>
    <w:rsid w:val="6F516C58"/>
    <w:rsid w:val="6FDFD92C"/>
    <w:rsid w:val="6FFF530B"/>
    <w:rsid w:val="70A609BC"/>
    <w:rsid w:val="73FB6630"/>
    <w:rsid w:val="74060C43"/>
    <w:rsid w:val="74947C20"/>
    <w:rsid w:val="761262E7"/>
    <w:rsid w:val="76416A32"/>
    <w:rsid w:val="77022DD9"/>
    <w:rsid w:val="77ED6F44"/>
    <w:rsid w:val="7DF42720"/>
    <w:rsid w:val="7E6C6E77"/>
    <w:rsid w:val="7F726A00"/>
    <w:rsid w:val="7FB31F36"/>
    <w:rsid w:val="7FC0756C"/>
    <w:rsid w:val="7FC85347"/>
    <w:rsid w:val="BF5DD8AA"/>
    <w:rsid w:val="D3CF2FDB"/>
    <w:rsid w:val="FDFEE3F3"/>
    <w:rsid w:val="FFBF01E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Balloon Text"/>
    <w:basedOn w:val="1"/>
    <w:link w:val="16"/>
    <w:qFormat/>
    <w:uiPriority w:val="0"/>
    <w:rPr>
      <w:sz w:val="18"/>
      <w:szCs w:val="18"/>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rPr>
  </w:style>
  <w:style w:type="character" w:styleId="12">
    <w:name w:val="annotation reference"/>
    <w:basedOn w:val="11"/>
    <w:qFormat/>
    <w:uiPriority w:val="0"/>
    <w:rPr>
      <w:sz w:val="21"/>
      <w:szCs w:val="21"/>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ug-CN"/>
    </w:rPr>
  </w:style>
  <w:style w:type="paragraph" w:customStyle="1" w:styleId="14">
    <w:name w:val="WPSOffice手动目录 1"/>
    <w:qFormat/>
    <w:uiPriority w:val="0"/>
    <w:rPr>
      <w:rFonts w:ascii="Times New Roman" w:hAnsi="Times New Roman" w:eastAsia="宋体" w:cs="Times New Roman"/>
      <w:lang w:val="en-US" w:eastAsia="zh-CN" w:bidi="ug-CN"/>
    </w:rPr>
  </w:style>
  <w:style w:type="paragraph" w:customStyle="1" w:styleId="15">
    <w:name w:val="WPSOffice手动目录 3"/>
    <w:qFormat/>
    <w:uiPriority w:val="0"/>
    <w:pPr>
      <w:ind w:left="400" w:leftChars="400"/>
    </w:pPr>
    <w:rPr>
      <w:rFonts w:ascii="Times New Roman" w:hAnsi="Times New Roman" w:eastAsia="宋体" w:cs="Times New Roman"/>
      <w:lang w:val="en-US" w:eastAsia="zh-CN" w:bidi="ug-CN"/>
    </w:rPr>
  </w:style>
  <w:style w:type="character" w:customStyle="1" w:styleId="16">
    <w:name w:val="批注框文本 字符"/>
    <w:basedOn w:val="11"/>
    <w:link w:val="4"/>
    <w:qFormat/>
    <w:uiPriority w:val="0"/>
    <w:rPr>
      <w:kern w:val="2"/>
      <w:sz w:val="18"/>
      <w:szCs w:val="18"/>
      <w:lang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FBEECE7-2313-41ED-AECA-605B6CADA371}">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13</Pages>
  <Words>4355</Words>
  <Characters>4869</Characters>
  <Lines>59</Lines>
  <Paragraphs>16</Paragraphs>
  <TotalTime>5</TotalTime>
  <ScaleCrop>false</ScaleCrop>
  <LinksUpToDate>false</LinksUpToDate>
  <CharactersWithSpaces>4887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2014-10-31T04:08:00Z</dcterms:created>
  <dc:creator>GXR</dc:creator>
  <cp:lastModifiedBy>Administrator</cp:lastModifiedBy>
  <dcterms:modified xsi:type="dcterms:W3CDTF">2023-08-10T04:44:05Z</dcterms:modified>
  <cp:revision>130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856AC3F5FB104DBDB74FEAA0E1CB9A60_13</vt:lpwstr>
  </property>
</Properties>
</file>