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bookmarkStart w:id="50" w:name="_GoBack"/>
      <w:bookmarkEnd w:id="50"/>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新疆喀什地区叶城中等职业学校</w:t>
      </w:r>
    </w:p>
    <w:p>
      <w:pPr>
        <w:jc w:val="center"/>
        <w:rPr>
          <w:rFonts w:ascii="方正小标宋_GBK" w:hAnsi="宋体" w:eastAsia="方正小标宋_GBK"/>
          <w:sz w:val="44"/>
          <w:szCs w:val="44"/>
        </w:rPr>
      </w:pPr>
      <w:r>
        <w:rPr>
          <w:rFonts w:hint="eastAsia" w:ascii="方正小标宋_GBK" w:hAnsi="宋体" w:eastAsia="方正小标宋_GBK"/>
          <w:sz w:val="44"/>
          <w:szCs w:val="44"/>
        </w:rPr>
        <w:t>2022年度部门决算公开说明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培养中等职业学历技术应用人才，提高社会职业素质。服装设计与工艺、汽车车身修复、电子商务、焊接技术应用、中餐烹饪与营养膳食、美发与形象设计、珠宝玉石与加工营销、民间传统工艺、计算机应用、酒店管理、家政服务等专业，中等职业学历教育、相关职业培训</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新疆喀什地区叶城中等职业学校</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139</w:t>
      </w:r>
      <w:r>
        <w:rPr>
          <w:rFonts w:hint="eastAsia" w:ascii="仿宋_GB2312" w:eastAsia="仿宋_GB2312"/>
          <w:sz w:val="32"/>
          <w:szCs w:val="32"/>
        </w:rPr>
        <w:t>人，其中：在职人员</w:t>
      </w:r>
      <w:r>
        <w:rPr>
          <w:rFonts w:ascii="仿宋_GB2312" w:eastAsia="仿宋_GB2312"/>
          <w:sz w:val="32"/>
          <w:szCs w:val="32"/>
        </w:rPr>
        <w:t>127</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12</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从部门决算单位构成看，新疆喀什地区叶城中等职业学校部门决算包括：新疆喀什地区叶城中等职业学校决算。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10</w:t>
      </w:r>
      <w:r>
        <w:rPr>
          <w:rFonts w:hint="eastAsia" w:ascii="仿宋_GB2312" w:hAnsi="黑体" w:eastAsia="仿宋_GB2312" w:cs="宋体"/>
          <w:bCs/>
          <w:kern w:val="0"/>
          <w:sz w:val="32"/>
          <w:szCs w:val="32"/>
        </w:rPr>
        <w:t>个处室，分别是：校务办公室、教务办公室、政教办公室、保卫办公室、人事办公室、财务办公室、招生就业办公室、党建办公室、总务办公室、工会办公室</w:t>
      </w:r>
      <w:r>
        <w:rPr>
          <w:rFonts w:hint="eastAsia" w:ascii="仿宋_GB2312" w:hAnsi="宋体" w:eastAsia="仿宋_GB2312" w:cs="宋体"/>
          <w:kern w:val="0"/>
          <w:sz w:val="32"/>
          <w:szCs w:val="32"/>
        </w:rPr>
        <w:t>。</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年度收入总计6,249.62万元，其中：本年收入合计</w:t>
      </w:r>
      <w:r>
        <w:rPr>
          <w:rFonts w:ascii="仿宋_GB2312" w:eastAsia="仿宋_GB2312"/>
          <w:sz w:val="32"/>
          <w:szCs w:val="32"/>
        </w:rPr>
        <w:t>6,249.62</w:t>
      </w:r>
      <w:r>
        <w:rPr>
          <w:rFonts w:hint="eastAsia" w:ascii="仿宋_GB2312" w:eastAsia="仿宋_GB2312"/>
          <w:sz w:val="32"/>
          <w:szCs w:val="32"/>
        </w:rPr>
        <w:t>万元，使用非财政拨款结余0.00万元，年初结转和结余0.00万元。收入总计与上年相比，减少4,663.01万元，</w:t>
      </w:r>
      <w:r>
        <w:rPr>
          <w:rFonts w:ascii="仿宋_GB2312" w:eastAsia="仿宋_GB2312"/>
          <w:sz w:val="32"/>
          <w:szCs w:val="32"/>
        </w:rPr>
        <w:t>下降42.73</w:t>
      </w:r>
      <w:r>
        <w:rPr>
          <w:rFonts w:hint="eastAsia" w:ascii="仿宋_GB2312" w:eastAsia="仿宋_GB2312"/>
          <w:sz w:val="32"/>
          <w:szCs w:val="32"/>
        </w:rPr>
        <w:t>%，主要原因是：本年减少</w:t>
      </w:r>
      <w:r>
        <w:rPr>
          <w:rFonts w:hint="eastAsia" w:ascii="仿宋_GB2312" w:eastAsia="仿宋_GB2312"/>
          <w:sz w:val="32"/>
          <w:szCs w:val="32"/>
          <w:lang w:val="en-US" w:eastAsia="zh-CN"/>
        </w:rPr>
        <w:t>专项业务经费</w:t>
      </w:r>
      <w:r>
        <w:rPr>
          <w:rFonts w:hint="eastAsia" w:ascii="仿宋_GB2312" w:eastAsia="仿宋_GB2312"/>
          <w:sz w:val="32"/>
          <w:szCs w:val="32"/>
        </w:rPr>
        <w:t>项目资金，学生人数减少，生均拨款减少。</w:t>
      </w:r>
    </w:p>
    <w:p>
      <w:pPr>
        <w:ind w:firstLine="640" w:firstLineChars="200"/>
        <w:rPr>
          <w:rFonts w:ascii="仿宋_GB2312" w:eastAsia="仿宋_GB2312"/>
          <w:sz w:val="32"/>
          <w:szCs w:val="32"/>
        </w:rPr>
      </w:pPr>
      <w:r>
        <w:rPr>
          <w:rFonts w:hint="eastAsia" w:ascii="仿宋_GB2312" w:eastAsia="仿宋_GB2312"/>
          <w:sz w:val="32"/>
          <w:szCs w:val="32"/>
        </w:rPr>
        <w:t>本年支出总计6,249.62万元，其中：本年支出合计</w:t>
      </w:r>
      <w:r>
        <w:rPr>
          <w:rFonts w:ascii="仿宋_GB2312" w:eastAsia="仿宋_GB2312"/>
          <w:sz w:val="32"/>
          <w:szCs w:val="32"/>
        </w:rPr>
        <w:t>6,249.62</w:t>
      </w:r>
      <w:r>
        <w:rPr>
          <w:rFonts w:hint="eastAsia" w:ascii="仿宋_GB2312" w:eastAsia="仿宋_GB2312"/>
          <w:sz w:val="32"/>
          <w:szCs w:val="32"/>
        </w:rPr>
        <w:t>万元，结余分配0.00万元，年末结转和结余0.00万元。支出总计与上年相比，</w:t>
      </w:r>
      <w:r>
        <w:rPr>
          <w:rFonts w:ascii="仿宋_GB2312" w:eastAsia="仿宋_GB2312"/>
          <w:sz w:val="32"/>
          <w:szCs w:val="32"/>
        </w:rPr>
        <w:t>减少4,663.01</w:t>
      </w:r>
      <w:r>
        <w:rPr>
          <w:rFonts w:hint="eastAsia" w:ascii="仿宋_GB2312" w:eastAsia="仿宋_GB2312"/>
          <w:sz w:val="32"/>
          <w:szCs w:val="32"/>
        </w:rPr>
        <w:t>万元，</w:t>
      </w:r>
      <w:r>
        <w:rPr>
          <w:rFonts w:ascii="仿宋_GB2312" w:eastAsia="仿宋_GB2312"/>
          <w:sz w:val="32"/>
          <w:szCs w:val="32"/>
        </w:rPr>
        <w:t>下降42.73</w:t>
      </w:r>
      <w:r>
        <w:rPr>
          <w:rFonts w:hint="eastAsia" w:ascii="仿宋_GB2312" w:eastAsia="仿宋_GB2312"/>
          <w:sz w:val="32"/>
          <w:szCs w:val="32"/>
        </w:rPr>
        <w:t>%，主要原因是：本年减少</w:t>
      </w:r>
      <w:r>
        <w:rPr>
          <w:rFonts w:hint="eastAsia" w:ascii="仿宋_GB2312" w:eastAsia="仿宋_GB2312"/>
          <w:sz w:val="32"/>
          <w:szCs w:val="32"/>
          <w:lang w:val="en-US" w:eastAsia="zh-CN"/>
        </w:rPr>
        <w:t>专项业务经费</w:t>
      </w:r>
      <w:r>
        <w:rPr>
          <w:rFonts w:hint="eastAsia" w:ascii="仿宋_GB2312" w:eastAsia="仿宋_GB2312"/>
          <w:sz w:val="32"/>
          <w:szCs w:val="32"/>
        </w:rPr>
        <w:t>项目资金，学生人数减少，生均拨款减少。</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6,249.62</w:t>
      </w:r>
      <w:r>
        <w:rPr>
          <w:rFonts w:hint="eastAsia" w:ascii="仿宋_GB2312" w:eastAsia="仿宋_GB2312"/>
          <w:sz w:val="32"/>
          <w:szCs w:val="32"/>
        </w:rPr>
        <w:t>万元，其中：财政拨款收入</w:t>
      </w:r>
      <w:r>
        <w:rPr>
          <w:rFonts w:ascii="仿宋_GB2312" w:eastAsia="仿宋_GB2312"/>
          <w:sz w:val="32"/>
          <w:szCs w:val="32"/>
        </w:rPr>
        <w:t>5,469.62</w:t>
      </w:r>
      <w:r>
        <w:rPr>
          <w:rFonts w:hint="eastAsia" w:ascii="仿宋_GB2312" w:eastAsia="仿宋_GB2312"/>
          <w:sz w:val="32"/>
          <w:szCs w:val="32"/>
        </w:rPr>
        <w:t>万元，占87.52%；上级补助收入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780.00</w:t>
      </w:r>
      <w:r>
        <w:rPr>
          <w:rFonts w:hint="eastAsia" w:ascii="仿宋_GB2312" w:eastAsia="仿宋_GB2312"/>
          <w:sz w:val="32"/>
          <w:szCs w:val="32"/>
        </w:rPr>
        <w:t>万元，占12.48%。</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年度本年支出6,249.62万元，其中：基本支出</w:t>
      </w:r>
      <w:r>
        <w:rPr>
          <w:rFonts w:ascii="仿宋_GB2312" w:eastAsia="仿宋_GB2312"/>
          <w:sz w:val="32"/>
          <w:szCs w:val="32"/>
        </w:rPr>
        <w:t>2,214.46</w:t>
      </w:r>
      <w:r>
        <w:rPr>
          <w:rFonts w:hint="eastAsia" w:ascii="仿宋_GB2312" w:eastAsia="仿宋_GB2312"/>
          <w:sz w:val="32"/>
          <w:szCs w:val="32"/>
        </w:rPr>
        <w:t>万元，占35.43%；项目支出</w:t>
      </w:r>
      <w:r>
        <w:rPr>
          <w:rFonts w:ascii="仿宋_GB2312" w:eastAsia="仿宋_GB2312"/>
          <w:sz w:val="32"/>
          <w:szCs w:val="32"/>
        </w:rPr>
        <w:t>4,035.16</w:t>
      </w:r>
      <w:r>
        <w:rPr>
          <w:rFonts w:hint="eastAsia" w:ascii="仿宋_GB2312" w:eastAsia="仿宋_GB2312"/>
          <w:sz w:val="32"/>
          <w:szCs w:val="32"/>
        </w:rPr>
        <w:t>万元，占64.57%；上缴上级支出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收入总计5,469.62万元，其中：年初财政拨款结转和结余0.00万元，财政拨款本年收入5,469.62万元。财政拨款收入总计与上年相比，减少1,783.01万元，下降24.58%，主要原因是：本年学生人数减少，生均财政拨款减少，减少</w:t>
      </w:r>
      <w:r>
        <w:rPr>
          <w:rFonts w:hint="eastAsia" w:ascii="仿宋_GB2312" w:eastAsia="仿宋_GB2312"/>
          <w:sz w:val="32"/>
          <w:szCs w:val="32"/>
          <w:lang w:eastAsia="zh-CN"/>
        </w:rPr>
        <w:t>县</w:t>
      </w:r>
      <w:r>
        <w:rPr>
          <w:rFonts w:hint="eastAsia" w:ascii="仿宋_GB2312" w:eastAsia="仿宋_GB2312"/>
          <w:sz w:val="32"/>
          <w:szCs w:val="32"/>
        </w:rPr>
        <w:t>教育质量提升计划专项资金项目。</w:t>
      </w:r>
    </w:p>
    <w:p>
      <w:pPr>
        <w:ind w:firstLine="640" w:firstLineChars="200"/>
        <w:rPr>
          <w:rFonts w:ascii="仿宋_GB2312" w:eastAsia="仿宋_GB2312"/>
          <w:sz w:val="32"/>
          <w:szCs w:val="32"/>
        </w:rPr>
      </w:pPr>
      <w:r>
        <w:rPr>
          <w:rFonts w:hint="eastAsia" w:ascii="仿宋_GB2312" w:eastAsia="仿宋_GB2312"/>
          <w:sz w:val="32"/>
          <w:szCs w:val="32"/>
        </w:rPr>
        <w:t>财政拨款支出总计5,469.62万元，其中：年末财政拨款结转和结余0.00万元，财政拨款本年支出5,469.62万元。财政拨款支出总计与上年相比，减少1,783.01万元，下降24.58%，主要原因是：本年学生人数减少，生均财政拨款减少，减少现代教育质量提升计划专项资金项目。</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w:t>
      </w:r>
      <w:r>
        <w:rPr>
          <w:rFonts w:ascii="仿宋_GB2312" w:eastAsia="仿宋_GB2312"/>
          <w:sz w:val="32"/>
          <w:szCs w:val="32"/>
        </w:rPr>
        <w:t>2,330.24</w:t>
      </w:r>
      <w:r>
        <w:rPr>
          <w:rFonts w:hint="eastAsia" w:ascii="仿宋_GB2312" w:eastAsia="仿宋_GB2312"/>
          <w:sz w:val="32"/>
          <w:szCs w:val="32"/>
        </w:rPr>
        <w:t>万元，决算数</w:t>
      </w:r>
      <w:r>
        <w:rPr>
          <w:rFonts w:ascii="仿宋_GB2312" w:eastAsia="仿宋_GB2312"/>
          <w:sz w:val="32"/>
          <w:szCs w:val="32"/>
        </w:rPr>
        <w:t>5,469.62</w:t>
      </w:r>
      <w:r>
        <w:rPr>
          <w:rFonts w:hint="eastAsia" w:ascii="仿宋_GB2312" w:eastAsia="仿宋_GB2312"/>
          <w:sz w:val="32"/>
          <w:szCs w:val="32"/>
        </w:rPr>
        <w:t>万元，预决算差异率</w:t>
      </w:r>
      <w:r>
        <w:rPr>
          <w:rFonts w:ascii="仿宋_GB2312" w:eastAsia="仿宋_GB2312"/>
          <w:sz w:val="32"/>
          <w:szCs w:val="32"/>
        </w:rPr>
        <w:t>134.72</w:t>
      </w:r>
      <w:r>
        <w:rPr>
          <w:rFonts w:hint="eastAsia" w:ascii="仿宋_GB2312" w:eastAsia="仿宋_GB2312"/>
          <w:sz w:val="32"/>
          <w:szCs w:val="32"/>
        </w:rPr>
        <w:t>%，主要原因是：在职人员工资调增，年中追加相关人员经费，保运转项目经费。财政拨款支出总计年初预算数</w:t>
      </w:r>
      <w:r>
        <w:rPr>
          <w:rFonts w:ascii="仿宋_GB2312" w:eastAsia="仿宋_GB2312"/>
          <w:sz w:val="32"/>
          <w:szCs w:val="32"/>
        </w:rPr>
        <w:t>2,330.24</w:t>
      </w:r>
      <w:r>
        <w:rPr>
          <w:rFonts w:hint="eastAsia" w:ascii="仿宋_GB2312" w:eastAsia="仿宋_GB2312"/>
          <w:sz w:val="32"/>
          <w:szCs w:val="32"/>
        </w:rPr>
        <w:t>万元，决算数</w:t>
      </w:r>
      <w:r>
        <w:rPr>
          <w:rFonts w:ascii="仿宋_GB2312" w:eastAsia="仿宋_GB2312"/>
          <w:sz w:val="32"/>
          <w:szCs w:val="32"/>
        </w:rPr>
        <w:t>5,469.62</w:t>
      </w:r>
      <w:r>
        <w:rPr>
          <w:rFonts w:hint="eastAsia" w:ascii="仿宋_GB2312" w:eastAsia="仿宋_GB2312"/>
          <w:sz w:val="32"/>
          <w:szCs w:val="32"/>
        </w:rPr>
        <w:t>万元，预决算差异率134.72%，主要原因是：在职人员工资调增，年中追加相关人员经费，保运转项目经费。</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年度一般公共预算财政拨款支出5,469.62万元，占本年支出合计的</w:t>
      </w:r>
      <w:r>
        <w:rPr>
          <w:rFonts w:ascii="仿宋_GB2312" w:eastAsia="仿宋_GB2312"/>
          <w:sz w:val="32"/>
          <w:szCs w:val="32"/>
        </w:rPr>
        <w:t>87.52</w:t>
      </w:r>
      <w:r>
        <w:rPr>
          <w:rFonts w:hint="eastAsia" w:ascii="仿宋_GB2312" w:eastAsia="仿宋_GB2312"/>
          <w:sz w:val="32"/>
          <w:szCs w:val="32"/>
        </w:rPr>
        <w:t>%，与上年相比，</w:t>
      </w:r>
      <w:r>
        <w:rPr>
          <w:rFonts w:ascii="仿宋_GB2312" w:eastAsia="仿宋_GB2312"/>
          <w:sz w:val="32"/>
          <w:szCs w:val="32"/>
        </w:rPr>
        <w:t>减少1,783.01</w:t>
      </w:r>
      <w:r>
        <w:rPr>
          <w:rFonts w:hint="eastAsia" w:ascii="仿宋_GB2312" w:eastAsia="仿宋_GB2312"/>
          <w:sz w:val="32"/>
          <w:szCs w:val="32"/>
        </w:rPr>
        <w:t>万元，</w:t>
      </w:r>
      <w:r>
        <w:rPr>
          <w:rFonts w:ascii="仿宋_GB2312" w:eastAsia="仿宋_GB2312"/>
          <w:sz w:val="32"/>
          <w:szCs w:val="32"/>
        </w:rPr>
        <w:t>下降24.58</w:t>
      </w:r>
      <w:r>
        <w:rPr>
          <w:rFonts w:hint="eastAsia" w:ascii="仿宋_GB2312" w:eastAsia="仿宋_GB2312"/>
          <w:sz w:val="32"/>
          <w:szCs w:val="32"/>
        </w:rPr>
        <w:t>%，主要原因是：本年学生人数减少，生均财政拨款减少，减少2021年现代教育质量提升计划专项资金项目。</w:t>
      </w:r>
    </w:p>
    <w:p>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pPr>
        <w:ind w:firstLine="640" w:firstLineChars="200"/>
        <w:rPr>
          <w:rFonts w:ascii="黑体" w:hAnsi="黑体" w:eastAsia="黑体"/>
          <w:sz w:val="32"/>
          <w:szCs w:val="32"/>
        </w:rPr>
      </w:pPr>
      <w:r>
        <w:rPr>
          <w:rFonts w:hint="eastAsia" w:ascii="仿宋_GB2312" w:eastAsia="仿宋_GB2312"/>
          <w:sz w:val="32"/>
          <w:szCs w:val="32"/>
        </w:rPr>
        <w:t>1.教育支出(类)5,286.96万元,占96.66%。</w:t>
      </w:r>
    </w:p>
    <w:p>
      <w:pPr>
        <w:ind w:firstLine="640" w:firstLineChars="200"/>
        <w:outlineLvl w:val="2"/>
        <w:rPr>
          <w:rFonts w:ascii="黑体" w:hAnsi="黑体" w:eastAsia="黑体"/>
          <w:sz w:val="32"/>
          <w:szCs w:val="32"/>
        </w:rPr>
      </w:pPr>
      <w:r>
        <w:rPr>
          <w:rFonts w:hint="eastAsia" w:ascii="仿宋_GB2312" w:eastAsia="仿宋_GB2312"/>
          <w:sz w:val="32"/>
          <w:szCs w:val="32"/>
        </w:rPr>
        <w:t>2.社会保障和就业支出(类)182.66万元,占3.34%。</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sz w:val="32"/>
          <w:szCs w:val="32"/>
          <w:highlight w:val="yellow"/>
        </w:rPr>
      </w:pPr>
      <w:r>
        <w:rPr>
          <w:rFonts w:hint="eastAsia" w:ascii="仿宋_GB2312" w:eastAsia="仿宋_GB2312"/>
          <w:sz w:val="32"/>
          <w:szCs w:val="32"/>
        </w:rPr>
        <w:t>1.教育支出(类)职业教育(款)中等职业教育(项):支出决算数为5,286.96万元，比上年决算减少1,727.88万元，下降24.63%</w:t>
      </w:r>
      <w:r>
        <w:rPr>
          <w:rFonts w:ascii="仿宋_GB2312" w:eastAsia="仿宋_GB2312"/>
          <w:sz w:val="32"/>
          <w:szCs w:val="32"/>
        </w:rPr>
        <w:t>,</w:t>
      </w:r>
      <w:r>
        <w:rPr>
          <w:rFonts w:hint="eastAsia" w:ascii="仿宋_GB2312" w:eastAsia="仿宋_GB2312"/>
          <w:sz w:val="32"/>
          <w:szCs w:val="32"/>
        </w:rPr>
        <w:t>主要原因是:本年学生人数减少，生均财政拨款减少，减少现代教育质量提升计划专项资金项目。</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仿宋_GB2312" w:eastAsia="仿宋_GB2312"/>
          <w:sz w:val="32"/>
          <w:szCs w:val="32"/>
        </w:rPr>
        <w:t>2.社会保障和就业支出(类)行政事业单位养老支出(款)机关事业单位基本养老保险缴费支出(项):支出决算数为182.66万元，比上年决算增加7.30万元，增长4.16%</w:t>
      </w:r>
      <w:r>
        <w:rPr>
          <w:rFonts w:ascii="仿宋_GB2312" w:eastAsia="仿宋_GB2312"/>
          <w:sz w:val="32"/>
          <w:szCs w:val="32"/>
        </w:rPr>
        <w:t>,</w:t>
      </w:r>
      <w:r>
        <w:rPr>
          <w:rFonts w:hint="eastAsia" w:ascii="仿宋_GB2312" w:eastAsia="仿宋_GB2312"/>
          <w:sz w:val="32"/>
          <w:szCs w:val="32"/>
        </w:rPr>
        <w:t>主要原因是:在职人员工资调增，机关事业单位基本养老保险缴费支出增加。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3.教育支出(类)教育费附加安排的支出(款)中等职业学校教学设施(项):支出决算数为0.00万元，比上年决算减少62.44万元，下降100%</w:t>
      </w:r>
      <w:r>
        <w:rPr>
          <w:rFonts w:ascii="仿宋_GB2312" w:eastAsia="仿宋_GB2312"/>
          <w:sz w:val="32"/>
          <w:szCs w:val="32"/>
        </w:rPr>
        <w:t>,</w:t>
      </w:r>
      <w:r>
        <w:rPr>
          <w:rFonts w:hint="eastAsia" w:ascii="仿宋_GB2312" w:eastAsia="仿宋_GB2312"/>
          <w:sz w:val="32"/>
          <w:szCs w:val="32"/>
        </w:rPr>
        <w:t>主要原因是:2022年未安排地方教育附加项目。</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年度一般公共预算财政拨款基本支出</w:t>
      </w:r>
      <w:r>
        <w:rPr>
          <w:rFonts w:ascii="仿宋_GB2312" w:eastAsia="仿宋_GB2312"/>
          <w:sz w:val="32"/>
          <w:szCs w:val="32"/>
        </w:rPr>
        <w:t>2,214.46</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2,214.46</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万元，包括：基本工资、津贴补贴、奖金、绩效工资、机关事业单位基本养老保险缴费、职工基本医疗保险缴费、其他社会保障缴费、住房公积金、退休费、抚恤金、生活补助。</w:t>
      </w:r>
    </w:p>
    <w:p>
      <w:pPr>
        <w:ind w:firstLine="640" w:firstLineChars="200"/>
        <w:rPr>
          <w:rFonts w:ascii="仿宋_GB2312" w:hAnsi="宋体" w:eastAsia="仿宋_GB2312" w:cs="宋体"/>
          <w:kern w:val="0"/>
          <w:sz w:val="32"/>
          <w:szCs w:val="32"/>
        </w:rPr>
      </w:pPr>
      <w:r>
        <w:rPr>
          <w:rFonts w:hint="eastAsia" w:ascii="仿宋_GB2312" w:eastAsia="仿宋_GB2312"/>
          <w:sz w:val="32"/>
          <w:szCs w:val="32"/>
        </w:rPr>
        <w:t>公用经费0.00万元，包括：无公用经费。</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年度财政拨款“三公”经费支出决算</w:t>
      </w:r>
      <w:r>
        <w:rPr>
          <w:rFonts w:ascii="仿宋_GB2312" w:eastAsia="仿宋_GB2312"/>
          <w:sz w:val="32"/>
          <w:szCs w:val="32"/>
        </w:rPr>
        <w:t>0.00</w:t>
      </w:r>
      <w:r>
        <w:rPr>
          <w:rFonts w:hint="eastAsia" w:ascii="仿宋_GB2312" w:eastAsia="仿宋_GB2312"/>
          <w:sz w:val="32"/>
          <w:szCs w:val="32"/>
        </w:rPr>
        <w:t>万元，比上年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我单位无财政拨款“三公”经费支出</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我单位无公务用车购置及运行维护费</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我单位无公务接待费</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万元，预决算差异率0.00%，主要原因是：我单位无财政拨款“三公”经费支出。</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rPr>
          <w:rFonts w:ascii="Arial" w:hAnsi="Arial" w:cs="Arial"/>
          <w:color w:val="4D4D4D"/>
          <w:shd w:val="clear" w:color="auto" w:fill="FFFFFF"/>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outlineLvl w:val="2"/>
        <w:rPr>
          <w:rFonts w:ascii="黑体" w:hAnsi="黑体" w:eastAsia="黑体"/>
          <w:sz w:val="32"/>
          <w:szCs w:val="32"/>
        </w:rPr>
      </w:pPr>
      <w:r>
        <w:rPr>
          <w:rFonts w:hint="eastAsia" w:ascii="仿宋_GB2312" w:eastAsia="仿宋_GB2312"/>
          <w:sz w:val="32"/>
          <w:szCs w:val="32"/>
        </w:rPr>
        <w:t>2022年度新疆喀什地区叶城中等职业学校（事业单位）公用经费0.00万元，比上年增加0.00万元，增长0.00%，主要原因是：我单位无公用经费支出。</w:t>
      </w:r>
    </w:p>
    <w:p>
      <w:pPr>
        <w:ind w:firstLine="800" w:firstLineChars="250"/>
        <w:outlineLvl w:val="2"/>
        <w:rPr>
          <w:rFonts w:ascii="黑体" w:hAnsi="黑体" w:eastAsia="黑体"/>
          <w:sz w:val="32"/>
          <w:szCs w:val="32"/>
        </w:rPr>
      </w:pPr>
      <w:bookmarkStart w:id="24" w:name="_Toc26704"/>
      <w:bookmarkStart w:id="25" w:name="_Toc227"/>
      <w:r>
        <w:rPr>
          <w:rFonts w:hint="eastAsia" w:ascii="黑体" w:hAnsi="黑体" w:eastAsia="黑体"/>
          <w:sz w:val="32"/>
          <w:szCs w:val="32"/>
        </w:rPr>
        <w:t>（二）政府采购情况</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2022年度政府采购支出总额</w:t>
      </w:r>
      <w:r>
        <w:rPr>
          <w:rFonts w:ascii="仿宋_GB2312" w:eastAsia="仿宋_GB2312"/>
          <w:sz w:val="32"/>
          <w:szCs w:val="32"/>
        </w:rPr>
        <w:t>1,693.56</w:t>
      </w:r>
      <w:r>
        <w:rPr>
          <w:rFonts w:hint="eastAsia" w:ascii="仿宋_GB2312" w:eastAsia="仿宋_GB2312"/>
          <w:sz w:val="32"/>
          <w:szCs w:val="32"/>
        </w:rPr>
        <w:t>万元，其中：政府采购货物支出</w:t>
      </w:r>
      <w:r>
        <w:rPr>
          <w:rFonts w:ascii="仿宋_GB2312" w:eastAsia="仿宋_GB2312"/>
          <w:sz w:val="32"/>
          <w:szCs w:val="32"/>
        </w:rPr>
        <w:t>1,369.93</w:t>
      </w:r>
      <w:r>
        <w:rPr>
          <w:rFonts w:hint="eastAsia" w:ascii="仿宋_GB2312" w:eastAsia="仿宋_GB2312"/>
          <w:sz w:val="32"/>
          <w:szCs w:val="32"/>
        </w:rPr>
        <w:t>万元、政府采购工程支出</w:t>
      </w:r>
      <w:r>
        <w:rPr>
          <w:rFonts w:ascii="仿宋_GB2312" w:eastAsia="仿宋_GB2312"/>
          <w:sz w:val="32"/>
          <w:szCs w:val="32"/>
        </w:rPr>
        <w:t>165.84</w:t>
      </w:r>
      <w:r>
        <w:rPr>
          <w:rFonts w:hint="eastAsia" w:ascii="仿宋_GB2312" w:eastAsia="仿宋_GB2312"/>
          <w:sz w:val="32"/>
          <w:szCs w:val="32"/>
        </w:rPr>
        <w:t>万元、政府采购服务支出</w:t>
      </w:r>
      <w:r>
        <w:rPr>
          <w:rFonts w:ascii="仿宋_GB2312" w:eastAsia="仿宋_GB2312"/>
          <w:sz w:val="32"/>
          <w:szCs w:val="32"/>
        </w:rPr>
        <w:t>157.79</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1,693.56</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%，其中：授予小微企业合同金额</w:t>
      </w:r>
      <w:r>
        <w:rPr>
          <w:rFonts w:ascii="仿宋_GB2312" w:eastAsia="仿宋_GB2312"/>
          <w:sz w:val="32"/>
          <w:szCs w:val="32"/>
        </w:rPr>
        <w:t>1,693.56</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6" w:name="_Toc8391"/>
      <w:bookmarkStart w:id="27" w:name="_Toc4591"/>
      <w:r>
        <w:rPr>
          <w:rFonts w:hint="eastAsia" w:ascii="黑体" w:hAnsi="黑体" w:eastAsia="黑体"/>
          <w:sz w:val="32"/>
          <w:szCs w:val="32"/>
        </w:rPr>
        <w:t>（三）国有资产占用情况说明</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lang w:eastAsia="zh-CN"/>
        </w:rPr>
        <w:t>截至</w:t>
      </w:r>
      <w:r>
        <w:rPr>
          <w:rFonts w:hint="eastAsia" w:ascii="仿宋_GB2312" w:eastAsia="仿宋_GB2312"/>
          <w:sz w:val="32"/>
          <w:szCs w:val="32"/>
        </w:rPr>
        <w:t>2022年12月31日，固定资产原值17,094.66万元，房屋</w:t>
      </w:r>
      <w:r>
        <w:rPr>
          <w:rFonts w:ascii="仿宋_GB2312" w:eastAsia="仿宋_GB2312"/>
          <w:sz w:val="32"/>
          <w:szCs w:val="32"/>
        </w:rPr>
        <w:t>64,613.87</w:t>
      </w:r>
      <w:r>
        <w:rPr>
          <w:rFonts w:hint="eastAsia" w:ascii="仿宋_GB2312" w:eastAsia="仿宋_GB2312"/>
          <w:sz w:val="32"/>
          <w:szCs w:val="32"/>
        </w:rPr>
        <w:t>平方米，价值</w:t>
      </w:r>
      <w:r>
        <w:rPr>
          <w:rFonts w:ascii="仿宋_GB2312" w:eastAsia="仿宋_GB2312"/>
          <w:sz w:val="32"/>
          <w:szCs w:val="32"/>
        </w:rPr>
        <w:t>11,768.02</w:t>
      </w:r>
      <w:r>
        <w:rPr>
          <w:rFonts w:hint="eastAsia" w:ascii="仿宋_GB2312" w:eastAsia="仿宋_GB2312"/>
          <w:sz w:val="32"/>
          <w:szCs w:val="32"/>
        </w:rPr>
        <w:t>万元。车辆</w:t>
      </w:r>
      <w:r>
        <w:rPr>
          <w:rFonts w:ascii="仿宋_GB2312" w:eastAsia="仿宋_GB2312"/>
          <w:sz w:val="32"/>
          <w:szCs w:val="32"/>
        </w:rPr>
        <w:t>1</w:t>
      </w:r>
      <w:r>
        <w:rPr>
          <w:rFonts w:hint="eastAsia" w:ascii="仿宋_GB2312" w:eastAsia="仿宋_GB2312"/>
          <w:sz w:val="32"/>
          <w:szCs w:val="32"/>
        </w:rPr>
        <w:t>辆，价值</w:t>
      </w:r>
      <w:r>
        <w:rPr>
          <w:rFonts w:ascii="仿宋_GB2312" w:eastAsia="仿宋_GB2312"/>
          <w:sz w:val="32"/>
          <w:szCs w:val="32"/>
        </w:rPr>
        <w:t>8.50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1</w:t>
      </w:r>
      <w:r>
        <w:rPr>
          <w:rFonts w:hint="eastAsia" w:ascii="仿宋_GB2312" w:eastAsia="仿宋_GB2312"/>
          <w:sz w:val="32"/>
          <w:szCs w:val="32"/>
        </w:rPr>
        <w:t>辆，其他用车主要是：单位业务用车；单价100万元（含）以上设备（不含车辆）</w:t>
      </w:r>
      <w:r>
        <w:rPr>
          <w:rFonts w:ascii="仿宋_GB2312" w:eastAsia="仿宋_GB2312"/>
          <w:sz w:val="32"/>
          <w:szCs w:val="32"/>
        </w:rPr>
        <w:t>5</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2022</w:t>
      </w:r>
      <w:r>
        <w:rPr>
          <w:rFonts w:hint="eastAsia" w:ascii="仿宋_GB2312" w:eastAsia="仿宋_GB2312"/>
          <w:sz w:val="32"/>
          <w:szCs w:val="32"/>
        </w:rPr>
        <w:t>年度开展预算绩效评价项目</w:t>
      </w:r>
      <w:r>
        <w:rPr>
          <w:rFonts w:ascii="仿宋_GB2312" w:eastAsia="仿宋_GB2312"/>
          <w:sz w:val="32"/>
          <w:szCs w:val="32"/>
        </w:rPr>
        <w:t>8</w:t>
      </w:r>
      <w:r>
        <w:rPr>
          <w:rFonts w:hint="eastAsia" w:ascii="仿宋_GB2312" w:eastAsia="仿宋_GB2312"/>
          <w:sz w:val="32"/>
          <w:szCs w:val="32"/>
        </w:rPr>
        <w:t>个，全年预算数3,671.43万元，全年执行数3,255.15万元。预算绩效管理取得的成效：</w:t>
      </w:r>
      <w:r>
        <w:rPr>
          <w:rFonts w:ascii="仿宋_GB2312" w:eastAsia="仿宋_GB2312"/>
          <w:sz w:val="32"/>
          <w:szCs w:val="32"/>
        </w:rPr>
        <w:t>一是狠抓绩效管理成效，做好预算编制有目标，预算执行有监控，预算完成有评价，评价结果有反馈，全程实施绩效管理。二是做优事前目标评价，将预算项目绩效目标事前评价与预算编制紧密结合。做细事中跟踪评价，将年度预算绩效目标执行情况跟踪监控与预算项目调整紧密结合，不断完善项目管理，进一步落实支出责任，加快预算执行进度。三是做深事后跟踪评价，将绩效自评与第三方独立机构评价紧密结合。根据绩效管理工作需要将预算项目开展绩效自评工作，部门绩效自评的责任意识有所提升</w:t>
      </w:r>
      <w:r>
        <w:rPr>
          <w:rFonts w:hint="eastAsia" w:ascii="仿宋_GB2312" w:eastAsia="仿宋_GB2312"/>
          <w:sz w:val="32"/>
          <w:szCs w:val="32"/>
        </w:rPr>
        <w:t>。发现的问题及原因：</w:t>
      </w:r>
      <w:r>
        <w:rPr>
          <w:rFonts w:ascii="仿宋_GB2312" w:eastAsia="仿宋_GB2312"/>
          <w:sz w:val="32"/>
          <w:szCs w:val="32"/>
        </w:rPr>
        <w:t>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w:t>
      </w:r>
      <w:r>
        <w:rPr>
          <w:rFonts w:hint="eastAsia" w:ascii="仿宋_GB2312" w:eastAsia="仿宋_GB2312"/>
          <w:sz w:val="32"/>
          <w:szCs w:val="32"/>
        </w:rPr>
        <w:t>。下一步改进措施：</w:t>
      </w:r>
      <w:r>
        <w:rPr>
          <w:rFonts w:ascii="仿宋_GB2312" w:eastAsia="仿宋_GB2312"/>
          <w:sz w:val="32"/>
          <w:szCs w:val="32"/>
        </w:rPr>
        <w:t>一是在以后年度，我单位会充分考虑、预测实际情况来进行预算的填报，提高预算数据的准确度；二是加强对以前年度资金使用情况的分析和总结，加强预算编制科学化、精细化管理，增强预算编制的严肃性和权威性</w:t>
      </w:r>
      <w:r>
        <w:rPr>
          <w:rFonts w:hint="eastAsia" w:ascii="仿宋_GB2312" w:eastAsia="仿宋_GB2312"/>
          <w:sz w:val="32"/>
          <w:szCs w:val="32"/>
        </w:rPr>
        <w:t>。具体项目自评情况附项目支出绩效自评表。</w:t>
      </w:r>
    </w:p>
    <w:p>
      <w:pPr>
        <w:widowControl/>
        <w:jc w:val="left"/>
        <w:rPr>
          <w:rFonts w:ascii="黑体" w:hAnsi="黑体" w:eastAsia="黑体"/>
          <w:sz w:val="32"/>
          <w:szCs w:val="32"/>
        </w:rPr>
      </w:pPr>
      <w:bookmarkStart w:id="30" w:name="_Toc3250"/>
      <w:bookmarkStart w:id="31" w:name="_Toc24143"/>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2022年度学生资助补助中职助学金项目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教育部</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叶城县职业高中学校</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707.46</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707.46</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637.80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9.02分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707.46</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707.46</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637.80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项目资金707.46万元。用于学生补助发放，用于中职学校发放学生助学金，补助标准：2000元/生/年，激励中等职业学校学生勤奋学习、努力进取，提高学生思想道德素质和专业技能水平。</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lang w:eastAsia="zh-CN"/>
              </w:rPr>
              <w:t>截至</w:t>
            </w:r>
            <w:r>
              <w:rPr>
                <w:rFonts w:hint="eastAsia" w:ascii="宋体" w:hAnsi="宋体" w:cs="宋体"/>
                <w:color w:val="000000"/>
                <w:kern w:val="0"/>
                <w:sz w:val="20"/>
                <w:szCs w:val="20"/>
              </w:rPr>
              <w:t>2022年12月31日，项目预算金额为707.46万元，资金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707.46万元，已支付637.80万元，资金执行率90.2%，用于了叶城中等职业学校发放学生助学金，减轻中职学生家庭经济负担。</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中职学校享受助学金补助资金人数（人）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=3548人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3200人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9.02</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享受助学金补助人数减少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中职学校学生助学金资金补助率（%）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9.02</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享受助学金补助人数减少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9.02</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享受助学金补助人数减少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2022年12月28日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2022年12月28日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中职学生助学金补助标准（人/元/年）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9.02</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享受助学金补助人数减少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减轻中职学校学生家庭经济负担</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资金可持续使用年限（年）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中职学生家长满意度（%）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95.10分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2022年学生资助补助中职学校奖学金项目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教育部</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叶城县职业高中学校</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5.40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5.40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5.40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5.40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5.40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5.40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总资金5.4万元，用于2022年学生资助补助中职学校奖学金项目，优秀学生9人，每生每年6000元，中等教育各项国家资助按规定得到落实，提高中职教育在国民教育体系中的地位。促进教育水平显著提升，进一步培养人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lang w:eastAsia="zh-CN"/>
              </w:rPr>
              <w:t>截至</w:t>
            </w:r>
            <w:r>
              <w:rPr>
                <w:rFonts w:hint="eastAsia" w:ascii="宋体" w:hAnsi="宋体" w:cs="宋体"/>
                <w:color w:val="000000"/>
                <w:kern w:val="0"/>
                <w:sz w:val="20"/>
                <w:szCs w:val="20"/>
              </w:rPr>
              <w:t>2022年12月31日，项目预算金额为5.4万元，资金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5.4万元，已支付5.4万元，资金执行率100%，用于了叶城中等职业学校发放优秀奖学金，促进教育水平显著提升，进一步培养人才。</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受助学生（人）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资金到位率（%）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受助学生比例达到（500：1）</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优秀学生每年补助金额（元）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=6000元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6000元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减轻学校家庭经济困难学生的生活负担</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资金保障年限（年）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师生满意度（%）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2022年学生资助补助直达资金（中职免学费）</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叶城县职业高中学校</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997.00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997.00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997.00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997.00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997.00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997.00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该项目计划资金997万元，用于中职学校6148名学生享受到免学费补助资金。中职教育阶段学生按国家规定享受免学费资助政策，保障中等职业学校教学运转。</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lang w:eastAsia="zh-CN"/>
              </w:rPr>
              <w:t>截至</w:t>
            </w:r>
            <w:r>
              <w:rPr>
                <w:rFonts w:hint="eastAsia" w:ascii="宋体" w:hAnsi="宋体" w:cs="宋体"/>
                <w:color w:val="000000"/>
                <w:kern w:val="0"/>
                <w:sz w:val="20"/>
                <w:szCs w:val="20"/>
              </w:rPr>
              <w:t>2022年12月31日，项目预算金额为997万元，资金到位997万元，已支付997万元，资金执行率100%，用于了叶城中等职业学校水、电、气、暖、办公用品、设备购置等运转支出，保障了中等职业学校2022学年学校正常运转。</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中职学校免学费受助学生人数（人）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&gt;=6148人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6148人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中职学校学生享受免学费补助资金覆盖率（%）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免学费补助资金按时使用率（%）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2022年12月28日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2022年12月28日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中职学校学生免学费资助成本（元/人）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&lt;=1621.67元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1621.67元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减轻本县中职学校学生家庭经济负担</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资金可持续使用年限（年）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中职学校学生满意度（%）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中职学校学生家长满意度（%）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2022年现代职业教育质量提升计划专项资金项目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叶城县职业高中学校</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项目计划资金400万元，用于完善实训室功能新增实训设备6000件以上，保障学生在校期间动手实践教学，促进专业教学质量和办学质量提升。</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项目资金400万元，到位400万元，执行400万元，执行率100%。完善实训室功能新增实训设备6000件以上，保障学生在校期间动手实践教学，促进专业教学质量和办学质量提升。</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实训设备购置台数（台）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=6000台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6000台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完善中餐专业实训室功能（间）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设备验收合格率（%）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资金到位及时率（%）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实训设备购置总金额（万元）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&lt;=400万元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服务建设现代化经济体系和更高质量更充分就业需要，重点培养中餐专业率先发展，促进就业</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明显提升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明显提升</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教师满意度（%）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学生、家长满意度（%）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2022年教育非直达资金（中等职业教育学校生均公用经费）项目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叶城中等职业学校</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750.20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727.85</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97.02%</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750.20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727.85</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97.02%</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本项目下达资金750.2万元，用于中职学生7502人的享受公用经费补助，按照中职学生每生每年1000元的标准补助公用经费，进一步入地优化教育结构，促进教育公平。全面加强教育经费投入使用管理工作，优化结构、优先保障、深化改革、强化管理，最终提高教育经费使用效益。</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lang w:eastAsia="zh-CN"/>
              </w:rPr>
              <w:t>截至</w:t>
            </w:r>
            <w:r>
              <w:rPr>
                <w:rFonts w:hint="eastAsia" w:ascii="宋体" w:hAnsi="宋体" w:cs="宋体"/>
                <w:color w:val="000000"/>
                <w:kern w:val="0"/>
                <w:sz w:val="20"/>
                <w:szCs w:val="20"/>
              </w:rPr>
              <w:t>2022年12月31日，项目预算金额为750.2万元，资金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750.2万元，已支付727.85万元，资金执行率97.02%，用于叶城中等职业学校水、电、气、暖、办公用品、设备购置等运转支出。</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中职学校生均公用经费拨款人数（人）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=7502人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=7277人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中职学生生均公用经费补助覆盖率（%）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=97.02%</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中职生均公用经费资金拨付及时率（%）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中职生均公用经费补助标准（元/年）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=1000元/年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=1000元/年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有效减轻中职学生家庭经济负担</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有效改善</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达成年度指标</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项目资金可持续发放补助年限（年）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受益中职学生满意度（%）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2022年教育非直达资金（免除生源地为南疆四地州和其他边境县、贫困县中等职业学校学生住宿费补助资金）项目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叶城中等职业学校</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619.73</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374.61</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60.45%</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619.73</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374.61</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60.45%</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项目资金619.73万元，保障中等职业学校在学生住宿生活条件，减轻学生家庭经济负担。</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lang w:eastAsia="zh-CN"/>
              </w:rPr>
              <w:t>截至</w:t>
            </w:r>
            <w:r>
              <w:rPr>
                <w:rFonts w:hint="eastAsia" w:ascii="宋体" w:hAnsi="宋体" w:cs="宋体"/>
                <w:color w:val="000000"/>
                <w:kern w:val="0"/>
                <w:sz w:val="20"/>
                <w:szCs w:val="20"/>
              </w:rPr>
              <w:t>2022年12月31日，项目预算金额为619.73万元，资金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619.73万元，已支付374.61万元，资金执行率60.48%，用于叶城中等职业学校改善学生住宿环境经费支出。</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享受免住宿费学生人数（人）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=6148人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=3716人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ab/>
            </w:r>
            <w:r>
              <w:rPr>
                <w:rFonts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中等职业教育学生免住宿费覆盖率（%）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ab/>
            </w:r>
            <w:r>
              <w:rPr>
                <w:rFonts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中等职业学校学生住宿率（%）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部分达成年度指标并具有一定效果</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ab/>
            </w:r>
            <w:r>
              <w:rPr>
                <w:rFonts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ab/>
            </w:r>
            <w:r>
              <w:rPr>
                <w:rFonts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享受免住宿费人均成本（元）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&lt;=1008.02元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=1008.02元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ab/>
            </w:r>
            <w:r>
              <w:rPr>
                <w:rFonts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减轻家庭经济困难学生的生活负担</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部分达成年度指标并具有一定效果</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ab/>
            </w:r>
            <w:r>
              <w:rPr>
                <w:rFonts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资金可持续使用年限（年）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ab/>
            </w:r>
            <w:r>
              <w:rPr>
                <w:rFonts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中等职业学校学生满意度（%）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中等职业学校家长满意度（%）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2022年新疆西藏等地区教育特殊补助(南疆四地州中职学生免教材费)资金项目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叶城中等职业学校</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184.44</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105.29</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57.09%</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184.44</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105.29</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57.09%</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为2022年中等职业教育学生免费提供教科书，保障课前到书，人手一册，确保新学期教育教学工作有序开展。</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lang w:eastAsia="zh-CN"/>
              </w:rPr>
              <w:t>截至</w:t>
            </w:r>
            <w:r>
              <w:rPr>
                <w:rFonts w:hint="eastAsia" w:ascii="宋体" w:hAnsi="宋体" w:cs="宋体"/>
                <w:color w:val="000000"/>
                <w:kern w:val="0"/>
                <w:sz w:val="20"/>
                <w:szCs w:val="20"/>
              </w:rPr>
              <w:t>2022年12月31日，项目预算金额为184.44万元，资金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184.44万元，已支付105.29万元，资金执行率57.09%，用于叶城中等职业学校学生购买课本教材经费支出。</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中职学校享受免住宿，免教材学生人数（人）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=6148人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=3509人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中职学校学生享受免教材补助足额率（%）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=57.09%</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中职学生免住宿免教材补助资金到位率（%)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中职学校享受免住宿免教材费人均成本（元/人）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&lt;=300元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=171.27元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减轻中职学生家庭经济负担</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未达预期指标且效果较差</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资金可持续使用年限（年）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中职学生家长满意度（%）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2021年学生资助补助中等职业学校奖学金项目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叶城县职业高中学校</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7.20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7.20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7.20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7.20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项目总资金7.2万元，优秀学生12人，每生每年6000元，中等教育各项国家资助按规定得到落实，提高中职教育在国民教育体系中的地位。促进教育水平显著提升，进一步培养人才。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总资金7.2万元，到位资金7.2万元，执行7.2万元，执行率100%。优秀学生12人，每生每年6000元，中等教育各项国家资助按规定得到落实，提高中职教育在国民教育体系中的地位。促进教育水平显著提升，进一步培养人才。</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补助学生人数（人）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受助学生比例（500：1）</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受助学生补助标准（元）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=6000元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=6000元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减轻学校学生家庭经济困难学生的生活负担</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资金保障年限（年）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0"/>
      <w:bookmarkEnd w:id="31"/>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bookmarkStart w:id="32" w:name="_Toc22784"/>
      <w:bookmarkStart w:id="33" w:name="_Toc28903"/>
      <w:r>
        <w:rPr>
          <w:rFonts w:hint="eastAsia" w:ascii="黑体" w:hAnsi="黑体" w:eastAsia="黑体"/>
          <w:sz w:val="32"/>
          <w:szCs w:val="32"/>
        </w:rPr>
        <w:br w:type="page"/>
      </w:r>
      <w:r>
        <w:rPr>
          <w:rFonts w:hint="eastAsia" w:ascii="黑体" w:hAnsi="黑体" w:eastAsia="黑体"/>
          <w:sz w:val="32"/>
          <w:szCs w:val="32"/>
        </w:rPr>
        <w:t>第四部分 部门决算报表（见附表）</w:t>
      </w:r>
      <w:bookmarkEnd w:id="32"/>
      <w:bookmarkEnd w:id="33"/>
    </w:p>
    <w:p>
      <w:pPr>
        <w:ind w:firstLine="640" w:firstLineChars="200"/>
        <w:outlineLvl w:val="1"/>
        <w:rPr>
          <w:rFonts w:ascii="黑体" w:hAnsi="黑体" w:eastAsia="黑体" w:cs="宋体"/>
          <w:bCs/>
          <w:kern w:val="0"/>
          <w:sz w:val="32"/>
          <w:szCs w:val="32"/>
        </w:rPr>
      </w:pPr>
      <w:bookmarkStart w:id="34" w:name="_Toc6062"/>
      <w:bookmarkStart w:id="35" w:name="_Toc2183"/>
      <w:r>
        <w:rPr>
          <w:rFonts w:hint="eastAsia" w:ascii="黑体" w:hAnsi="黑体" w:eastAsia="黑体" w:cs="宋体"/>
          <w:bCs/>
          <w:kern w:val="0"/>
          <w:sz w:val="32"/>
          <w:szCs w:val="32"/>
        </w:rPr>
        <w:t>一、《收入支出决算总表》</w:t>
      </w:r>
      <w:bookmarkEnd w:id="34"/>
      <w:bookmarkEnd w:id="35"/>
    </w:p>
    <w:p>
      <w:pPr>
        <w:ind w:firstLine="640" w:firstLineChars="200"/>
        <w:outlineLvl w:val="1"/>
        <w:rPr>
          <w:rFonts w:ascii="黑体" w:hAnsi="黑体" w:eastAsia="黑体" w:cs="宋体"/>
          <w:bCs/>
          <w:kern w:val="0"/>
          <w:sz w:val="32"/>
          <w:szCs w:val="32"/>
        </w:rPr>
      </w:pPr>
      <w:bookmarkStart w:id="36" w:name="_Toc24532"/>
      <w:bookmarkStart w:id="37" w:name="_Toc30364"/>
      <w:r>
        <w:rPr>
          <w:rFonts w:hint="eastAsia" w:ascii="黑体" w:hAnsi="黑体" w:eastAsia="黑体" w:cs="宋体"/>
          <w:bCs/>
          <w:kern w:val="0"/>
          <w:sz w:val="32"/>
          <w:szCs w:val="32"/>
        </w:rPr>
        <w:t>二、《收入决算表》</w:t>
      </w:r>
      <w:bookmarkEnd w:id="36"/>
      <w:bookmarkEnd w:id="37"/>
    </w:p>
    <w:p>
      <w:pPr>
        <w:ind w:firstLine="640" w:firstLineChars="200"/>
        <w:outlineLvl w:val="1"/>
        <w:rPr>
          <w:rFonts w:ascii="黑体" w:hAnsi="黑体" w:eastAsia="黑体" w:cs="宋体"/>
          <w:bCs/>
          <w:kern w:val="0"/>
          <w:sz w:val="32"/>
          <w:szCs w:val="32"/>
        </w:rPr>
      </w:pPr>
      <w:bookmarkStart w:id="38" w:name="_Toc32434"/>
      <w:bookmarkStart w:id="39" w:name="_Toc21304"/>
      <w:r>
        <w:rPr>
          <w:rFonts w:hint="eastAsia" w:ascii="黑体" w:hAnsi="黑体" w:eastAsia="黑体" w:cs="宋体"/>
          <w:bCs/>
          <w:kern w:val="0"/>
          <w:sz w:val="32"/>
          <w:szCs w:val="32"/>
        </w:rPr>
        <w:t>三、《支出决算表》</w:t>
      </w:r>
      <w:bookmarkEnd w:id="38"/>
      <w:bookmarkEnd w:id="39"/>
    </w:p>
    <w:p>
      <w:pPr>
        <w:ind w:firstLine="640" w:firstLineChars="200"/>
        <w:outlineLvl w:val="1"/>
        <w:rPr>
          <w:rFonts w:ascii="黑体" w:hAnsi="黑体" w:eastAsia="黑体" w:cs="宋体"/>
          <w:bCs/>
          <w:kern w:val="0"/>
          <w:sz w:val="32"/>
          <w:szCs w:val="32"/>
        </w:rPr>
      </w:pPr>
      <w:bookmarkStart w:id="40" w:name="_Toc28786"/>
      <w:bookmarkStart w:id="41" w:name="_Toc14238"/>
      <w:r>
        <w:rPr>
          <w:rFonts w:hint="eastAsia" w:ascii="黑体" w:hAnsi="黑体" w:eastAsia="黑体" w:cs="宋体"/>
          <w:bCs/>
          <w:kern w:val="0"/>
          <w:sz w:val="32"/>
          <w:szCs w:val="32"/>
        </w:rPr>
        <w:t>四、《财政拨款收入支出决算总表》</w:t>
      </w:r>
      <w:bookmarkEnd w:id="40"/>
      <w:bookmarkEnd w:id="41"/>
    </w:p>
    <w:p>
      <w:pPr>
        <w:ind w:firstLine="640" w:firstLineChars="200"/>
        <w:outlineLvl w:val="1"/>
        <w:rPr>
          <w:rFonts w:ascii="黑体" w:hAnsi="黑体" w:eastAsia="黑体" w:cs="宋体"/>
          <w:bCs/>
          <w:kern w:val="0"/>
          <w:sz w:val="32"/>
          <w:szCs w:val="32"/>
        </w:rPr>
      </w:pPr>
      <w:bookmarkStart w:id="42" w:name="_Toc10347"/>
      <w:bookmarkStart w:id="43" w:name="_Toc14869"/>
      <w:r>
        <w:rPr>
          <w:rFonts w:hint="eastAsia" w:ascii="黑体" w:hAnsi="黑体" w:eastAsia="黑体" w:cs="宋体"/>
          <w:bCs/>
          <w:kern w:val="0"/>
          <w:sz w:val="32"/>
          <w:szCs w:val="32"/>
        </w:rPr>
        <w:t>五、《一般公共预算财政拨款支出决算表》</w:t>
      </w:r>
      <w:bookmarkEnd w:id="42"/>
      <w:bookmarkEnd w:id="43"/>
    </w:p>
    <w:p>
      <w:pPr>
        <w:ind w:firstLine="640" w:firstLineChars="200"/>
        <w:outlineLvl w:val="1"/>
        <w:rPr>
          <w:rFonts w:ascii="黑体" w:hAnsi="黑体" w:eastAsia="黑体" w:cs="宋体"/>
          <w:bCs/>
          <w:kern w:val="0"/>
          <w:sz w:val="32"/>
          <w:szCs w:val="32"/>
        </w:rPr>
      </w:pPr>
      <w:bookmarkStart w:id="44" w:name="_Toc8884"/>
      <w:bookmarkStart w:id="45" w:name="_Toc5626"/>
      <w:r>
        <w:rPr>
          <w:rFonts w:hint="eastAsia" w:ascii="黑体" w:hAnsi="黑体" w:eastAsia="黑体" w:cs="宋体"/>
          <w:bCs/>
          <w:kern w:val="0"/>
          <w:sz w:val="32"/>
          <w:szCs w:val="32"/>
        </w:rPr>
        <w:t>六、《一般公共预算财政拨款基本支出决算表》</w:t>
      </w:r>
      <w:bookmarkEnd w:id="44"/>
      <w:bookmarkEnd w:id="45"/>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6" w:name="_Toc32663"/>
      <w:bookmarkStart w:id="47" w:name="_Toc29106"/>
      <w:r>
        <w:rPr>
          <w:rFonts w:hint="eastAsia" w:ascii="黑体" w:hAnsi="黑体" w:eastAsia="黑体" w:cs="宋体"/>
          <w:bCs/>
          <w:kern w:val="0"/>
          <w:sz w:val="32"/>
          <w:szCs w:val="32"/>
        </w:rPr>
        <w:t>《财政拨款“三公”经费支出决算表》</w:t>
      </w:r>
      <w:bookmarkEnd w:id="46"/>
      <w:bookmarkEnd w:id="47"/>
    </w:p>
    <w:p>
      <w:pPr>
        <w:ind w:firstLine="640" w:firstLineChars="200"/>
        <w:outlineLvl w:val="1"/>
        <w:rPr>
          <w:rFonts w:ascii="黑体" w:hAnsi="黑体" w:eastAsia="黑体" w:cs="宋体"/>
          <w:bCs/>
          <w:kern w:val="0"/>
          <w:sz w:val="32"/>
          <w:szCs w:val="32"/>
        </w:rPr>
      </w:pPr>
      <w:bookmarkStart w:id="48" w:name="_Toc5453"/>
      <w:bookmarkStart w:id="49" w:name="_Toc7643"/>
      <w:r>
        <w:rPr>
          <w:rFonts w:hint="eastAsia" w:ascii="黑体" w:hAnsi="黑体" w:eastAsia="黑体" w:cs="宋体"/>
          <w:bCs/>
          <w:kern w:val="0"/>
          <w:sz w:val="32"/>
          <w:szCs w:val="32"/>
        </w:rPr>
        <w:t>八、《政府性基金预算财政拨款收入支出决算表》</w:t>
      </w:r>
      <w:bookmarkEnd w:id="48"/>
      <w:bookmarkEnd w:id="49"/>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jYzlhYmJjNDA5NTg0NTUwZDY3MDEzMWUwZjg2OTEifQ=="/>
  </w:docVars>
  <w:rsids>
    <w:rsidRoot w:val="00312C27"/>
    <w:rsid w:val="00012F23"/>
    <w:rsid w:val="00021E76"/>
    <w:rsid w:val="000229DC"/>
    <w:rsid w:val="0002765D"/>
    <w:rsid w:val="0003297B"/>
    <w:rsid w:val="000379B3"/>
    <w:rsid w:val="0005626F"/>
    <w:rsid w:val="000724E7"/>
    <w:rsid w:val="00073996"/>
    <w:rsid w:val="0008509D"/>
    <w:rsid w:val="00090520"/>
    <w:rsid w:val="000A0B31"/>
    <w:rsid w:val="000D2344"/>
    <w:rsid w:val="000D267C"/>
    <w:rsid w:val="000E75B2"/>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B179F"/>
    <w:rsid w:val="002B6C9C"/>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1E0D"/>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86787"/>
    <w:rsid w:val="009C08BE"/>
    <w:rsid w:val="00A22AE4"/>
    <w:rsid w:val="00A347A6"/>
    <w:rsid w:val="00A3556A"/>
    <w:rsid w:val="00A636E4"/>
    <w:rsid w:val="00A87103"/>
    <w:rsid w:val="00AB776D"/>
    <w:rsid w:val="00AC1E96"/>
    <w:rsid w:val="00AE1570"/>
    <w:rsid w:val="00B03B50"/>
    <w:rsid w:val="00B33BF0"/>
    <w:rsid w:val="00B35A42"/>
    <w:rsid w:val="00B4517D"/>
    <w:rsid w:val="00B53821"/>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153E"/>
    <w:rsid w:val="00C72285"/>
    <w:rsid w:val="00C77B7E"/>
    <w:rsid w:val="00C90C12"/>
    <w:rsid w:val="00CA6634"/>
    <w:rsid w:val="00CB036E"/>
    <w:rsid w:val="00CD3225"/>
    <w:rsid w:val="00CF5B51"/>
    <w:rsid w:val="00CF7E34"/>
    <w:rsid w:val="00D020FB"/>
    <w:rsid w:val="00D25150"/>
    <w:rsid w:val="00D41FF8"/>
    <w:rsid w:val="00D45561"/>
    <w:rsid w:val="00D6005A"/>
    <w:rsid w:val="00D6267B"/>
    <w:rsid w:val="00D64C5E"/>
    <w:rsid w:val="00D66A40"/>
    <w:rsid w:val="00D76208"/>
    <w:rsid w:val="00D8609B"/>
    <w:rsid w:val="00DA3B1B"/>
    <w:rsid w:val="00DF2FD8"/>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876D7"/>
    <w:rsid w:val="00F91E81"/>
    <w:rsid w:val="00F95054"/>
    <w:rsid w:val="00FF6A37"/>
    <w:rsid w:val="0253412F"/>
    <w:rsid w:val="034D4FEF"/>
    <w:rsid w:val="043E5B56"/>
    <w:rsid w:val="06792773"/>
    <w:rsid w:val="0A7B4867"/>
    <w:rsid w:val="0AE83DE6"/>
    <w:rsid w:val="0B8C3ECC"/>
    <w:rsid w:val="0BBA0A81"/>
    <w:rsid w:val="0C7227A7"/>
    <w:rsid w:val="0DA014E7"/>
    <w:rsid w:val="0F3317C1"/>
    <w:rsid w:val="12386E6F"/>
    <w:rsid w:val="14155180"/>
    <w:rsid w:val="15D14DF9"/>
    <w:rsid w:val="15F06E99"/>
    <w:rsid w:val="1C7A04C1"/>
    <w:rsid w:val="1DAF458D"/>
    <w:rsid w:val="20424CAF"/>
    <w:rsid w:val="20DD6197"/>
    <w:rsid w:val="21A91B81"/>
    <w:rsid w:val="222A65E3"/>
    <w:rsid w:val="23BC04D2"/>
    <w:rsid w:val="23FB0802"/>
    <w:rsid w:val="277F0ACA"/>
    <w:rsid w:val="27CF2642"/>
    <w:rsid w:val="2A053397"/>
    <w:rsid w:val="2D1136DF"/>
    <w:rsid w:val="2DD47676"/>
    <w:rsid w:val="2E743C6A"/>
    <w:rsid w:val="2F916B46"/>
    <w:rsid w:val="2FD27414"/>
    <w:rsid w:val="2FD45ADE"/>
    <w:rsid w:val="31C63837"/>
    <w:rsid w:val="35FB19DD"/>
    <w:rsid w:val="3914510A"/>
    <w:rsid w:val="3B12207E"/>
    <w:rsid w:val="3B3C07D5"/>
    <w:rsid w:val="3D2A665C"/>
    <w:rsid w:val="3D5275AC"/>
    <w:rsid w:val="40834692"/>
    <w:rsid w:val="41A84A67"/>
    <w:rsid w:val="448437A4"/>
    <w:rsid w:val="44F4368F"/>
    <w:rsid w:val="454126C2"/>
    <w:rsid w:val="45E16709"/>
    <w:rsid w:val="46901EEE"/>
    <w:rsid w:val="469C74D2"/>
    <w:rsid w:val="47A53BB1"/>
    <w:rsid w:val="49B933AA"/>
    <w:rsid w:val="4A6B0F8B"/>
    <w:rsid w:val="4B4C0111"/>
    <w:rsid w:val="50DB5F45"/>
    <w:rsid w:val="52F92565"/>
    <w:rsid w:val="55CE6BE9"/>
    <w:rsid w:val="57E43B01"/>
    <w:rsid w:val="583059FA"/>
    <w:rsid w:val="5ABB586A"/>
    <w:rsid w:val="5FA17648"/>
    <w:rsid w:val="61A46A97"/>
    <w:rsid w:val="62DD7D21"/>
    <w:rsid w:val="65D97752"/>
    <w:rsid w:val="68DB0208"/>
    <w:rsid w:val="69AD798C"/>
    <w:rsid w:val="6B68175F"/>
    <w:rsid w:val="6CDC4C0F"/>
    <w:rsid w:val="6E0F7A08"/>
    <w:rsid w:val="71473612"/>
    <w:rsid w:val="718F7F65"/>
    <w:rsid w:val="73F7554E"/>
    <w:rsid w:val="73FB6630"/>
    <w:rsid w:val="74E76DCD"/>
    <w:rsid w:val="77ED6F44"/>
    <w:rsid w:val="7A0F387A"/>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character" w:styleId="11">
    <w:name w:val="annotation reference"/>
    <w:basedOn w:val="10"/>
    <w:qFormat/>
    <w:uiPriority w:val="0"/>
    <w:rPr>
      <w:sz w:val="21"/>
      <w:szCs w:val="21"/>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character" w:customStyle="1" w:styleId="15">
    <w:name w:val="批注框文本 字符"/>
    <w:basedOn w:val="10"/>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386D7B-2C19-4270-9E89-7B35BDE3D0FD}">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19</Pages>
  <Words>1677</Words>
  <Characters>9560</Characters>
  <Lines>79</Lines>
  <Paragraphs>22</Paragraphs>
  <TotalTime>2</TotalTime>
  <ScaleCrop>false</ScaleCrop>
  <LinksUpToDate>false</LinksUpToDate>
  <CharactersWithSpaces>11215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2024-03-01T03:56:48Z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728F5D506DE04C6FBD24D794C3115BEE_13</vt:lpwstr>
  </property>
</Properties>
</file>