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年度新疆喀什地区中共叶城县委老干部工作局部门决算公开说明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我局属行政单位，主要工作是贯彻落实党和国家关于老干部工作方针政策的有关规定，加强检查督促，并协同有关部门做好安排照顾离退下来的老干部和组织他们发挥作用等工作。一是，贯彻执行党和国家规定的各项老干部方针、政策，了解掌握全县老干部基本情况，及时向县委反映老干部工作重大问题，提出意见和建议。二是，组织老干部根据“因人制宜、量力而行、发挥专长”的原则，发挥其作用。三是，建立健全老干部党组织，加强对老干部的管理，组织老干部参加党组织生活。四是，加强老干部思想建设和科学文化建设，积极引导和鼓励老干部参与各项文体、文化活动，组织他们外出旅游、下乡观摩，以及在科教兴叶等方面发挥余热。五是，做好老干部信访工作，接待和处理信访工作中老干部集中反映的重点、热点、难点问题。六是，落实离休干部“两个待遇”做好老干部离休费、医疗费、特需费的预算管理与运行，使老干部安享晚年。</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从决算单位构成看，新疆喀什地区中共叶城县委老干部工作局部门决算包括：新疆喀什地区中共叶城县委老干部工作局部门本级决算、所属单位决算等。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纳入新疆喀什地区中共叶城县委老干部工作局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新疆喀什地区中共叶城县委老干部工作局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395.6</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33.34</w:t>
      </w:r>
      <w:r>
        <w:rPr>
          <w:rFonts w:hint="eastAsia" w:ascii="仿宋_GB2312" w:eastAsia="仿宋_GB2312" w:cs="仿宋_GB2312"/>
          <w:sz w:val="32"/>
          <w:szCs w:val="32"/>
        </w:rPr>
        <w:t>万元，下降</w:t>
      </w:r>
      <w:r>
        <w:rPr>
          <w:rFonts w:ascii="仿宋_GB2312" w:eastAsia="仿宋_GB2312" w:cs="仿宋_GB2312"/>
          <w:sz w:val="32"/>
          <w:szCs w:val="32"/>
        </w:rPr>
        <w:t>7.77%</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395.6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33.34</w:t>
      </w:r>
      <w:r>
        <w:rPr>
          <w:rFonts w:hint="eastAsia" w:ascii="仿宋_GB2312" w:eastAsia="仿宋_GB2312" w:cs="仿宋_GB2312"/>
          <w:sz w:val="32"/>
          <w:szCs w:val="32"/>
        </w:rPr>
        <w:t>万元，下降</w:t>
      </w:r>
      <w:r>
        <w:rPr>
          <w:rFonts w:ascii="仿宋_GB2312" w:eastAsia="仿宋_GB2312" w:cs="仿宋_GB2312"/>
          <w:sz w:val="32"/>
          <w:szCs w:val="32"/>
        </w:rPr>
        <w:t>7.77%</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395.6</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385.6</w:t>
      </w:r>
      <w:r>
        <w:rPr>
          <w:rFonts w:hint="eastAsia" w:ascii="仿宋_GB2312" w:eastAsia="仿宋_GB2312" w:cs="仿宋_GB2312"/>
          <w:color w:val="000000"/>
          <w:sz w:val="32"/>
          <w:szCs w:val="32"/>
        </w:rPr>
        <w:t>万元，占</w:t>
      </w:r>
      <w:r>
        <w:rPr>
          <w:rFonts w:ascii="仿宋_GB2312" w:eastAsia="仿宋_GB2312" w:cs="仿宋_GB2312"/>
          <w:sz w:val="32"/>
          <w:szCs w:val="32"/>
        </w:rPr>
        <w:t>97.47%</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10</w:t>
      </w:r>
      <w:r>
        <w:rPr>
          <w:rFonts w:hint="eastAsia" w:ascii="仿宋_GB2312" w:eastAsia="仿宋_GB2312" w:cs="仿宋_GB2312"/>
          <w:color w:val="000000"/>
          <w:sz w:val="32"/>
          <w:szCs w:val="32"/>
        </w:rPr>
        <w:t>万元，占</w:t>
      </w:r>
      <w:r>
        <w:rPr>
          <w:rFonts w:ascii="仿宋_GB2312" w:eastAsia="仿宋_GB2312" w:cs="仿宋_GB2312"/>
          <w:sz w:val="32"/>
          <w:szCs w:val="32"/>
        </w:rPr>
        <w:t>2.53%</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395.6</w:t>
      </w:r>
      <w:r>
        <w:rPr>
          <w:rFonts w:hint="eastAsia" w:ascii="仿宋_GB2312" w:eastAsia="仿宋_GB2312" w:cs="仿宋_GB2312"/>
          <w:sz w:val="32"/>
          <w:szCs w:val="32"/>
        </w:rPr>
        <w:t>万元，预决算差异率</w:t>
      </w:r>
      <w:r>
        <w:rPr>
          <w:rFonts w:ascii="仿宋_GB2312" w:eastAsia="仿宋_GB2312" w:cs="仿宋_GB2312"/>
          <w:sz w:val="32"/>
          <w:szCs w:val="32"/>
        </w:rPr>
        <w:t>123.6%</w:t>
      </w:r>
      <w:r>
        <w:rPr>
          <w:rFonts w:hint="eastAsia" w:ascii="仿宋_GB2312" w:eastAsia="仿宋_GB2312" w:cs="仿宋_GB2312"/>
          <w:sz w:val="32"/>
          <w:szCs w:val="32"/>
        </w:rPr>
        <w:t>，差异主要原因是年初项目预算数为</w:t>
      </w:r>
      <w:r>
        <w:rPr>
          <w:rFonts w:ascii="仿宋_GB2312" w:eastAsia="仿宋_GB2312" w:cs="仿宋_GB2312"/>
          <w:sz w:val="32"/>
          <w:szCs w:val="32"/>
        </w:rPr>
        <w:t>15</w:t>
      </w:r>
      <w:r>
        <w:rPr>
          <w:rFonts w:hint="eastAsia" w:ascii="仿宋_GB2312" w:eastAsia="仿宋_GB2312" w:cs="仿宋_GB2312"/>
          <w:sz w:val="32"/>
          <w:szCs w:val="32"/>
        </w:rPr>
        <w:t>万元，实际执行数</w:t>
      </w:r>
      <w:r>
        <w:rPr>
          <w:rFonts w:ascii="仿宋_GB2312" w:eastAsia="仿宋_GB2312" w:cs="仿宋_GB2312"/>
          <w:sz w:val="32"/>
          <w:szCs w:val="32"/>
        </w:rPr>
        <w:t>217.47</w:t>
      </w:r>
      <w:r>
        <w:rPr>
          <w:rFonts w:hint="eastAsia" w:ascii="仿宋_GB2312" w:eastAsia="仿宋_GB2312" w:cs="仿宋_GB2312"/>
          <w:sz w:val="32"/>
          <w:szCs w:val="32"/>
        </w:rPr>
        <w:t>万元，预算数与决算数差异主要原因是因离休干部年龄逐年增高、老年病高发所致离休干部医疗周转金及医疗费逐年增加及抚恤金的支出项目增大。</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395.6</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178.13</w:t>
      </w:r>
      <w:r>
        <w:rPr>
          <w:rFonts w:hint="eastAsia" w:ascii="仿宋_GB2312" w:eastAsia="仿宋_GB2312" w:cs="仿宋_GB2312"/>
          <w:color w:val="000000"/>
          <w:sz w:val="32"/>
          <w:szCs w:val="32"/>
        </w:rPr>
        <w:t>万元，占</w:t>
      </w:r>
      <w:r>
        <w:rPr>
          <w:rFonts w:ascii="仿宋_GB2312" w:eastAsia="仿宋_GB2312" w:cs="仿宋_GB2312"/>
          <w:sz w:val="32"/>
          <w:szCs w:val="32"/>
        </w:rPr>
        <w:t>45.03%</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217.47</w:t>
      </w:r>
      <w:r>
        <w:rPr>
          <w:rFonts w:hint="eastAsia" w:ascii="仿宋_GB2312" w:eastAsia="仿宋_GB2312" w:cs="仿宋_GB2312"/>
          <w:color w:val="000000"/>
          <w:sz w:val="32"/>
          <w:szCs w:val="32"/>
        </w:rPr>
        <w:t>万元，占</w:t>
      </w:r>
      <w:r>
        <w:rPr>
          <w:rFonts w:ascii="仿宋_GB2312" w:eastAsia="仿宋_GB2312" w:cs="仿宋_GB2312"/>
          <w:sz w:val="32"/>
          <w:szCs w:val="32"/>
        </w:rPr>
        <w:t>54.97%</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395.6</w:t>
      </w:r>
      <w:r>
        <w:rPr>
          <w:rFonts w:hint="eastAsia" w:ascii="仿宋_GB2312" w:eastAsia="仿宋_GB2312" w:cs="仿宋_GB2312"/>
          <w:sz w:val="32"/>
          <w:szCs w:val="32"/>
        </w:rPr>
        <w:t>万元，预决算差异率</w:t>
      </w:r>
      <w:r>
        <w:rPr>
          <w:rFonts w:ascii="仿宋_GB2312" w:eastAsia="仿宋_GB2312" w:cs="仿宋_GB2312"/>
          <w:sz w:val="32"/>
          <w:szCs w:val="32"/>
        </w:rPr>
        <w:t>123.6%</w:t>
      </w:r>
      <w:r>
        <w:rPr>
          <w:rFonts w:hint="eastAsia" w:ascii="仿宋_GB2312" w:eastAsia="仿宋_GB2312" w:cs="仿宋_GB2312"/>
          <w:sz w:val="32"/>
          <w:szCs w:val="32"/>
        </w:rPr>
        <w:t>，差异主要原因是预算数与决算数差异主要原因是因离休干部年龄逐年增高、老年病高发所致离休干部医疗周转金及医疗费逐年增加及抚恤金的支出项目增大。</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385.6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43.34</w:t>
      </w:r>
      <w:r>
        <w:rPr>
          <w:rFonts w:hint="eastAsia" w:ascii="仿宋_GB2312" w:eastAsia="仿宋_GB2312" w:cs="仿宋_GB2312"/>
          <w:sz w:val="32"/>
          <w:szCs w:val="32"/>
        </w:rPr>
        <w:t>万元，下降</w:t>
      </w:r>
      <w:r>
        <w:rPr>
          <w:rFonts w:ascii="仿宋_GB2312" w:eastAsia="仿宋_GB2312" w:cs="仿宋_GB2312"/>
          <w:sz w:val="32"/>
          <w:szCs w:val="32"/>
        </w:rPr>
        <w:t>10.1%</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r>
        <w:rPr>
          <w:rFonts w:hint="eastAsia" w:ascii="仿宋_GB2312" w:eastAsia="仿宋_GB2312" w:cs="仿宋_GB2312"/>
          <w:sz w:val="32"/>
          <w:szCs w:val="32"/>
        </w:rPr>
        <w:t>。</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385.6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43.34</w:t>
      </w:r>
      <w:r>
        <w:rPr>
          <w:rFonts w:hint="eastAsia" w:ascii="仿宋_GB2312" w:eastAsia="仿宋_GB2312" w:cs="仿宋_GB2312"/>
          <w:sz w:val="32"/>
          <w:szCs w:val="32"/>
        </w:rPr>
        <w:t>万元，下降</w:t>
      </w:r>
      <w:r>
        <w:rPr>
          <w:rFonts w:ascii="仿宋_GB2312" w:eastAsia="仿宋_GB2312" w:cs="仿宋_GB2312"/>
          <w:sz w:val="32"/>
          <w:szCs w:val="32"/>
        </w:rPr>
        <w:t>10.1%</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r>
        <w:rPr>
          <w:rFonts w:hint="eastAsia" w:ascii="仿宋_GB2312" w:eastAsia="仿宋_GB2312" w:cs="仿宋_GB2312"/>
          <w:sz w:val="32"/>
          <w:szCs w:val="32"/>
        </w:rPr>
        <w:t>。</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178.13</w:t>
      </w:r>
      <w:r>
        <w:rPr>
          <w:rFonts w:hint="eastAsia" w:ascii="仿宋_GB2312" w:eastAsia="仿宋_GB2312" w:cs="仿宋_GB2312"/>
          <w:color w:val="000000"/>
          <w:sz w:val="32"/>
          <w:szCs w:val="32"/>
        </w:rPr>
        <w:t>万元，项目支出</w:t>
      </w:r>
      <w:r>
        <w:rPr>
          <w:rFonts w:ascii="仿宋_GB2312" w:eastAsia="仿宋_GB2312" w:cs="仿宋_GB2312"/>
          <w:sz w:val="32"/>
          <w:szCs w:val="32"/>
        </w:rPr>
        <w:t>207.47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，与上年相比，增加0万元，增长0%。增加的的主要原因是：本单位无财政拨款结转结余资金。</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万元，决算数</w:t>
      </w:r>
      <w:r>
        <w:rPr>
          <w:rFonts w:ascii="仿宋_GB2312" w:eastAsia="仿宋_GB2312" w:cs="仿宋_GB2312"/>
          <w:sz w:val="32"/>
          <w:szCs w:val="32"/>
        </w:rPr>
        <w:t>385.6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117.95%</w:t>
      </w:r>
      <w:r>
        <w:rPr>
          <w:rFonts w:hint="eastAsia" w:ascii="仿宋_GB2312" w:eastAsia="仿宋_GB2312" w:cs="仿宋_GB2312"/>
          <w:color w:val="000000"/>
          <w:sz w:val="32"/>
          <w:szCs w:val="32"/>
        </w:rPr>
        <w:t>，差异主要原因是因离休干部年龄逐年增高、老年病高发所致离休干部医疗周转金及医疗费逐年增加及抚恤金的支出项目增大。</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万元，决算数</w:t>
      </w:r>
      <w:r>
        <w:rPr>
          <w:rFonts w:ascii="仿宋_GB2312" w:eastAsia="仿宋_GB2312" w:cs="仿宋_GB2312"/>
          <w:sz w:val="32"/>
          <w:szCs w:val="32"/>
        </w:rPr>
        <w:t>385.6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117.95%</w:t>
      </w:r>
      <w:r>
        <w:rPr>
          <w:rFonts w:hint="eastAsia" w:ascii="仿宋_GB2312" w:eastAsia="仿宋_GB2312" w:cs="仿宋_GB2312"/>
          <w:color w:val="000000"/>
          <w:sz w:val="32"/>
          <w:szCs w:val="32"/>
        </w:rPr>
        <w:t>，差异主要原因是因离休干部年龄逐年增高、老年病高发所致离休干部医疗周转金及医疗费逐年增加及抚恤金的支出项目增大。</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385.6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43.34</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10.1%</w:t>
      </w:r>
      <w:r>
        <w:rPr>
          <w:rFonts w:hint="eastAsia" w:ascii="仿宋_GB2312" w:eastAsia="仿宋_GB2312" w:cs="仿宋_GB2312"/>
          <w:color w:val="000000"/>
          <w:sz w:val="32"/>
          <w:szCs w:val="32"/>
        </w:rPr>
        <w:t>，减少的主要原因是：同比上年本年1人调出及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385.6</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43.34</w:t>
      </w:r>
      <w:r>
        <w:rPr>
          <w:rFonts w:hint="eastAsia" w:ascii="仿宋_GB2312" w:eastAsia="仿宋_GB2312" w:cs="仿宋_GB2312"/>
          <w:sz w:val="32"/>
          <w:szCs w:val="32"/>
        </w:rPr>
        <w:t>万元，下降</w:t>
      </w:r>
      <w:r>
        <w:rPr>
          <w:rFonts w:ascii="仿宋_GB2312" w:eastAsia="仿宋_GB2312" w:cs="仿宋_GB2312"/>
          <w:sz w:val="32"/>
          <w:szCs w:val="32"/>
        </w:rPr>
        <w:t>10.1%</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同比上年本年1人调出及</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年严格执行中央八项规定压减一般性支出</w:t>
      </w:r>
      <w:r>
        <w:rPr>
          <w:rFonts w:hint="eastAsia" w:ascii="仿宋_GB2312" w:eastAsia="仿宋_GB2312" w:cs="仿宋_GB2312"/>
          <w:sz w:val="32"/>
          <w:szCs w:val="32"/>
        </w:rPr>
        <w:t>。</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10.82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374.77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165.42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93.2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126.98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385.6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117.95%</w:t>
      </w:r>
      <w:r>
        <w:rPr>
          <w:rFonts w:hint="eastAsia" w:ascii="仿宋_GB2312" w:eastAsia="仿宋_GB2312" w:cs="仿宋_GB2312"/>
          <w:color w:val="000000"/>
          <w:sz w:val="32"/>
          <w:szCs w:val="32"/>
        </w:rPr>
        <w:t>，差异主要原因是预算数与决算数差异主要原因是因离休干部年龄逐年增高、老年病高发所致离休干部医疗周转金及医疗费逐年增加及抚恤金的支出项目增大。</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176.92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385.6</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117.95%</w:t>
      </w:r>
      <w:r>
        <w:rPr>
          <w:rFonts w:hint="eastAsia" w:ascii="仿宋_GB2312" w:eastAsia="仿宋_GB2312" w:cs="仿宋_GB2312"/>
          <w:color w:val="000000"/>
          <w:sz w:val="32"/>
          <w:szCs w:val="32"/>
        </w:rPr>
        <w:t>，差异主要原因是预算数与决算数差异主要原因是因离休干部年龄逐年增高、老年病高发所致离休干部医疗周转金及医疗费逐年增加及抚恤金的支出项目增大。</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年本单位无政府性基金拨款收入。</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，与上年相比，增加0万元，增长0%。增加的的主要原因是：</w:t>
      </w:r>
      <w:r>
        <w:rPr>
          <w:rFonts w:ascii="仿宋_GB2312" w:eastAsia="仿宋_GB2312" w:cs="仿宋_GB2312"/>
          <w:sz w:val="32"/>
          <w:szCs w:val="32"/>
        </w:rPr>
        <w:t>2018</w:t>
      </w:r>
      <w:r>
        <w:rPr>
          <w:rFonts w:hint="eastAsia" w:ascii="仿宋_GB2312" w:eastAsia="仿宋_GB2312" w:cs="仿宋_GB2312"/>
          <w:sz w:val="32"/>
          <w:szCs w:val="32"/>
        </w:rPr>
        <w:t>年本单位无政府性基金拨款支出。</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，支出0万元。按经济分类科目（按类级科目公开），支出0万元。</w:t>
      </w:r>
    </w:p>
    <w:p>
      <w:pPr>
        <w:spacing w:line="540" w:lineRule="exact"/>
        <w:ind w:firstLine="640" w:firstLineChars="200"/>
        <w:rPr>
          <w:rFonts w:ascii="仿宋_GB2312" w:eastAsia="仿宋_GB2312" w:cs="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51"/>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s="仿宋_GB2312"/>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color w:val="000000"/>
          <w:sz w:val="32"/>
          <w:szCs w:val="32"/>
        </w:rPr>
        <w:t>1.3</w:t>
      </w:r>
      <w:r>
        <w:rPr>
          <w:rFonts w:hint="eastAsia" w:ascii="仿宋_GB2312" w:eastAsia="仿宋_GB2312" w:cs="仿宋_GB2312"/>
          <w:color w:val="000000"/>
          <w:sz w:val="32"/>
          <w:szCs w:val="32"/>
        </w:rPr>
        <w:t>万元，比上年减少</w:t>
      </w:r>
      <w:r>
        <w:rPr>
          <w:rFonts w:ascii="仿宋_GB2312" w:eastAsia="仿宋_GB2312" w:cs="仿宋_GB2312"/>
          <w:color w:val="000000"/>
          <w:sz w:val="32"/>
          <w:szCs w:val="32"/>
        </w:rPr>
        <w:t>2.2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62.86%</w:t>
      </w:r>
      <w:r>
        <w:rPr>
          <w:rFonts w:hint="eastAsia" w:ascii="仿宋_GB2312" w:eastAsia="仿宋_GB2312" w:cs="仿宋_GB2312"/>
          <w:color w:val="000000"/>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年严格执行中央八项规定压减“三公”经费支出。</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，比上年增加0万元，增长0%，增加的主要原因是：我单位无因公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安排</w:t>
      </w:r>
      <w:bookmarkEnd w:id="58"/>
      <w:bookmarkStart w:id="60" w:name="OLE_LINK31"/>
      <w:bookmarkStart w:id="61" w:name="OLE_LINK76"/>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1.3</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，与上年相比，减少</w:t>
      </w:r>
      <w:r>
        <w:rPr>
          <w:rFonts w:ascii="仿宋_GB2312" w:eastAsia="仿宋_GB2312" w:cs="仿宋_GB2312"/>
          <w:color w:val="000000"/>
          <w:sz w:val="32"/>
          <w:szCs w:val="32"/>
        </w:rPr>
        <w:t>2.2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62.86%</w:t>
      </w:r>
      <w:r>
        <w:rPr>
          <w:rFonts w:hint="eastAsia" w:ascii="仿宋_GB2312" w:eastAsia="仿宋_GB2312" w:cs="仿宋_GB2312"/>
          <w:color w:val="000000"/>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年严格执行中央八项规定压减公务用车购置及运行维护费支出，减少使用高耗油车辆；</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，比上年增加0万元，增长0%变化，增加的主要原因是：严格执行中央八项规定无公务接待费支出。</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新疆喀什地区中共叶城县委老干部工作局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开支内容包括：本单位无因公</w:t>
      </w:r>
      <w:r>
        <w:rPr>
          <w:rFonts w:hint="eastAsia" w:ascii="仿宋_GB2312" w:eastAsia="仿宋_GB2312" w:cs="仿宋_GB2312"/>
          <w:color w:val="000000"/>
          <w:sz w:val="32"/>
          <w:szCs w:val="32"/>
          <w:lang w:eastAsia="zh-CN"/>
        </w:rPr>
        <w:t>出国（境）费支出</w:t>
      </w:r>
      <w:r>
        <w:rPr>
          <w:rFonts w:hint="eastAsia" w:ascii="仿宋_GB2312" w:eastAsia="仿宋_GB2312" w:cs="仿宋_GB2312"/>
          <w:color w:val="000000"/>
          <w:sz w:val="32"/>
          <w:szCs w:val="32"/>
        </w:rPr>
        <w:t>。</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1.3</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1.3</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公务用车购置及运行维护费主要用于公务车的维护及加油过路费</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严格执行中央八项规定</w:t>
      </w:r>
      <w:r>
        <w:rPr>
          <w:rFonts w:hint="eastAsia" w:ascii="仿宋_GB2312" w:eastAsia="仿宋_GB2312" w:cs="仿宋_GB2312"/>
          <w:color w:val="000000"/>
          <w:sz w:val="32"/>
          <w:szCs w:val="32"/>
        </w:rPr>
        <w:t>对接待费严格控制，减少一切不必要的公务接待开支等。</w:t>
      </w:r>
      <w:bookmarkEnd w:id="78"/>
      <w:bookmarkStart w:id="79" w:name="OLE_LINK84"/>
      <w:r>
        <w:rPr>
          <w:rFonts w:hint="eastAsia" w:ascii="仿宋_GB2312" w:eastAsia="仿宋_GB2312" w:cs="仿宋_GB2312"/>
          <w:color w:val="000000"/>
          <w:sz w:val="32"/>
          <w:szCs w:val="32"/>
        </w:rPr>
        <w:t>新疆喀什地区中共叶城县委老干部工作局单位国内公务接待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-3.7%</w:t>
      </w:r>
      <w:r>
        <w:rPr>
          <w:rFonts w:hint="eastAsia" w:ascii="仿宋_GB2312" w:eastAsia="仿宋_GB2312" w:cs="仿宋_GB2312"/>
          <w:color w:val="000000"/>
          <w:sz w:val="32"/>
          <w:szCs w:val="32"/>
        </w:rPr>
        <w:t>，差异主要原因是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w:t>
      </w:r>
      <w:r>
        <w:rPr>
          <w:rFonts w:ascii="仿宋_GB2312" w:eastAsia="仿宋_GB2312"/>
          <w:color w:val="000000"/>
          <w:sz w:val="32"/>
          <w:szCs w:val="32"/>
        </w:rPr>
        <w:t>“</w:t>
      </w:r>
      <w:r>
        <w:rPr>
          <w:rFonts w:hint="eastAsia" w:ascii="仿宋_GB2312" w:eastAsia="仿宋_GB2312" w:cs="仿宋_GB2312"/>
          <w:color w:val="000000"/>
          <w:sz w:val="32"/>
          <w:szCs w:val="32"/>
        </w:rPr>
        <w:t>三公</w:t>
      </w:r>
      <w:r>
        <w:rPr>
          <w:rFonts w:ascii="仿宋_GB2312" w:eastAsia="仿宋_GB2312"/>
          <w:color w:val="000000"/>
          <w:sz w:val="32"/>
          <w:szCs w:val="32"/>
        </w:rPr>
        <w:t>”</w:t>
      </w:r>
      <w:r>
        <w:rPr>
          <w:rFonts w:hint="eastAsia" w:ascii="仿宋_GB2312" w:eastAsia="仿宋_GB2312" w:cs="仿宋_GB2312"/>
          <w:color w:val="000000"/>
          <w:sz w:val="32"/>
          <w:szCs w:val="32"/>
        </w:rPr>
        <w:t>经费支出。</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1"/>
      <w:bookmarkEnd w:id="82"/>
      <w:bookmarkStart w:id="83" w:name="OLE_LINK88"/>
      <w:bookmarkStart w:id="84" w:name="OLE_LINK89"/>
      <w:r>
        <w:rPr>
          <w:rFonts w:hint="eastAsia" w:ascii="仿宋_GB2312" w:eastAsia="仿宋_GB2312" w:cs="仿宋_GB2312"/>
          <w:color w:val="000000"/>
          <w:sz w:val="32"/>
          <w:szCs w:val="32"/>
        </w:rPr>
        <w:t>公务用车购置预算数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，差异主要原因是预决算数无差异；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-3.7%</w:t>
      </w:r>
      <w:r>
        <w:rPr>
          <w:rFonts w:hint="eastAsia" w:ascii="仿宋_GB2312" w:eastAsia="仿宋_GB2312" w:cs="仿宋_GB2312"/>
          <w:color w:val="000000"/>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年严格执行中央八项规定压减公务用车购置及运行维护费支出，减少使用高耗油车辆</w:t>
      </w:r>
      <w:r>
        <w:rPr>
          <w:rFonts w:hint="eastAsia" w:ascii="仿宋_GB2312" w:eastAsia="仿宋_GB2312" w:cs="仿宋_GB2312"/>
          <w:color w:val="000000"/>
          <w:sz w:val="32"/>
          <w:szCs w:val="32"/>
        </w:rPr>
        <w:t>；</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预决算数无差异。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年度新疆喀什地区中共叶城县委老干部工作局机关运行经费支出</w:t>
      </w:r>
      <w:r>
        <w:rPr>
          <w:rFonts w:ascii="仿宋_GB2312" w:eastAsia="仿宋_GB2312" w:cs="仿宋_GB2312"/>
          <w:color w:val="000000"/>
          <w:sz w:val="32"/>
          <w:szCs w:val="32"/>
        </w:rPr>
        <w:t>3.2</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1.86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36.76%</w:t>
      </w:r>
      <w:r>
        <w:rPr>
          <w:rFonts w:hint="eastAsia" w:ascii="仿宋_GB2312" w:eastAsia="仿宋_GB2312" w:cs="仿宋_GB2312"/>
          <w:color w:val="000000"/>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年严格执行中央八项规定压减“三公”经费支出。</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1.65</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1.4</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0.25</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16.16</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辆，其他用车主要是：1辆小型载客汽车；单位价值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新疆喀什地区叶城县中共叶城县委老干部工作局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217.47</w:t>
      </w:r>
      <w:r>
        <w:rPr>
          <w:rFonts w:hint="eastAsia" w:ascii="仿宋_GB2312" w:eastAsia="仿宋_GB2312" w:cs="仿宋_GB2312"/>
          <w:sz w:val="32"/>
          <w:szCs w:val="32"/>
        </w:rPr>
        <w:t>万元，执行金额为</w:t>
      </w:r>
      <w:r>
        <w:rPr>
          <w:rFonts w:ascii="仿宋_GB2312" w:eastAsia="仿宋_GB2312" w:cs="仿宋_GB2312"/>
          <w:sz w:val="32"/>
          <w:szCs w:val="32"/>
        </w:rPr>
        <w:t>217.47</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2</w:t>
      </w:r>
      <w:r>
        <w:rPr>
          <w:rFonts w:hint="eastAsia" w:ascii="仿宋_GB2312" w:eastAsia="仿宋_GB2312" w:cs="仿宋_GB2312"/>
          <w:sz w:val="32"/>
          <w:szCs w:val="32"/>
        </w:rPr>
        <w:t>个，其中已完成项目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、离休干部医疗费项目绩效自评综述：根据年初设定的绩效目标，离休干部医疗费项目绩效自评得分为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207.47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207.47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8分。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）项目完成数量：离休干部人数21人，截至2018年绩效自评时,该项目年度设定的预期目标全部完成,完成率为100%。（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）项目完成质量：离休干部医疗费实报实销率100%，我单位严格规范项目资执行情况，高质量完成项目建设，完成率为100%。（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）项目实施进度：离休干部医疗费实报实销及时率100%，本单位严格把控资金与项目实施进度相统一的原则,项目完成进度良好,当年完成率为100%。（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抗战离休干部医疗周转金标准每年18000元/人，解放离休干部医疗周转金标准每年10000元/人，完成率为100%，我单位在执行该类项目时,严格控制成本在预算之内,坚决杜绝资金浪费现象的产生,效益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）项目实施的经济效益分析：项目实施减少离休干部医疗费负担14000元/人，完成率为100%。（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：项目实施使离休干部享受离休干部医疗费项目保障率达到</w:t>
      </w:r>
      <w:r>
        <w:rPr>
          <w:rFonts w:ascii="仿宋_GB2312" w:hAnsi="仿宋_GB2312" w:eastAsia="仿宋_GB2312" w:cs="仿宋_GB2312"/>
          <w:sz w:val="32"/>
          <w:szCs w:val="32"/>
        </w:rPr>
        <w:t xml:space="preserve">100%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本项目为离休干部医疗费项目无生态效益分析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：开展离休干部医疗费实报实销时限为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按计划完成项目实施，已做满意度调查问卷，享受离休干部医疗费离休人员满意率达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，服务对象满意度指标完成。发现的问题及原因：对项目的管理不够规范，实施项目人员对项目台帐建立不够明细。下一步改进措施：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加强对离休干部医疗费的预算审核，做好台账的建立。做好对离休干部的教育管理，使其更好发挥预热，积极提高对离休干部的服务质量，转变干部作风，保障其安享晚年。</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、关工委经费支出项目绩效自评综述：根据年初设定的绩效目标，该项目绩效自评得分为</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6分。项目全年预算数为</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。主要产出和效果：主本项目共设置一级指标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个，二级指标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个，其中已完成三级指标</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个，指标完成率为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。根据年初设定的绩效目标，此项目自评得分为</w:t>
      </w:r>
      <w:r>
        <w:rPr>
          <w:rFonts w:ascii="仿宋_GB2312" w:hAnsi="仿宋_GB2312" w:eastAsia="仿宋_GB2312" w:cs="仿宋_GB2312"/>
          <w:sz w:val="32"/>
          <w:szCs w:val="32"/>
        </w:rPr>
        <w:t>96</w:t>
      </w:r>
      <w:r>
        <w:rPr>
          <w:rFonts w:hint="eastAsia" w:ascii="仿宋_GB2312" w:hAnsi="仿宋_GB2312" w:eastAsia="仿宋_GB2312" w:cs="仿宋_GB2312"/>
          <w:sz w:val="32"/>
          <w:szCs w:val="32"/>
        </w:rPr>
        <w:t>分。</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：关工委机关人数1人，保障车辆数1辆，离退休干部参与人数36人，截至2018年绩效自评时,该项目年度设定的预期目标全部完成,完成率为100%。（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）项目完成质量：保障离退休干部参与率100%，青少年思想合格率超过95%，根据项目实施完成后的结果来看,我单位严格规范项目资执行情况，高质量完成项目建设，完成率为100%。（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）项目实施进度：各类宣讲活动开展率100%，参与厂矿、企业、学校率超过95%，青少年发挥作用率超过95%，本单位严格把控资金与项目实施进度相统一的原则,项目完成进度良好,当年完成率为100%。（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：关爱经费支出金额10万元，我单位在执行该类项目时,严格控制成本在预算之内,坚决杜绝资金浪费现象的产生,效果良好。</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：项目实施使青少年受益率达到了100%，基层机关正常运行率100%，完成率100%，该项目的实施正确引导青少年思想教育，树立正确的人生观。通过保障机关的正常运转，有利于单位日常工作有序开展。（</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）项目实施的社会效益分析：项目的实施使青少年服务能力提升率超过95%，完成值100%，完成率100%。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）项目实施的生态效益分析：本项目是关工委经费支出项目无生态效益分析。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健全基层关爱机制时限为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按计划完成项目实施，已做满意度调查问卷，受益对象满意度满意率达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，服务对象满意度指标完成。发现的问题及原因：加强宣传的力度不足，对专项补助的实施意义认识不高。下一步改进措施：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增强宣传，确保财政资金正确实施发挥最大社会效益。</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bookmarkStart w:id="92" w:name="_GoBack"/>
      <w:bookmarkEnd w:id="92"/>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（项）指：离退休人员管理机构。</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- 12 -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20B7"/>
    <w:rsid w:val="00003BF7"/>
    <w:rsid w:val="00005719"/>
    <w:rsid w:val="00007B78"/>
    <w:rsid w:val="00007F37"/>
    <w:rsid w:val="00010976"/>
    <w:rsid w:val="000131D0"/>
    <w:rsid w:val="00015581"/>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92922"/>
    <w:rsid w:val="000A2EE8"/>
    <w:rsid w:val="000A497E"/>
    <w:rsid w:val="000A7773"/>
    <w:rsid w:val="000B08C5"/>
    <w:rsid w:val="000B206D"/>
    <w:rsid w:val="000B2C8D"/>
    <w:rsid w:val="000B6AD4"/>
    <w:rsid w:val="000B6C14"/>
    <w:rsid w:val="000B7C75"/>
    <w:rsid w:val="000B7E81"/>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37DCB"/>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1FF3"/>
    <w:rsid w:val="001C26F2"/>
    <w:rsid w:val="001C38EB"/>
    <w:rsid w:val="001C79E0"/>
    <w:rsid w:val="001D640A"/>
    <w:rsid w:val="001D65CB"/>
    <w:rsid w:val="001E197A"/>
    <w:rsid w:val="001E2630"/>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3388"/>
    <w:rsid w:val="0032647C"/>
    <w:rsid w:val="00326734"/>
    <w:rsid w:val="00326C5E"/>
    <w:rsid w:val="0033566D"/>
    <w:rsid w:val="003441F7"/>
    <w:rsid w:val="00344D62"/>
    <w:rsid w:val="00345984"/>
    <w:rsid w:val="00354175"/>
    <w:rsid w:val="003608F7"/>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A54FF"/>
    <w:rsid w:val="003B29BD"/>
    <w:rsid w:val="003B4AA1"/>
    <w:rsid w:val="003B68E6"/>
    <w:rsid w:val="003B6E53"/>
    <w:rsid w:val="003C5A61"/>
    <w:rsid w:val="003D124B"/>
    <w:rsid w:val="003D161B"/>
    <w:rsid w:val="003D3AA4"/>
    <w:rsid w:val="003E4A05"/>
    <w:rsid w:val="003E5F5C"/>
    <w:rsid w:val="003E7D9E"/>
    <w:rsid w:val="003F37E0"/>
    <w:rsid w:val="003F617C"/>
    <w:rsid w:val="00401A23"/>
    <w:rsid w:val="00401CA2"/>
    <w:rsid w:val="00405E6D"/>
    <w:rsid w:val="00406863"/>
    <w:rsid w:val="00411C55"/>
    <w:rsid w:val="00415648"/>
    <w:rsid w:val="00415BCE"/>
    <w:rsid w:val="0042015D"/>
    <w:rsid w:val="0042215C"/>
    <w:rsid w:val="00425950"/>
    <w:rsid w:val="00430B78"/>
    <w:rsid w:val="00441209"/>
    <w:rsid w:val="00443568"/>
    <w:rsid w:val="00444981"/>
    <w:rsid w:val="0045026B"/>
    <w:rsid w:val="004558AB"/>
    <w:rsid w:val="00457729"/>
    <w:rsid w:val="00457822"/>
    <w:rsid w:val="00460271"/>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48F"/>
    <w:rsid w:val="004D7DE9"/>
    <w:rsid w:val="004E15B7"/>
    <w:rsid w:val="004E16DC"/>
    <w:rsid w:val="004E5557"/>
    <w:rsid w:val="004E678C"/>
    <w:rsid w:val="004F067D"/>
    <w:rsid w:val="004F0DBA"/>
    <w:rsid w:val="004F33DA"/>
    <w:rsid w:val="004F77C5"/>
    <w:rsid w:val="00501302"/>
    <w:rsid w:val="00507F68"/>
    <w:rsid w:val="00523B8A"/>
    <w:rsid w:val="00532585"/>
    <w:rsid w:val="00533FA0"/>
    <w:rsid w:val="0054006F"/>
    <w:rsid w:val="005407F9"/>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43B1"/>
    <w:rsid w:val="0067149A"/>
    <w:rsid w:val="00672CFE"/>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542F3"/>
    <w:rsid w:val="0076538D"/>
    <w:rsid w:val="007714E5"/>
    <w:rsid w:val="00773D5E"/>
    <w:rsid w:val="00776FAF"/>
    <w:rsid w:val="00777229"/>
    <w:rsid w:val="007775E8"/>
    <w:rsid w:val="0078072D"/>
    <w:rsid w:val="00795099"/>
    <w:rsid w:val="00796088"/>
    <w:rsid w:val="007A2C71"/>
    <w:rsid w:val="007A2FBD"/>
    <w:rsid w:val="007A3413"/>
    <w:rsid w:val="007A6743"/>
    <w:rsid w:val="007B1E23"/>
    <w:rsid w:val="007B2E9D"/>
    <w:rsid w:val="007B4447"/>
    <w:rsid w:val="007B7463"/>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3A57"/>
    <w:rsid w:val="00846876"/>
    <w:rsid w:val="00847DCE"/>
    <w:rsid w:val="0085023C"/>
    <w:rsid w:val="00853966"/>
    <w:rsid w:val="00856F03"/>
    <w:rsid w:val="00857827"/>
    <w:rsid w:val="00866A6C"/>
    <w:rsid w:val="008969FE"/>
    <w:rsid w:val="008A237C"/>
    <w:rsid w:val="008A2D2C"/>
    <w:rsid w:val="008A3633"/>
    <w:rsid w:val="008B2514"/>
    <w:rsid w:val="008B4607"/>
    <w:rsid w:val="008B5DC3"/>
    <w:rsid w:val="008C030F"/>
    <w:rsid w:val="008C3836"/>
    <w:rsid w:val="008C65EB"/>
    <w:rsid w:val="008E0B76"/>
    <w:rsid w:val="008E2251"/>
    <w:rsid w:val="008E28BD"/>
    <w:rsid w:val="008E4EAC"/>
    <w:rsid w:val="008E5D6E"/>
    <w:rsid w:val="008F0F07"/>
    <w:rsid w:val="00904892"/>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B6490"/>
    <w:rsid w:val="009C3CE9"/>
    <w:rsid w:val="009C6A82"/>
    <w:rsid w:val="009D15D2"/>
    <w:rsid w:val="009D592F"/>
    <w:rsid w:val="009D641F"/>
    <w:rsid w:val="009E49B5"/>
    <w:rsid w:val="009E711C"/>
    <w:rsid w:val="009F06B8"/>
    <w:rsid w:val="009F4A3A"/>
    <w:rsid w:val="00A0017F"/>
    <w:rsid w:val="00A037A6"/>
    <w:rsid w:val="00A11A5F"/>
    <w:rsid w:val="00A11F40"/>
    <w:rsid w:val="00A13D3F"/>
    <w:rsid w:val="00A24888"/>
    <w:rsid w:val="00A273DB"/>
    <w:rsid w:val="00A3080D"/>
    <w:rsid w:val="00A30EB7"/>
    <w:rsid w:val="00A31D7F"/>
    <w:rsid w:val="00A338C6"/>
    <w:rsid w:val="00A408E3"/>
    <w:rsid w:val="00A40AFB"/>
    <w:rsid w:val="00A425CE"/>
    <w:rsid w:val="00A43B78"/>
    <w:rsid w:val="00A44660"/>
    <w:rsid w:val="00A55F77"/>
    <w:rsid w:val="00A72457"/>
    <w:rsid w:val="00A86966"/>
    <w:rsid w:val="00A872D8"/>
    <w:rsid w:val="00A912CC"/>
    <w:rsid w:val="00A970D1"/>
    <w:rsid w:val="00AA57AE"/>
    <w:rsid w:val="00AB0AFB"/>
    <w:rsid w:val="00AB6E4C"/>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53A62"/>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64DB"/>
    <w:rsid w:val="00D074D3"/>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57CF"/>
    <w:rsid w:val="00DC65F7"/>
    <w:rsid w:val="00DE42FD"/>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29AF"/>
    <w:rsid w:val="00E74817"/>
    <w:rsid w:val="00E75B6D"/>
    <w:rsid w:val="00E76C2B"/>
    <w:rsid w:val="00E80D43"/>
    <w:rsid w:val="00E8294F"/>
    <w:rsid w:val="00E870C3"/>
    <w:rsid w:val="00E8738A"/>
    <w:rsid w:val="00E916E5"/>
    <w:rsid w:val="00E92F11"/>
    <w:rsid w:val="00E95399"/>
    <w:rsid w:val="00E95FBD"/>
    <w:rsid w:val="00E9654C"/>
    <w:rsid w:val="00EA1A1C"/>
    <w:rsid w:val="00EA36D3"/>
    <w:rsid w:val="00EA5EFD"/>
    <w:rsid w:val="00EB1C85"/>
    <w:rsid w:val="00EB22F0"/>
    <w:rsid w:val="00EB380F"/>
    <w:rsid w:val="00EB3823"/>
    <w:rsid w:val="00EC5A7D"/>
    <w:rsid w:val="00EC7099"/>
    <w:rsid w:val="00ED5E90"/>
    <w:rsid w:val="00ED60E2"/>
    <w:rsid w:val="00EE0A13"/>
    <w:rsid w:val="00EE168D"/>
    <w:rsid w:val="00EE2897"/>
    <w:rsid w:val="00EF31D5"/>
    <w:rsid w:val="00EF3224"/>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29F"/>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A75927"/>
    <w:rsid w:val="5CB96DCE"/>
    <w:rsid w:val="5CE61580"/>
    <w:rsid w:val="5D175666"/>
    <w:rsid w:val="5D556A3C"/>
    <w:rsid w:val="5D7B25C9"/>
    <w:rsid w:val="5ECB44B4"/>
    <w:rsid w:val="5EE2043C"/>
    <w:rsid w:val="602D2E37"/>
    <w:rsid w:val="61460FBE"/>
    <w:rsid w:val="62775810"/>
    <w:rsid w:val="62D83744"/>
    <w:rsid w:val="630F4048"/>
    <w:rsid w:val="63AA02E5"/>
    <w:rsid w:val="63B170D9"/>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iPriority w:val="99"/>
    <w:rPr>
      <w:b/>
      <w:bCs/>
    </w:rPr>
  </w:style>
  <w:style w:type="character" w:styleId="9">
    <w:name w:val="Strong"/>
    <w:basedOn w:val="8"/>
    <w:qFormat/>
    <w:locked/>
    <w:uiPriority w:val="0"/>
    <w:rPr>
      <w:b/>
      <w:bCs/>
    </w:rPr>
  </w:style>
  <w:style w:type="character" w:styleId="10">
    <w:name w:val="page number"/>
    <w:basedOn w:val="8"/>
    <w:uiPriority w:val="99"/>
  </w:style>
  <w:style w:type="character" w:styleId="11">
    <w:name w:val="annotation reference"/>
    <w:basedOn w:val="8"/>
    <w:semiHidden/>
    <w:uiPriority w:val="99"/>
    <w:rPr>
      <w:sz w:val="21"/>
      <w:szCs w:val="21"/>
    </w:rPr>
  </w:style>
  <w:style w:type="character" w:customStyle="1" w:styleId="12">
    <w:name w:val="批注文字 Char"/>
    <w:basedOn w:val="8"/>
    <w:link w:val="2"/>
    <w:semiHidden/>
    <w:locked/>
    <w:uiPriority w:val="99"/>
    <w:rPr>
      <w:rFonts w:ascii="Times New Roman" w:hAnsi="Times New Roman" w:eastAsia="宋体" w:cs="Times New Roman"/>
      <w:sz w:val="24"/>
      <w:szCs w:val="24"/>
    </w:rPr>
  </w:style>
  <w:style w:type="character" w:customStyle="1" w:styleId="13">
    <w:name w:val="批注框文本 Char"/>
    <w:basedOn w:val="8"/>
    <w:link w:val="3"/>
    <w:semiHidden/>
    <w:locked/>
    <w:uiPriority w:val="99"/>
    <w:rPr>
      <w:rFonts w:ascii="Times New Roman" w:hAnsi="Times New Roman" w:eastAsia="宋体" w:cs="Times New Roman"/>
      <w:sz w:val="18"/>
      <w:szCs w:val="18"/>
    </w:rPr>
  </w:style>
  <w:style w:type="character" w:customStyle="1" w:styleId="14">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locked/>
    <w:uiPriority w:val="99"/>
    <w:rPr>
      <w:rFonts w:ascii="Times New Roman" w:hAnsi="Times New Roman" w:eastAsia="宋体" w:cs="Times New Roman"/>
      <w:sz w:val="18"/>
      <w:szCs w:val="18"/>
    </w:rPr>
  </w:style>
  <w:style w:type="character" w:customStyle="1" w:styleId="16">
    <w:name w:val="批注主题 Char"/>
    <w:basedOn w:val="12"/>
    <w:link w:val="6"/>
    <w:semiHidden/>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6FBE73-4CFE-4DAB-831B-A2B3D06DB82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16</Pages>
  <Words>1198</Words>
  <Characters>6835</Characters>
  <Lines>56</Lines>
  <Paragraphs>16</Paragraphs>
  <TotalTime>0</TotalTime>
  <ScaleCrop>false</ScaleCrop>
  <LinksUpToDate>false</LinksUpToDate>
  <CharactersWithSpaces>8017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2021-06-11T10:28:15Z</dcterms:modified>
  <cp:revision>835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