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900" w:firstLineChars="250"/>
        <w:jc w:val="left"/>
        <w:rPr>
          <w:rFonts w:hint="eastAsia" w:ascii="仿宋_GB2312" w:eastAsia="仿宋_GB2312" w:cs="仿宋_GB2312"/>
          <w:sz w:val="32"/>
          <w:szCs w:val="32"/>
        </w:rPr>
      </w:pPr>
      <w:r>
        <w:rPr>
          <w:rFonts w:hint="eastAsia" w:hAnsi="宋体" w:eastAsia="仿宋_GB2312" w:cs="宋体"/>
          <w:kern w:val="0"/>
          <w:sz w:val="36"/>
          <w:szCs w:val="36"/>
        </w:rPr>
        <w:t>项目名称：</w:t>
      </w:r>
      <w:r>
        <w:rPr>
          <w:rFonts w:hint="eastAsia" w:ascii="仿宋_GB2312" w:eastAsia="仿宋_GB2312" w:cs="仿宋_GB2312"/>
          <w:sz w:val="32"/>
          <w:szCs w:val="32"/>
        </w:rPr>
        <w:t>其他人力资源事务补助项目</w:t>
      </w:r>
    </w:p>
    <w:p>
      <w:pPr>
        <w:spacing w:line="700" w:lineRule="exact"/>
        <w:ind w:firstLine="900" w:firstLineChars="250"/>
        <w:jc w:val="left"/>
        <w:rPr>
          <w:rFonts w:hAnsi="宋体" w:eastAsia="仿宋_GB2312" w:cs="宋体"/>
          <w:kern w:val="0"/>
          <w:sz w:val="36"/>
          <w:szCs w:val="36"/>
        </w:rPr>
      </w:pPr>
      <w:bookmarkStart w:id="0" w:name="_GoBack"/>
      <w:bookmarkEnd w:id="0"/>
      <w:r>
        <w:rPr>
          <w:rFonts w:hint="eastAsia" w:hAnsi="宋体" w:eastAsia="仿宋_GB2312" w:cs="宋体"/>
          <w:kern w:val="0"/>
          <w:sz w:val="36"/>
          <w:szCs w:val="36"/>
        </w:rPr>
        <w:t>实施单位（公章）：叶城县人社局</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主管部门（公章）：叶城县人社局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项目负责人（签章）：胡国荣</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填报时间：2018年12月10日</w:t>
      </w: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（一）项目单位基本情况</w:t>
      </w:r>
    </w:p>
    <w:p>
      <w:pPr>
        <w:pStyle w:val="11"/>
        <w:spacing w:line="560" w:lineRule="exact"/>
        <w:ind w:firstLine="640" w:firstLineChars="200"/>
        <w:rPr>
          <w:rFonts w:ascii="仿宋_GB2312" w:hAnsi="仿宋" w:eastAsia="仿宋_GB2312" w:cs="仿宋"/>
          <w:color w:val="FF0000"/>
          <w:sz w:val="32"/>
          <w:szCs w:val="32"/>
        </w:rPr>
      </w:pPr>
      <w:r>
        <w:rPr>
          <w:rFonts w:hint="eastAsia" w:ascii="仿宋_GB2312" w:hAnsi="仿宋" w:eastAsia="仿宋_GB2312" w:cs="仿宋"/>
          <w:sz w:val="32"/>
          <w:szCs w:val="32"/>
        </w:rPr>
        <w:t>叶城县人力资源和社会保障局位于叶城县育才路行政审批局8楼，编制数55名。其中：行政编制18名，工人1名，参照公务员3名，全额事业33名。年末实有人数41名，其中公务员11名、工人1名，参照公务员3名，全额事业26名。</w:t>
      </w:r>
    </w:p>
    <w:p>
      <w:pPr>
        <w:shd w:val="clear" w:color="auto" w:fill="FFFFFF"/>
        <w:spacing w:line="560" w:lineRule="exact"/>
        <w:ind w:firstLine="640" w:firstLineChars="200"/>
        <w:rPr>
          <w:rFonts w:ascii="仿宋_GB2312" w:hAnsi="Arial" w:eastAsia="仿宋_GB2312" w:cs="Arial"/>
          <w:sz w:val="32"/>
          <w:szCs w:val="32"/>
        </w:rPr>
      </w:pPr>
      <w:r>
        <w:rPr>
          <w:rFonts w:hint="eastAsia" w:ascii="仿宋_GB2312" w:hAnsi="新宋体" w:eastAsia="仿宋_GB2312" w:cs="新宋体"/>
          <w:sz w:val="32"/>
          <w:szCs w:val="32"/>
        </w:rPr>
        <w:t>主要职能：</w:t>
      </w:r>
      <w:r>
        <w:rPr>
          <w:rFonts w:hint="eastAsia" w:ascii="仿宋_GB2312" w:hAnsi="仿宋" w:eastAsia="仿宋_GB2312"/>
          <w:sz w:val="32"/>
          <w:szCs w:val="32"/>
        </w:rPr>
        <w:t>主要负责全县干部人事调动，各单位工资审批，干部档案管理、劳动监察以及培训就业等各项工作，人社局由县人民政府领导，承担县人民政府委托的部分行政职能，业务上接受有关部门对口指导。</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（二）项目预算绩效目标设定情况</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解决目前在岗304人持续安定就业，社区工作人员社保缴纳成本129.38万元，社区工作人员补贴发放金额477.55万元，保障社区各项工作持续安定推进，保障工作人员生活、就医等方面持续改善。该项目性质为延续性社会就业人员补助类项目。</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（一）项目资金安排落实、总投入等情况分析</w:t>
      </w:r>
    </w:p>
    <w:p>
      <w:pPr>
        <w:adjustRightInd w:val="0"/>
        <w:snapToGrid w:val="0"/>
        <w:spacing w:line="560" w:lineRule="exact"/>
        <w:ind w:firstLine="640" w:firstLineChars="200"/>
        <w:rPr>
          <w:rFonts w:ascii="仿宋_GB2312" w:eastAsia="仿宋_GB2312"/>
          <w:b/>
          <w:bCs/>
          <w:sz w:val="32"/>
          <w:szCs w:val="32"/>
        </w:rPr>
      </w:pPr>
      <w:r>
        <w:rPr>
          <w:rFonts w:hint="eastAsia" w:ascii="仿宋_GB2312" w:eastAsia="仿宋_GB2312"/>
          <w:sz w:val="32"/>
          <w:szCs w:val="32"/>
        </w:rPr>
        <w:t>根据县级财经领导小组会议研究确定，预算安排资金项目资金</w:t>
      </w:r>
      <w:r>
        <w:rPr>
          <w:rFonts w:hint="eastAsia" w:ascii="仿宋_GB2312" w:hAnsi="仿宋_GB2312" w:eastAsia="仿宋_GB2312" w:cs="仿宋_GB2312"/>
          <w:sz w:val="32"/>
          <w:szCs w:val="32"/>
        </w:rPr>
        <w:t>606.93</w:t>
      </w:r>
      <w:r>
        <w:rPr>
          <w:rFonts w:hint="eastAsia" w:ascii="仿宋_GB2312" w:eastAsia="仿宋_GB2312"/>
          <w:sz w:val="32"/>
          <w:szCs w:val="32"/>
        </w:rPr>
        <w:t>万元，其中：财政资金</w:t>
      </w:r>
      <w:r>
        <w:rPr>
          <w:rFonts w:hint="eastAsia" w:ascii="仿宋_GB2312" w:hAnsi="仿宋_GB2312" w:eastAsia="仿宋_GB2312" w:cs="仿宋_GB2312"/>
          <w:sz w:val="32"/>
          <w:szCs w:val="32"/>
        </w:rPr>
        <w:t>606.93</w:t>
      </w:r>
      <w:r>
        <w:rPr>
          <w:rFonts w:hint="eastAsia" w:ascii="仿宋_GB2312" w:eastAsia="仿宋_GB2312"/>
          <w:sz w:val="32"/>
          <w:szCs w:val="32"/>
        </w:rPr>
        <w:t>万元，其他资金0万元，资金到位</w:t>
      </w:r>
      <w:r>
        <w:rPr>
          <w:rFonts w:hint="eastAsia" w:ascii="仿宋_GB2312" w:hAnsi="仿宋_GB2312" w:eastAsia="仿宋_GB2312" w:cs="仿宋_GB2312"/>
          <w:sz w:val="32"/>
          <w:szCs w:val="32"/>
        </w:rPr>
        <w:t>606.93</w:t>
      </w:r>
      <w:r>
        <w:rPr>
          <w:rFonts w:hint="eastAsia" w:ascii="仿宋_GB2312" w:eastAsia="仿宋_GB2312"/>
          <w:sz w:val="32"/>
          <w:szCs w:val="32"/>
        </w:rPr>
        <w:t>万元；资金到位率100%。</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（二）项目资金实际使用情况分析</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根据县级财经领导小组会议研究确定，到位资金606.93万元，本项目实际支付资金606.93万元，预算执行率100%，项目资金主要用于在职304名社区工作人员生活和社保补贴支出606.93万元。</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（三）项目资金管理情况分析</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本项目资金的管理、使用符合资金的管理使用办法，资金的拨付具有完整的审批程序和手续；不存在截留、挤占、挪用、虚列支出等情况。</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（一）项目组织情况分析</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本项目不存在调整情况。</w:t>
      </w:r>
    </w:p>
    <w:p>
      <w:pPr>
        <w:adjustRightInd w:val="0"/>
        <w:snapToGrid w:val="0"/>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（二）项目管理情况分析</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项目的实施遵守相关法律法规和业务管理规定，项目的实施遵守相关法律法规和业务管理规定</w:t>
      </w:r>
      <w:r>
        <w:rPr>
          <w:rFonts w:hint="eastAsia" w:ascii="仿宋_GB2312" w:hAnsi="仿宋" w:eastAsia="仿宋_GB2312"/>
          <w:bCs/>
          <w:spacing w:val="-4"/>
          <w:sz w:val="32"/>
          <w:szCs w:val="32"/>
        </w:rPr>
        <w:t>。</w:t>
      </w:r>
      <w:r>
        <w:rPr>
          <w:rFonts w:hint="eastAsia" w:ascii="仿宋_GB2312" w:hAnsi="仿宋_GB2312" w:eastAsia="仿宋_GB2312" w:cs="仿宋_GB2312"/>
          <w:sz w:val="32"/>
          <w:szCs w:val="32"/>
        </w:rPr>
        <w:t>项目实施过程中，我单位建立了资金使用制度保障项目的顺利实施。项目的实施遵守相关法律法规和业务管理规定，项目资料齐全并及时装订、归档。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sz w:val="32"/>
          <w:szCs w:val="32"/>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rPr>
          <w:rStyle w:val="19"/>
          <w:rFonts w:ascii="楷体_GB2312" w:hAnsi="楷体" w:eastAsia="楷体_GB2312"/>
          <w:bCs w:val="0"/>
          <w:spacing w:val="-4"/>
          <w:sz w:val="32"/>
          <w:szCs w:val="32"/>
        </w:rPr>
      </w:pPr>
      <w:r>
        <w:rPr>
          <w:rFonts w:hint="eastAsia" w:ascii="楷体_GB2312" w:hAnsi="楷体" w:eastAsia="楷体_GB2312"/>
          <w:b/>
          <w:spacing w:val="-4"/>
          <w:sz w:val="32"/>
          <w:szCs w:val="32"/>
        </w:rPr>
        <w:t>（一）项目绩效目标完成情况分析</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本项目共设置一级指标3个，二级指标8个，三级指标9个，其中已完成三级指标9个，指标完成率为100%。此项目自评得分为92分。</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1.产出指标完成情况分析</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（1）项目完成数量</w:t>
      </w:r>
    </w:p>
    <w:p>
      <w:pPr>
        <w:spacing w:line="560" w:lineRule="exact"/>
        <w:ind w:firstLine="640" w:firstLineChars="200"/>
        <w:rPr>
          <w:rFonts w:ascii="仿宋_GB2312" w:hAnsi="仿宋" w:eastAsia="仿宋_GB2312"/>
          <w:bCs/>
          <w:spacing w:val="-4"/>
          <w:sz w:val="32"/>
          <w:szCs w:val="32"/>
        </w:rPr>
      </w:pPr>
      <w:r>
        <w:rPr>
          <w:rFonts w:hint="eastAsia" w:ascii="仿宋_GB2312" w:hAnsi="宋体" w:eastAsia="仿宋_GB2312" w:cs="宋体"/>
          <w:kern w:val="0"/>
          <w:sz w:val="32"/>
          <w:szCs w:val="32"/>
        </w:rPr>
        <w:t>补助社区工作人员人数304人，解决</w:t>
      </w:r>
      <w:r>
        <w:rPr>
          <w:rFonts w:hint="eastAsia" w:ascii="仿宋_GB2312" w:eastAsia="仿宋_GB2312"/>
          <w:sz w:val="32"/>
          <w:szCs w:val="32"/>
        </w:rPr>
        <w:t>社区工作人员</w:t>
      </w:r>
      <w:r>
        <w:rPr>
          <w:rFonts w:hint="eastAsia" w:ascii="仿宋_GB2312" w:hAnsi="宋体" w:eastAsia="仿宋_GB2312" w:cs="宋体"/>
          <w:kern w:val="0"/>
          <w:sz w:val="32"/>
          <w:szCs w:val="32"/>
        </w:rPr>
        <w:t>持续安定就业，完成率100%。</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（2）项目完成质量</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补贴发放准确率100%，</w:t>
      </w:r>
      <w:r>
        <w:rPr>
          <w:rFonts w:hint="eastAsia" w:ascii="仿宋_GB2312" w:hAnsi="宋体" w:eastAsia="仿宋_GB2312" w:cs="宋体"/>
          <w:kern w:val="0"/>
          <w:sz w:val="32"/>
          <w:szCs w:val="32"/>
        </w:rPr>
        <w:t>完成率100%</w:t>
      </w:r>
      <w:r>
        <w:rPr>
          <w:rFonts w:hint="eastAsia" w:ascii="仿宋_GB2312" w:hAnsi="仿宋" w:eastAsia="仿宋_GB2312"/>
          <w:bCs/>
          <w:spacing w:val="-4"/>
          <w:sz w:val="32"/>
          <w:szCs w:val="32"/>
        </w:rPr>
        <w:t>。</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（3）项目实施进度</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补贴发放及时率达到100%，项目实施按照人社局审核无误的社区工作人员化名册表拨付项目资金打卡发放到个人手中。</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（4）项目成本节约情况</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社区工作人员社保缴纳成本129.38万元，社区工作人员补贴发放金额477.55万元，</w:t>
      </w:r>
      <w:r>
        <w:rPr>
          <w:rFonts w:hint="eastAsia" w:ascii="仿宋_GB2312" w:hAnsi="宋体" w:eastAsia="仿宋_GB2312" w:cs="宋体"/>
          <w:kern w:val="0"/>
          <w:sz w:val="32"/>
          <w:szCs w:val="32"/>
        </w:rPr>
        <w:t>完成率100%</w:t>
      </w:r>
      <w:r>
        <w:rPr>
          <w:rFonts w:hint="eastAsia" w:ascii="仿宋_GB2312" w:hAnsi="新宋体" w:eastAsia="仿宋_GB2312" w:cs="新宋体"/>
          <w:bCs/>
          <w:sz w:val="32"/>
          <w:szCs w:val="32"/>
        </w:rPr>
        <w:t>。</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2.效益指标完成情况分析</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（1）项目实施的经济效益分析</w:t>
      </w:r>
    </w:p>
    <w:p>
      <w:pPr>
        <w:spacing w:line="560" w:lineRule="exact"/>
        <w:ind w:firstLine="640" w:firstLineChars="200"/>
        <w:rPr>
          <w:rFonts w:ascii="仿宋_GB2312" w:hAnsi="新宋体" w:eastAsia="仿宋_GB2312" w:cs="新宋体"/>
          <w:bCs/>
          <w:sz w:val="32"/>
          <w:szCs w:val="32"/>
        </w:rPr>
      </w:pPr>
      <w:r>
        <w:rPr>
          <w:rFonts w:hint="eastAsia" w:ascii="仿宋_GB2312" w:eastAsia="仿宋_GB2312"/>
          <w:sz w:val="32"/>
          <w:szCs w:val="32"/>
        </w:rPr>
        <w:t>社区工作人员</w:t>
      </w:r>
      <w:r>
        <w:rPr>
          <w:rFonts w:hint="eastAsia" w:ascii="仿宋_GB2312" w:hAnsi="仿宋" w:eastAsia="仿宋_GB2312"/>
          <w:bCs/>
          <w:spacing w:val="-4"/>
          <w:sz w:val="32"/>
          <w:szCs w:val="32"/>
        </w:rPr>
        <w:t>家庭收入年人均增加1.57万元</w:t>
      </w:r>
      <w:r>
        <w:rPr>
          <w:rFonts w:hint="eastAsia" w:ascii="仿宋_GB2312" w:hAnsi="宋体" w:eastAsia="仿宋_GB2312" w:cs="宋体"/>
          <w:kern w:val="0"/>
          <w:sz w:val="32"/>
          <w:szCs w:val="32"/>
        </w:rPr>
        <w:t>完成率100%</w:t>
      </w:r>
      <w:r>
        <w:rPr>
          <w:rFonts w:hint="eastAsia" w:ascii="仿宋_GB2312" w:hAnsi="新宋体" w:eastAsia="仿宋_GB2312" w:cs="新宋体"/>
          <w:bCs/>
          <w:sz w:val="32"/>
          <w:szCs w:val="32"/>
        </w:rPr>
        <w:t>。</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（2）项目实施的社会效益分析</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有效改善社区工作人员生活条件，完成率100%，</w:t>
      </w:r>
      <w:r>
        <w:rPr>
          <w:rFonts w:hint="eastAsia" w:ascii="仿宋_GB2312" w:eastAsia="仿宋_GB2312"/>
          <w:sz w:val="32"/>
          <w:szCs w:val="32"/>
        </w:rPr>
        <w:t>社区工作人员</w:t>
      </w:r>
      <w:r>
        <w:rPr>
          <w:rFonts w:hint="eastAsia" w:ascii="仿宋_GB2312" w:hAnsi="仿宋" w:eastAsia="仿宋_GB2312"/>
          <w:bCs/>
          <w:spacing w:val="-4"/>
          <w:sz w:val="32"/>
          <w:szCs w:val="32"/>
        </w:rPr>
        <w:t>社区工作人员生活质量进一步提高、就医情况得到改善。</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（3）项目实施的生态效益分析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（4）项目实施的可持续影响分析</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社区工作人员安定参保率100%。</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3.满意度指标完成情况分析</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按计划完成项目实施，社区工作人员对补贴发放的满意度达98%,服务对象满意度指标完成。</w:t>
      </w:r>
    </w:p>
    <w:p>
      <w:pPr>
        <w:adjustRightInd w:val="0"/>
        <w:snapToGrid w:val="0"/>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adjustRightInd w:val="0"/>
        <w:snapToGrid w:val="0"/>
        <w:spacing w:line="560" w:lineRule="exact"/>
        <w:ind w:firstLine="624" w:firstLineChars="200"/>
        <w:rPr>
          <w:rFonts w:ascii="仿宋_GB2312" w:hAnsi="仿宋" w:eastAsia="仿宋_GB2312"/>
          <w:spacing w:val="-4"/>
          <w:sz w:val="32"/>
          <w:szCs w:val="32"/>
        </w:rPr>
      </w:pPr>
      <w:r>
        <w:rPr>
          <w:rFonts w:hint="eastAsia" w:ascii="仿宋_GB2312" w:hAnsi="仿宋" w:eastAsia="仿宋_GB2312"/>
          <w:spacing w:val="-4"/>
          <w:sz w:val="32"/>
          <w:szCs w:val="32"/>
        </w:rPr>
        <w:t>2018年本项目绩效目标全部达成，不存在未完成原因分析。</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（一）后续工作计划</w:t>
      </w:r>
    </w:p>
    <w:p>
      <w:pPr>
        <w:adjustRightInd w:val="0"/>
        <w:snapToGrid w:val="0"/>
        <w:spacing w:line="560" w:lineRule="exact"/>
        <w:ind w:firstLine="624" w:firstLineChars="200"/>
        <w:rPr>
          <w:rFonts w:ascii="仿宋_GB2312" w:hAnsi="仿宋" w:eastAsia="仿宋_GB2312"/>
          <w:spacing w:val="-4"/>
          <w:sz w:val="32"/>
          <w:szCs w:val="32"/>
        </w:rPr>
      </w:pPr>
      <w:r>
        <w:rPr>
          <w:rFonts w:hint="eastAsia" w:ascii="仿宋_GB2312" w:hAnsi="仿宋" w:eastAsia="仿宋_GB2312"/>
          <w:spacing w:val="-4"/>
          <w:sz w:val="32"/>
          <w:szCs w:val="32"/>
        </w:rPr>
        <w:t>2019年将继续开展实施社区工作人员生活和社保补贴项目。解决目前在岗人持续安定就业，保障社区各项工作持续安定推进，保障工作人员生活、就医等方面持续改善。</w:t>
      </w:r>
    </w:p>
    <w:p>
      <w:pPr>
        <w:adjustRightInd w:val="0"/>
        <w:snapToGrid w:val="0"/>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落实各项责任，建立长效机制的审核，形成有效机制，确保各项工作落实到位。认真落实资金核算报账制，完善资金管理体系，理顺管理程序。</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严格按照各项财政资金管理办法和规定使用财政资金，遵守专款专用原则，坚持按项目、按规定程序、按进度拨款使用。不违反规定扩大开支范围，不提高开支标准，不弄虚作假，虚列支出，确保资金安全。</w:t>
      </w:r>
    </w:p>
    <w:p>
      <w:pPr>
        <w:adjustRightInd w:val="0"/>
        <w:snapToGrid w:val="0"/>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_GB2312" w:hAnsi="仿宋" w:eastAsia="仿宋_GB2312"/>
          <w:spacing w:val="-4"/>
          <w:sz w:val="32"/>
          <w:szCs w:val="32"/>
        </w:rPr>
        <w:t>无其他说明内容</w:t>
      </w:r>
      <w:r>
        <w:rPr>
          <w:rFonts w:hint="eastAsia" w:ascii="仿宋" w:hAnsi="仿宋" w:eastAsia="仿宋"/>
          <w:spacing w:val="-4"/>
          <w:sz w:val="32"/>
          <w:szCs w:val="32"/>
        </w:rPr>
        <w:t>。</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次评价通过文件研读、实地调研、数据分析等方式，全面了解其他人力资源事务补助项目资金的使用效率和效果，项目管理过程是否规范，是否完成了预期绩效目标等。同时，通过开展自我评价来总结经验和教训，为其他人力资源事务补助项目今后的开展提供参考建议。</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624" w:firstLineChars="200"/>
        <w:rPr>
          <w:rStyle w:val="19"/>
          <w:rFonts w:hint="eastAsia" w:ascii="仿宋_GB2312" w:hAnsi="仿宋" w:eastAsia="仿宋_GB2312"/>
          <w:b w:val="0"/>
          <w:spacing w:val="-4"/>
          <w:sz w:val="32"/>
          <w:szCs w:val="32"/>
        </w:rPr>
      </w:pPr>
      <w:r>
        <w:rPr>
          <w:rStyle w:val="19"/>
          <w:rFonts w:hint="eastAsia" w:ascii="仿宋_GB2312" w:hAnsi="仿宋" w:eastAsia="仿宋_GB2312"/>
          <w:b w:val="0"/>
          <w:spacing w:val="-4"/>
          <w:sz w:val="32"/>
          <w:szCs w:val="32"/>
        </w:rPr>
        <w:t>《项目支出绩效目标自评表》</w:t>
      </w:r>
    </w:p>
    <w:p>
      <w:pPr>
        <w:adjustRightInd w:val="0"/>
        <w:snapToGrid w:val="0"/>
        <w:spacing w:line="560" w:lineRule="exact"/>
        <w:ind w:firstLine="624" w:firstLineChars="200"/>
        <w:rPr>
          <w:rStyle w:val="19"/>
          <w:rFonts w:ascii="仿宋" w:hAnsi="仿宋" w:eastAsia="仿宋"/>
          <w:b w:val="0"/>
          <w:spacing w:val="-4"/>
          <w:sz w:val="32"/>
          <w:szCs w:val="32"/>
        </w:rPr>
      </w:pPr>
    </w:p>
    <w:sectPr>
      <w:headerReference r:id="rId3" w:type="default"/>
      <w:footerReference r:id="rId4"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5</w:t>
        </w:r>
        <w:r>
          <w:fldChar w:fldCharType="end"/>
        </w:r>
      </w:p>
    </w:sdtContent>
  </w:sdt>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436D1"/>
    <w:rsid w:val="00056465"/>
    <w:rsid w:val="000F76B3"/>
    <w:rsid w:val="0010288F"/>
    <w:rsid w:val="00121AE4"/>
    <w:rsid w:val="00130EDF"/>
    <w:rsid w:val="00146AAD"/>
    <w:rsid w:val="00160D35"/>
    <w:rsid w:val="001B3A40"/>
    <w:rsid w:val="001F0BAD"/>
    <w:rsid w:val="001F3681"/>
    <w:rsid w:val="002946DC"/>
    <w:rsid w:val="004366A8"/>
    <w:rsid w:val="00437CFB"/>
    <w:rsid w:val="00444762"/>
    <w:rsid w:val="00460C1D"/>
    <w:rsid w:val="00481C3E"/>
    <w:rsid w:val="004B1E07"/>
    <w:rsid w:val="004D5274"/>
    <w:rsid w:val="00502BA7"/>
    <w:rsid w:val="005162F1"/>
    <w:rsid w:val="0053315C"/>
    <w:rsid w:val="00535153"/>
    <w:rsid w:val="00554F82"/>
    <w:rsid w:val="005567A1"/>
    <w:rsid w:val="0056390D"/>
    <w:rsid w:val="00564130"/>
    <w:rsid w:val="005719B0"/>
    <w:rsid w:val="0058429E"/>
    <w:rsid w:val="005A5437"/>
    <w:rsid w:val="005D10D6"/>
    <w:rsid w:val="005E66EF"/>
    <w:rsid w:val="0061492D"/>
    <w:rsid w:val="00667FC7"/>
    <w:rsid w:val="006E79B9"/>
    <w:rsid w:val="006F6B7F"/>
    <w:rsid w:val="00787A63"/>
    <w:rsid w:val="007D0AA4"/>
    <w:rsid w:val="00832ECB"/>
    <w:rsid w:val="008472FF"/>
    <w:rsid w:val="00855E3A"/>
    <w:rsid w:val="00866D98"/>
    <w:rsid w:val="008D6902"/>
    <w:rsid w:val="00911A67"/>
    <w:rsid w:val="00922CB9"/>
    <w:rsid w:val="00962D02"/>
    <w:rsid w:val="00980BE3"/>
    <w:rsid w:val="009E5CD9"/>
    <w:rsid w:val="00A26421"/>
    <w:rsid w:val="00A4293B"/>
    <w:rsid w:val="00A43097"/>
    <w:rsid w:val="00A54E83"/>
    <w:rsid w:val="00A67D50"/>
    <w:rsid w:val="00A73F91"/>
    <w:rsid w:val="00A80AE4"/>
    <w:rsid w:val="00A8691A"/>
    <w:rsid w:val="00AA6557"/>
    <w:rsid w:val="00AC1946"/>
    <w:rsid w:val="00AC4A87"/>
    <w:rsid w:val="00AC50FB"/>
    <w:rsid w:val="00B20625"/>
    <w:rsid w:val="00B33A86"/>
    <w:rsid w:val="00B40063"/>
    <w:rsid w:val="00B41F61"/>
    <w:rsid w:val="00B4340F"/>
    <w:rsid w:val="00B55880"/>
    <w:rsid w:val="00BA46E6"/>
    <w:rsid w:val="00C0160C"/>
    <w:rsid w:val="00C56C72"/>
    <w:rsid w:val="00CA6457"/>
    <w:rsid w:val="00CC79E0"/>
    <w:rsid w:val="00CD3F82"/>
    <w:rsid w:val="00D17C76"/>
    <w:rsid w:val="00D17F2E"/>
    <w:rsid w:val="00D30354"/>
    <w:rsid w:val="00D54F94"/>
    <w:rsid w:val="00D67A6E"/>
    <w:rsid w:val="00DA4495"/>
    <w:rsid w:val="00DD6F5F"/>
    <w:rsid w:val="00DE0A2A"/>
    <w:rsid w:val="00DF42A0"/>
    <w:rsid w:val="00E5157D"/>
    <w:rsid w:val="00E769FE"/>
    <w:rsid w:val="00EA2CBE"/>
    <w:rsid w:val="00EB14F8"/>
    <w:rsid w:val="00F0397C"/>
    <w:rsid w:val="00F32FEE"/>
    <w:rsid w:val="00FB10BB"/>
    <w:rsid w:val="00FF3824"/>
    <w:rsid w:val="0AB66E64"/>
    <w:rsid w:val="124C1112"/>
    <w:rsid w:val="31385893"/>
    <w:rsid w:val="42050F05"/>
    <w:rsid w:val="57276E67"/>
    <w:rsid w:val="5E3C5131"/>
    <w:rsid w:val="602370C8"/>
    <w:rsid w:val="664644CE"/>
    <w:rsid w:val="68F010F2"/>
    <w:rsid w:val="6DFC4137"/>
    <w:rsid w:val="7B0055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Plain Text"/>
    <w:basedOn w:val="1"/>
    <w:link w:val="47"/>
    <w:uiPriority w:val="0"/>
    <w:rPr>
      <w:rFonts w:ascii="宋体" w:hAnsi="Courier New" w:cs="Courier New"/>
      <w:szCs w:val="21"/>
    </w:rPr>
  </w:style>
  <w:style w:type="paragraph" w:styleId="12">
    <w:name w:val="Balloon Text"/>
    <w:basedOn w:val="1"/>
    <w:link w:val="46"/>
    <w:semiHidden/>
    <w:unhideWhenUsed/>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uiPriority w:val="99"/>
    <w:rPr>
      <w:rFonts w:ascii="Calibri" w:hAnsi="Calibri" w:eastAsia="宋体"/>
      <w:kern w:val="2"/>
      <w:sz w:val="18"/>
      <w:szCs w:val="18"/>
    </w:rPr>
  </w:style>
  <w:style w:type="character" w:customStyle="1" w:styleId="46">
    <w:name w:val="批注框文本 Char"/>
    <w:basedOn w:val="18"/>
    <w:link w:val="12"/>
    <w:semiHidden/>
    <w:qFormat/>
    <w:uiPriority w:val="99"/>
    <w:rPr>
      <w:rFonts w:ascii="Times New Roman" w:hAnsi="Times New Roman" w:eastAsia="宋体"/>
      <w:kern w:val="2"/>
      <w:sz w:val="18"/>
      <w:szCs w:val="18"/>
    </w:rPr>
  </w:style>
  <w:style w:type="character" w:customStyle="1" w:styleId="47">
    <w:name w:val="纯文本 Char"/>
    <w:basedOn w:val="18"/>
    <w:link w:val="11"/>
    <w:uiPriority w:val="0"/>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309</Words>
  <Characters>1762</Characters>
  <Lines>14</Lines>
  <Paragraphs>4</Paragraphs>
  <TotalTime>0</TotalTime>
  <ScaleCrop>false</ScaleCrop>
  <LinksUpToDate>false</LinksUpToDate>
  <CharactersWithSpaces>2067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2021-07-12T15:27:27Z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