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pStyle w:val="47"/>
        <w:spacing w:line="700" w:lineRule="exact"/>
        <w:jc w:val="left"/>
        <w:rPr>
          <w:rFonts w:ascii="Times New Roman" w:hAnsi="宋体" w:eastAsia="仿宋_GB2312" w:cs="宋体"/>
          <w:color w:val="auto"/>
          <w:kern w:val="0"/>
          <w:sz w:val="30"/>
          <w:szCs w:val="30"/>
        </w:rPr>
      </w:pPr>
    </w:p>
    <w:p>
      <w:pPr>
        <w:pStyle w:val="47"/>
        <w:tabs>
          <w:tab w:val="left" w:pos="6290"/>
        </w:tabs>
        <w:spacing w:line="700" w:lineRule="exact"/>
        <w:ind w:firstLine="1080" w:firstLineChars="300"/>
        <w:jc w:val="left"/>
        <w:rPr>
          <w:rFonts w:ascii="仿宋" w:hAnsi="仿宋" w:eastAsia="仿宋" w:cs="仿宋"/>
          <w:color w:val="auto"/>
          <w:kern w:val="0"/>
          <w:sz w:val="32"/>
          <w:szCs w:val="32"/>
          <w:lang w:val="zh-TW" w:eastAsia="zh-TW"/>
        </w:rPr>
      </w:pPr>
      <w:r>
        <w:rPr>
          <w:rFonts w:hint="eastAsia" w:hAnsi="宋体" w:eastAsia="仿宋_GB2312" w:cs="宋体"/>
          <w:kern w:val="0"/>
          <w:sz w:val="36"/>
          <w:szCs w:val="36"/>
        </w:rPr>
        <w:t>项目名称：</w:t>
      </w:r>
      <w:r>
        <w:rPr>
          <w:rFonts w:ascii="仿宋_GB2312" w:hAnsi="Times New Roman" w:eastAsia="仿宋_GB2312" w:cs="仿宋_GB2312"/>
          <w:sz w:val="32"/>
          <w:szCs w:val="32"/>
        </w:rPr>
        <w:t>2018</w:t>
      </w:r>
      <w:r>
        <w:rPr>
          <w:rFonts w:hint="eastAsia" w:ascii="仿宋_GB2312" w:hAnsi="Times New Roman" w:eastAsia="仿宋_GB2312" w:cs="仿宋_GB2312"/>
          <w:sz w:val="32"/>
          <w:szCs w:val="32"/>
        </w:rPr>
        <w:t>年度人身意外伤害险补助项目</w:t>
      </w:r>
      <w:r>
        <w:rPr>
          <w:rFonts w:ascii="仿宋" w:hAnsi="仿宋" w:eastAsia="仿宋" w:cs="仿宋"/>
          <w:color w:val="auto"/>
          <w:kern w:val="0"/>
          <w:sz w:val="32"/>
          <w:szCs w:val="32"/>
          <w:lang w:val="zh-TW"/>
        </w:rPr>
        <w:tab/>
      </w:r>
    </w:p>
    <w:p>
      <w:pPr>
        <w:pStyle w:val="47"/>
        <w:spacing w:line="700" w:lineRule="exact"/>
        <w:ind w:firstLine="1080" w:firstLineChars="300"/>
        <w:jc w:val="left"/>
        <w:rPr>
          <w:rFonts w:ascii="仿宋" w:hAnsi="仿宋" w:eastAsia="仿宋" w:cs="仿宋"/>
          <w:color w:val="auto"/>
          <w:kern w:val="0"/>
          <w:sz w:val="32"/>
          <w:szCs w:val="32"/>
          <w:lang w:val="zh-TW" w:eastAsia="zh-TW"/>
        </w:rPr>
      </w:pPr>
      <w:r>
        <w:rPr>
          <w:rFonts w:hint="eastAsia" w:ascii="Times New Roman" w:hAnsi="宋体" w:eastAsia="仿宋_GB2312" w:cs="宋体"/>
          <w:color w:val="auto"/>
          <w:kern w:val="0"/>
          <w:sz w:val="36"/>
          <w:szCs w:val="36"/>
        </w:rPr>
        <w:t>实施单位（公章）</w:t>
      </w:r>
      <w:r>
        <w:rPr>
          <w:rFonts w:hint="eastAsia" w:ascii="仿宋" w:hAnsi="仿宋" w:eastAsia="仿宋" w:cs="仿宋"/>
          <w:color w:val="auto"/>
          <w:kern w:val="0"/>
          <w:sz w:val="32"/>
          <w:szCs w:val="32"/>
          <w:lang w:val="zh-TW" w:eastAsia="zh-TW"/>
        </w:rPr>
        <w:t>：</w:t>
      </w:r>
      <w:r>
        <w:rPr>
          <w:rFonts w:hint="eastAsia" w:ascii="仿宋" w:hAnsi="仿宋" w:eastAsia="仿宋" w:cs="仿宋"/>
          <w:color w:val="auto"/>
          <w:kern w:val="0"/>
          <w:sz w:val="32"/>
          <w:szCs w:val="32"/>
          <w:lang w:val="zh-TW"/>
        </w:rPr>
        <w:t>叶城县人力资源和社会保障局</w:t>
      </w:r>
    </w:p>
    <w:p>
      <w:pPr>
        <w:spacing w:line="700" w:lineRule="exact"/>
        <w:ind w:firstLine="1260" w:firstLineChars="350"/>
        <w:jc w:val="left"/>
        <w:rPr>
          <w:rFonts w:hAnsi="宋体" w:eastAsia="仿宋_GB2312" w:cs="宋体"/>
          <w:kern w:val="0"/>
          <w:sz w:val="36"/>
          <w:szCs w:val="36"/>
        </w:rPr>
      </w:pPr>
      <w:r>
        <w:rPr>
          <w:rFonts w:hint="eastAsia" w:hAnsi="宋体" w:eastAsia="仿宋_GB2312" w:cs="宋体"/>
          <w:kern w:val="0"/>
          <w:sz w:val="36"/>
          <w:szCs w:val="36"/>
        </w:rPr>
        <w:t>主管部门（公章）：</w:t>
      </w:r>
      <w:r>
        <w:rPr>
          <w:rFonts w:hint="eastAsia" w:ascii="仿宋" w:hAnsi="仿宋" w:eastAsia="仿宋" w:cs="仿宋"/>
          <w:kern w:val="0"/>
          <w:sz w:val="32"/>
          <w:szCs w:val="32"/>
          <w:lang w:val="zh-TW"/>
        </w:rPr>
        <w:t>叶城县人力资源和社会保障局</w:t>
      </w:r>
    </w:p>
    <w:p>
      <w:pPr>
        <w:spacing w:line="700" w:lineRule="exact"/>
        <w:ind w:firstLine="1206" w:firstLineChars="335"/>
        <w:jc w:val="left"/>
        <w:rPr>
          <w:rFonts w:hAnsi="宋体" w:eastAsia="仿宋_GB2312" w:cs="宋体"/>
          <w:kern w:val="0"/>
          <w:sz w:val="36"/>
          <w:szCs w:val="36"/>
        </w:rPr>
      </w:pPr>
      <w:r>
        <w:rPr>
          <w:rFonts w:hint="eastAsia" w:hAnsi="宋体" w:eastAsia="仿宋_GB2312" w:cs="宋体"/>
          <w:kern w:val="0"/>
          <w:sz w:val="36"/>
          <w:szCs w:val="36"/>
        </w:rPr>
        <w:t>项目负责人（签章）：康海兵</w:t>
      </w:r>
    </w:p>
    <w:p>
      <w:pPr>
        <w:spacing w:line="700" w:lineRule="exact"/>
        <w:ind w:firstLine="1206" w:firstLineChars="335"/>
        <w:jc w:val="left"/>
        <w:rPr>
          <w:rFonts w:hAnsi="宋体" w:eastAsia="仿宋_GB2312" w:cs="宋体"/>
          <w:kern w:val="0"/>
          <w:sz w:val="36"/>
          <w:szCs w:val="36"/>
        </w:rPr>
      </w:pPr>
      <w:bookmarkStart w:id="0" w:name="_GoBack"/>
      <w:bookmarkEnd w:id="0"/>
      <w:r>
        <w:rPr>
          <w:rFonts w:hint="eastAsia" w:hAnsi="宋体" w:eastAsia="仿宋_GB2312" w:cs="宋体"/>
          <w:kern w:val="0"/>
          <w:sz w:val="36"/>
          <w:szCs w:val="36"/>
        </w:rPr>
        <w:t>填报时间：2018年12月10日</w:t>
      </w:r>
    </w:p>
    <w:p>
      <w:pPr>
        <w:spacing w:line="540" w:lineRule="exact"/>
        <w:jc w:val="center"/>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560" w:lineRule="exact"/>
        <w:ind w:firstLine="627" w:firstLineChars="200"/>
        <w:rPr>
          <w:rStyle w:val="19"/>
          <w:rFonts w:hint="eastAsia" w:ascii="仿宋_GB2312" w:hAnsi="楷体" w:eastAsia="仿宋_GB2312"/>
          <w:spacing w:val="-4"/>
          <w:sz w:val="32"/>
          <w:szCs w:val="32"/>
        </w:rPr>
      </w:pPr>
      <w:r>
        <w:rPr>
          <w:rStyle w:val="19"/>
          <w:rFonts w:hint="eastAsia" w:ascii="仿宋_GB2312" w:hAnsi="楷体" w:eastAsia="仿宋_GB2312"/>
          <w:spacing w:val="-4"/>
          <w:sz w:val="32"/>
          <w:szCs w:val="32"/>
        </w:rPr>
        <w:t>（一）项目单位基本情况</w:t>
      </w:r>
    </w:p>
    <w:p>
      <w:pPr>
        <w:pStyle w:val="11"/>
        <w:spacing w:line="560" w:lineRule="exact"/>
        <w:ind w:firstLine="640" w:firstLineChars="200"/>
        <w:rPr>
          <w:rFonts w:hint="eastAsia" w:ascii="仿宋_GB2312" w:hAnsi="仿宋" w:eastAsia="仿宋_GB2312" w:cs="仿宋"/>
          <w:color w:val="FF0000"/>
          <w:sz w:val="32"/>
          <w:szCs w:val="32"/>
        </w:rPr>
      </w:pPr>
      <w:r>
        <w:rPr>
          <w:rFonts w:hint="eastAsia" w:ascii="仿宋_GB2312" w:hAnsi="仿宋" w:eastAsia="仿宋_GB2312" w:cs="仿宋"/>
          <w:sz w:val="32"/>
          <w:szCs w:val="32"/>
        </w:rPr>
        <w:t>叶城县人力资源和社会保障局位于叶城县育才路行政审批局8楼，编制数55名。其中：行政编制18名，工人1名，参照公务员3名，全额事业33名。年末实有人数41名，其中公务员11名、工人1名，参照公务员3名，全额事业26名。</w:t>
      </w:r>
    </w:p>
    <w:p>
      <w:pPr>
        <w:shd w:val="clear" w:color="auto" w:fill="FFFFFF"/>
        <w:spacing w:line="560" w:lineRule="exact"/>
        <w:ind w:firstLine="640" w:firstLineChars="200"/>
        <w:rPr>
          <w:rFonts w:hint="eastAsia" w:ascii="仿宋_GB2312" w:hAnsi="Arial" w:eastAsia="仿宋_GB2312" w:cs="Arial"/>
          <w:sz w:val="32"/>
          <w:szCs w:val="32"/>
        </w:rPr>
      </w:pPr>
      <w:r>
        <w:rPr>
          <w:rFonts w:hint="eastAsia" w:ascii="仿宋_GB2312" w:hAnsi="仿宋" w:eastAsia="仿宋_GB2312" w:cs="仿宋"/>
          <w:sz w:val="32"/>
          <w:szCs w:val="32"/>
        </w:rPr>
        <w:t>主要职能：主要负责全县干部人事调动，各单位工资审批，干部档案管理、劳动监察以及培训就业等各项工作，人社局由县人民政府领导，承担县人民政府委托的部分行政职能，业务上接受有关部门对口指导。</w:t>
      </w:r>
    </w:p>
    <w:p>
      <w:pPr>
        <w:spacing w:line="560" w:lineRule="exact"/>
        <w:ind w:firstLine="627" w:firstLineChars="200"/>
        <w:rPr>
          <w:rStyle w:val="19"/>
          <w:rFonts w:hint="eastAsia" w:ascii="仿宋_GB2312" w:hAnsi="楷体" w:eastAsia="仿宋_GB2312"/>
          <w:spacing w:val="-4"/>
          <w:sz w:val="32"/>
          <w:szCs w:val="32"/>
        </w:rPr>
      </w:pPr>
      <w:r>
        <w:rPr>
          <w:rStyle w:val="19"/>
          <w:rFonts w:hint="eastAsia" w:ascii="仿宋_GB2312" w:hAnsi="楷体" w:eastAsia="仿宋_GB2312"/>
          <w:spacing w:val="-4"/>
          <w:sz w:val="32"/>
          <w:szCs w:val="32"/>
        </w:rPr>
        <w:t>（二）项目预算绩效目标设定情况</w:t>
      </w:r>
    </w:p>
    <w:p>
      <w:pPr>
        <w:pStyle w:val="11"/>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2018年通过对全县人民人身意外伤害保险补贴，确保人身意外伤害保险资金额及时归集到位，为推进全县人身意外伤害保险的顺利运行提供了有力的资金支持，2018年人身意外伤害保险补贴人数154010人。该项目性质为延续性社会补助人员补助类项目。</w:t>
      </w:r>
    </w:p>
    <w:p>
      <w:pPr>
        <w:spacing w:line="560" w:lineRule="exact"/>
        <w:ind w:firstLine="624" w:firstLineChars="20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60" w:lineRule="exact"/>
        <w:ind w:firstLine="627" w:firstLineChars="200"/>
        <w:rPr>
          <w:rStyle w:val="19"/>
          <w:rFonts w:hint="eastAsia" w:ascii="仿宋_GB2312" w:hAnsi="楷体" w:eastAsia="仿宋_GB2312"/>
          <w:spacing w:val="-4"/>
          <w:sz w:val="32"/>
          <w:szCs w:val="32"/>
        </w:rPr>
      </w:pPr>
      <w:r>
        <w:rPr>
          <w:rStyle w:val="19"/>
          <w:rFonts w:hint="eastAsia" w:ascii="仿宋_GB2312" w:hAnsi="楷体" w:eastAsia="仿宋_GB2312"/>
          <w:spacing w:val="-4"/>
          <w:sz w:val="32"/>
          <w:szCs w:val="32"/>
        </w:rPr>
        <w:t>（一）项目资金安排落实、总投入等情况分析</w:t>
      </w:r>
    </w:p>
    <w:p>
      <w:pPr>
        <w:pStyle w:val="47"/>
        <w:spacing w:line="560" w:lineRule="exact"/>
        <w:ind w:firstLine="640" w:firstLineChars="200"/>
        <w:rPr>
          <w:rFonts w:hint="eastAsia" w:ascii="仿宋_GB2312" w:hAnsi="仿宋" w:eastAsia="仿宋_GB2312" w:cs="Times New Roman"/>
          <w:bCs/>
          <w:color w:val="auto"/>
          <w:spacing w:val="-4"/>
          <w:sz w:val="32"/>
          <w:szCs w:val="32"/>
        </w:rPr>
      </w:pPr>
      <w:r>
        <w:rPr>
          <w:rFonts w:hint="eastAsia" w:ascii="仿宋_GB2312" w:hAnsi="仿宋" w:eastAsia="仿宋_GB2312" w:cs="仿宋"/>
          <w:sz w:val="32"/>
          <w:szCs w:val="32"/>
        </w:rPr>
        <w:t>根据喀地财社【2018】3号文件要求，县级财力安排资金154.01万元上解地区，人身意外伤害保险补贴为一般公共预算县级补助项目，本项目资金154.01万元，其中财政资金154.01万元，其他资金0万元，资金到位154.01万元；资金到位率100%。</w:t>
      </w:r>
    </w:p>
    <w:p>
      <w:pPr>
        <w:spacing w:line="560" w:lineRule="exact"/>
        <w:ind w:firstLine="627" w:firstLineChars="200"/>
        <w:rPr>
          <w:rStyle w:val="19"/>
          <w:rFonts w:hint="eastAsia" w:ascii="仿宋_GB2312" w:hAnsi="楷体" w:eastAsia="仿宋_GB2312"/>
          <w:spacing w:val="-4"/>
          <w:sz w:val="32"/>
          <w:szCs w:val="32"/>
        </w:rPr>
      </w:pPr>
      <w:r>
        <w:rPr>
          <w:rStyle w:val="19"/>
          <w:rFonts w:hint="eastAsia" w:ascii="仿宋_GB2312" w:hAnsi="楷体" w:eastAsia="仿宋_GB2312"/>
          <w:spacing w:val="-4"/>
          <w:sz w:val="32"/>
          <w:szCs w:val="32"/>
        </w:rPr>
        <w:t>（二）项目资金实际使用情况分析</w:t>
      </w:r>
    </w:p>
    <w:p>
      <w:pPr>
        <w:pStyle w:val="11"/>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根据县财经领导小组会议研究确定，县级财力安排资金154.01万元，本项目实际支付资154.01万元，预算执行率100%，项目资金主要用于支付全县超补助人数人身意外伤害险的补贴154.01万元。</w:t>
      </w:r>
    </w:p>
    <w:p>
      <w:pPr>
        <w:spacing w:line="560" w:lineRule="exact"/>
        <w:ind w:firstLine="627" w:firstLineChars="200"/>
        <w:rPr>
          <w:rStyle w:val="19"/>
          <w:rFonts w:hint="eastAsia" w:ascii="仿宋_GB2312" w:hAnsi="楷体" w:eastAsia="仿宋_GB2312"/>
          <w:spacing w:val="-4"/>
          <w:sz w:val="32"/>
          <w:szCs w:val="32"/>
        </w:rPr>
      </w:pPr>
      <w:r>
        <w:rPr>
          <w:rStyle w:val="19"/>
          <w:rFonts w:hint="eastAsia" w:ascii="仿宋_GB2312" w:hAnsi="楷体" w:eastAsia="仿宋_GB2312"/>
          <w:spacing w:val="-4"/>
          <w:sz w:val="32"/>
          <w:szCs w:val="32"/>
        </w:rPr>
        <w:t>（三）项目资金管理情况分析</w:t>
      </w:r>
    </w:p>
    <w:p>
      <w:pPr>
        <w:pStyle w:val="11"/>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本项目资金的管理、使用符合《自治区人身意外伤害保险资金管理暂行办法》（新财社〔2016〕261号）文件精神要求，符合国家财经法规和财务管理制度以及有关资金管理办法的规定；不存在截留、挤占、挪用、虚列支出等情况。</w:t>
      </w:r>
    </w:p>
    <w:p>
      <w:pPr>
        <w:spacing w:line="560" w:lineRule="exact"/>
        <w:ind w:firstLine="624" w:firstLineChars="20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60" w:lineRule="exact"/>
        <w:ind w:firstLine="627" w:firstLineChars="200"/>
        <w:rPr>
          <w:rStyle w:val="19"/>
          <w:rFonts w:hint="eastAsia" w:ascii="仿宋_GB2312" w:hAnsi="楷体" w:eastAsia="仿宋_GB2312"/>
          <w:spacing w:val="-4"/>
          <w:sz w:val="32"/>
          <w:szCs w:val="32"/>
        </w:rPr>
      </w:pPr>
      <w:r>
        <w:rPr>
          <w:rStyle w:val="19"/>
          <w:rFonts w:hint="eastAsia" w:ascii="仿宋_GB2312" w:hAnsi="楷体" w:eastAsia="仿宋_GB2312"/>
          <w:spacing w:val="-4"/>
          <w:sz w:val="32"/>
          <w:szCs w:val="32"/>
        </w:rPr>
        <w:t>（一）项目组织情况分析</w:t>
      </w:r>
    </w:p>
    <w:p>
      <w:pPr>
        <w:pStyle w:val="11"/>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实施过程中均按照《自治区人身意外伤害保险资金管理暂行办法》（新财社〔2016〕261号）文件精神要求执行，项目实施完成后由相关人员检查验收，严格按照文件要求支付款项。</w:t>
      </w:r>
    </w:p>
    <w:p>
      <w:pPr>
        <w:pStyle w:val="11"/>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本项目不存在调整情况。</w:t>
      </w:r>
    </w:p>
    <w:p>
      <w:pPr>
        <w:spacing w:line="560" w:lineRule="exact"/>
        <w:ind w:firstLine="627" w:firstLineChars="200"/>
        <w:rPr>
          <w:rStyle w:val="19"/>
          <w:rFonts w:hint="eastAsia" w:ascii="仿宋_GB2312" w:hAnsi="楷体" w:eastAsia="仿宋_GB2312"/>
          <w:spacing w:val="-4"/>
          <w:sz w:val="32"/>
          <w:szCs w:val="32"/>
        </w:rPr>
      </w:pPr>
      <w:r>
        <w:rPr>
          <w:rStyle w:val="19"/>
          <w:rFonts w:hint="eastAsia" w:ascii="仿宋_GB2312" w:hAnsi="楷体" w:eastAsia="仿宋_GB2312"/>
          <w:spacing w:val="-4"/>
          <w:sz w:val="32"/>
          <w:szCs w:val="32"/>
        </w:rPr>
        <w:t>（二）项目管理情况分析</w:t>
      </w:r>
    </w:p>
    <w:p>
      <w:pPr>
        <w:pStyle w:val="11"/>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项目的实施遵守相关法律法规和业务管理规定。项目实施过程中，我单位建立了资金使用制度保障项目的顺利实施。项目的实施遵守相关法律法规和业务管理规定，项目资料齐全并及时装订、归档。不定期对项目进度情况进行督导检查，对检查过程中发现的问题及时督促整改，确保了项目按时保质完成。</w:t>
      </w:r>
    </w:p>
    <w:p>
      <w:pPr>
        <w:spacing w:line="560" w:lineRule="exact"/>
        <w:ind w:firstLine="624" w:firstLineChars="20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四、项目绩效情况</w:t>
      </w:r>
    </w:p>
    <w:p>
      <w:pPr>
        <w:spacing w:line="560" w:lineRule="exact"/>
        <w:ind w:firstLine="627" w:firstLineChars="200"/>
        <w:rPr>
          <w:rFonts w:hint="eastAsia" w:ascii="仿宋_GB2312" w:hAnsi="楷体" w:eastAsia="仿宋_GB2312"/>
          <w:b/>
          <w:spacing w:val="-4"/>
          <w:sz w:val="32"/>
          <w:szCs w:val="32"/>
        </w:rPr>
      </w:pPr>
      <w:r>
        <w:rPr>
          <w:rFonts w:hint="eastAsia" w:ascii="仿宋_GB2312" w:hAnsi="楷体" w:eastAsia="仿宋_GB2312"/>
          <w:b/>
          <w:spacing w:val="-4"/>
          <w:sz w:val="32"/>
          <w:szCs w:val="32"/>
        </w:rPr>
        <w:t>（一）项目绩效目标完成情况分析</w:t>
      </w:r>
    </w:p>
    <w:p>
      <w:pPr>
        <w:pStyle w:val="11"/>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本项目共设置一级指标3个，二级指标8个，三级指标8个，其中已完成三级指标8个，指标完成率为100%。此项目自评得分为92分。</w:t>
      </w:r>
    </w:p>
    <w:p>
      <w:pPr>
        <w:pStyle w:val="11"/>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1.产出指标完成情况分析</w:t>
      </w:r>
    </w:p>
    <w:p>
      <w:pPr>
        <w:pStyle w:val="11"/>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（1）项目完成数量</w:t>
      </w:r>
    </w:p>
    <w:p>
      <w:pPr>
        <w:pStyle w:val="11"/>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身意外伤害保险补贴项目主要是对全县城乡居民医疗保险参保人员154010人的身意外伤害保险补贴，完成率100%。</w:t>
      </w:r>
    </w:p>
    <w:p>
      <w:pPr>
        <w:pStyle w:val="11"/>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（2）项目完成质量</w:t>
      </w:r>
    </w:p>
    <w:p>
      <w:pPr>
        <w:pStyle w:val="11"/>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lang w:val="zh-TW"/>
        </w:rPr>
        <w:t>人身意外险补助项目实施要保障将参保人员纳入</w:t>
      </w:r>
      <w:r>
        <w:rPr>
          <w:rFonts w:hint="eastAsia" w:ascii="仿宋_GB2312" w:hAnsi="仿宋" w:eastAsia="仿宋_GB2312" w:cs="仿宋"/>
          <w:sz w:val="32"/>
          <w:szCs w:val="32"/>
        </w:rPr>
        <w:t>人身意外伤害保险补贴范围准确率100%。</w:t>
      </w:r>
    </w:p>
    <w:p>
      <w:pPr>
        <w:pStyle w:val="11"/>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（3）项目实施进度</w:t>
      </w:r>
    </w:p>
    <w:p>
      <w:pPr>
        <w:pStyle w:val="11"/>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项目严格按照自治区人身意外伤害保险资金管理暂行办法经人社局审核无误后上解地区财政，由地区财政统一将资金转入采购中标的保险公司，人身意外伤害保险补贴缴纳及时率100%，完成率100%。</w:t>
      </w:r>
    </w:p>
    <w:p>
      <w:pPr>
        <w:pStyle w:val="11"/>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（4）项目成本节约情况</w:t>
      </w:r>
    </w:p>
    <w:p>
      <w:pPr>
        <w:pStyle w:val="11"/>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人均意外伤害险补贴标准10元/人/年。</w:t>
      </w:r>
    </w:p>
    <w:p>
      <w:pPr>
        <w:pStyle w:val="11"/>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2.效益指标完成情况分析</w:t>
      </w:r>
    </w:p>
    <w:p>
      <w:pPr>
        <w:pStyle w:val="11"/>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（1）项目实施的经济效益分析</w:t>
      </w:r>
    </w:p>
    <w:p>
      <w:pPr>
        <w:pStyle w:val="11"/>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通过对</w:t>
      </w:r>
      <w:r>
        <w:rPr>
          <w:rFonts w:hint="eastAsia" w:ascii="仿宋_GB2312" w:hAnsi="仿宋" w:eastAsia="仿宋_GB2312" w:cs="仿宋"/>
          <w:sz w:val="32"/>
          <w:szCs w:val="32"/>
          <w:lang w:val="zh-TW"/>
        </w:rPr>
        <w:t>人身意外险补助项目的实施</w:t>
      </w:r>
      <w:r>
        <w:rPr>
          <w:rFonts w:hint="eastAsia" w:ascii="仿宋_GB2312" w:hAnsi="仿宋" w:eastAsia="仿宋_GB2312" w:cs="仿宋"/>
          <w:sz w:val="32"/>
          <w:szCs w:val="32"/>
        </w:rPr>
        <w:t>减轻受益各族群众的经济负担154.01万元，完成率100%。</w:t>
      </w:r>
    </w:p>
    <w:p>
      <w:pPr>
        <w:pStyle w:val="11"/>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（2）项目实施的社会效益分析</w:t>
      </w:r>
    </w:p>
    <w:p>
      <w:pPr>
        <w:pStyle w:val="11"/>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通过对</w:t>
      </w:r>
      <w:r>
        <w:rPr>
          <w:rFonts w:hint="eastAsia" w:ascii="仿宋_GB2312" w:hAnsi="仿宋" w:eastAsia="仿宋_GB2312" w:cs="仿宋"/>
          <w:sz w:val="32"/>
          <w:szCs w:val="32"/>
          <w:lang w:val="zh-TW"/>
        </w:rPr>
        <w:t>人身意外险补助项目的实施</w:t>
      </w:r>
      <w:r>
        <w:rPr>
          <w:rFonts w:hint="eastAsia" w:ascii="仿宋_GB2312" w:hAnsi="仿宋" w:eastAsia="仿宋_GB2312" w:cs="仿宋"/>
          <w:sz w:val="32"/>
          <w:szCs w:val="32"/>
        </w:rPr>
        <w:t>降低广大家庭和社会意外伤害风险超过90%，完成率100%。</w:t>
      </w:r>
    </w:p>
    <w:p>
      <w:pPr>
        <w:pStyle w:val="11"/>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（3）项目实施的生态效益分析</w:t>
      </w:r>
    </w:p>
    <w:p>
      <w:pPr>
        <w:pStyle w:val="11"/>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无</w:t>
      </w:r>
    </w:p>
    <w:p>
      <w:pPr>
        <w:pStyle w:val="11"/>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（4）项目实施的可持续影响分析</w:t>
      </w:r>
    </w:p>
    <w:p>
      <w:pPr>
        <w:pStyle w:val="11"/>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通过对</w:t>
      </w:r>
      <w:r>
        <w:rPr>
          <w:rFonts w:hint="eastAsia" w:ascii="仿宋_GB2312" w:hAnsi="仿宋" w:eastAsia="仿宋_GB2312" w:cs="仿宋"/>
          <w:sz w:val="32"/>
          <w:szCs w:val="32"/>
          <w:lang w:val="zh-TW"/>
        </w:rPr>
        <w:t>人身意外险补助项目的实施</w:t>
      </w:r>
      <w:r>
        <w:rPr>
          <w:rFonts w:hint="eastAsia" w:ascii="仿宋_GB2312" w:hAnsi="仿宋" w:eastAsia="仿宋_GB2312" w:cs="仿宋"/>
          <w:sz w:val="32"/>
          <w:szCs w:val="32"/>
        </w:rPr>
        <w:t>促进家庭和社会和谐安定。</w:t>
      </w:r>
    </w:p>
    <w:p>
      <w:pPr>
        <w:pStyle w:val="11"/>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3.满意度指标完成情况分析</w:t>
      </w:r>
    </w:p>
    <w:p>
      <w:pPr>
        <w:pStyle w:val="11"/>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按计划完成项目实施，已做满意度调查问卷，受益对象满意度达95%,服务对象满意度指标完成。</w:t>
      </w:r>
    </w:p>
    <w:p>
      <w:pPr>
        <w:spacing w:line="560" w:lineRule="exact"/>
        <w:ind w:firstLine="627" w:firstLineChars="200"/>
        <w:rPr>
          <w:rFonts w:hint="eastAsia" w:ascii="仿宋_GB2312" w:hAnsi="楷体" w:eastAsia="仿宋_GB2312"/>
          <w:b/>
          <w:spacing w:val="-4"/>
          <w:sz w:val="32"/>
          <w:szCs w:val="32"/>
        </w:rPr>
      </w:pPr>
      <w:r>
        <w:rPr>
          <w:rFonts w:hint="eastAsia" w:ascii="仿宋_GB2312" w:hAnsi="楷体" w:eastAsia="仿宋_GB2312"/>
          <w:b/>
          <w:spacing w:val="-4"/>
          <w:sz w:val="32"/>
          <w:szCs w:val="32"/>
        </w:rPr>
        <w:t>（二）项目绩效目标未完成原因分析</w:t>
      </w:r>
    </w:p>
    <w:p>
      <w:pPr>
        <w:pStyle w:val="11"/>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2018年本项目绩效目标全部达成，不存在未完成原因分析。</w:t>
      </w:r>
    </w:p>
    <w:p>
      <w:pPr>
        <w:spacing w:line="560" w:lineRule="exact"/>
        <w:ind w:firstLine="624" w:firstLineChars="20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60" w:lineRule="exact"/>
        <w:ind w:firstLine="627" w:firstLineChars="200"/>
        <w:rPr>
          <w:rFonts w:hint="eastAsia" w:ascii="仿宋_GB2312" w:hAnsi="楷体" w:eastAsia="仿宋_GB2312"/>
          <w:b/>
          <w:spacing w:val="-4"/>
          <w:sz w:val="32"/>
          <w:szCs w:val="32"/>
        </w:rPr>
      </w:pPr>
      <w:r>
        <w:rPr>
          <w:rFonts w:hint="eastAsia" w:ascii="仿宋_GB2312" w:hAnsi="楷体" w:eastAsia="仿宋_GB2312"/>
          <w:b/>
          <w:spacing w:val="-4"/>
          <w:sz w:val="32"/>
          <w:szCs w:val="32"/>
        </w:rPr>
        <w:t>（一）后续工作计划</w:t>
      </w:r>
    </w:p>
    <w:p>
      <w:pPr>
        <w:pStyle w:val="11"/>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2019年将继续实施人身意外伤害险补贴项目，减轻受益各族群众的经济负担，在一定程度上降低家庭和社会意外伤害风险。通过对全县人民人身意外伤害保险补贴，确保人身意外伤害保险资金额及时归集到位，为推进全县人身意外伤害保险的顺利运行提供了有力的资金支持。</w:t>
      </w:r>
    </w:p>
    <w:p>
      <w:pPr>
        <w:pStyle w:val="33"/>
        <w:numPr>
          <w:ilvl w:val="0"/>
          <w:numId w:val="1"/>
        </w:numPr>
        <w:adjustRightInd w:val="0"/>
        <w:snapToGrid w:val="0"/>
        <w:spacing w:line="560" w:lineRule="exact"/>
        <w:ind w:left="0" w:firstLine="627" w:firstLineChars="200"/>
        <w:jc w:val="both"/>
        <w:rPr>
          <w:rFonts w:hint="eastAsia" w:ascii="仿宋_GB2312" w:hAnsi="楷体" w:eastAsia="仿宋_GB2312"/>
          <w:b/>
          <w:spacing w:val="-4"/>
          <w:sz w:val="32"/>
          <w:szCs w:val="32"/>
          <w:lang w:eastAsia="zh-CN"/>
        </w:rPr>
      </w:pPr>
      <w:r>
        <w:rPr>
          <w:rFonts w:hint="eastAsia" w:ascii="仿宋_GB2312" w:hAnsi="楷体" w:eastAsia="仿宋_GB2312"/>
          <w:b/>
          <w:spacing w:val="-4"/>
          <w:sz w:val="32"/>
          <w:szCs w:val="32"/>
          <w:lang w:eastAsia="zh-CN"/>
        </w:rPr>
        <w:t>主要经验及做法、存在问题和建议</w:t>
      </w:r>
    </w:p>
    <w:p>
      <w:pPr>
        <w:pStyle w:val="11"/>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项目开展的程序还需进一步规范；项目档案资料需进一步完善；项目实施成效还需加强，加强项目资金的管理,发挥资金最大效益.</w:t>
      </w:r>
    </w:p>
    <w:p>
      <w:pPr>
        <w:adjustRightInd w:val="0"/>
        <w:snapToGrid w:val="0"/>
        <w:spacing w:line="560" w:lineRule="exact"/>
        <w:ind w:firstLine="627" w:firstLineChars="200"/>
        <w:rPr>
          <w:rFonts w:hint="eastAsia" w:ascii="仿宋_GB2312" w:hAnsi="楷体" w:eastAsia="仿宋_GB2312"/>
          <w:b/>
          <w:spacing w:val="-4"/>
          <w:sz w:val="32"/>
          <w:szCs w:val="32"/>
        </w:rPr>
      </w:pPr>
      <w:r>
        <w:rPr>
          <w:rFonts w:hint="eastAsia" w:ascii="仿宋_GB2312" w:hAnsi="楷体" w:eastAsia="仿宋_GB2312"/>
          <w:b/>
          <w:spacing w:val="-4"/>
          <w:sz w:val="32"/>
          <w:szCs w:val="32"/>
        </w:rPr>
        <w:t>（三）其他</w:t>
      </w:r>
    </w:p>
    <w:p>
      <w:pPr>
        <w:pStyle w:val="11"/>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无其他说明内容。</w:t>
      </w:r>
    </w:p>
    <w:p>
      <w:pPr>
        <w:spacing w:line="560" w:lineRule="exact"/>
        <w:ind w:firstLine="624" w:firstLineChars="20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pStyle w:val="11"/>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本次评价通过文件研读、实地调研、数据分析等方式，全面了解人身意外伤害险补贴项目资金的使用效率和效果，项目管理过程是否规范，是否完成了预期绩效目标等。同时，通过开展自我评价来总结经验和教训，为人身意外伤害险补贴项目今后的开展提供参考建议。</w:t>
      </w:r>
    </w:p>
    <w:p>
      <w:pPr>
        <w:spacing w:line="560" w:lineRule="exact"/>
        <w:ind w:firstLine="624" w:firstLineChars="20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60" w:lineRule="exact"/>
        <w:ind w:firstLine="624" w:firstLineChars="200"/>
        <w:rPr>
          <w:rStyle w:val="19"/>
          <w:rFonts w:hint="eastAsia" w:ascii="仿宋_GB2312" w:hAnsi="仿宋" w:eastAsia="仿宋_GB2312"/>
          <w:b w:val="0"/>
          <w:spacing w:val="-4"/>
          <w:sz w:val="32"/>
          <w:szCs w:val="32"/>
        </w:rPr>
      </w:pPr>
      <w:r>
        <w:rPr>
          <w:rStyle w:val="19"/>
          <w:rFonts w:hint="eastAsia" w:ascii="仿宋_GB2312" w:hAnsi="仿宋" w:eastAsia="仿宋_GB2312"/>
          <w:b w:val="0"/>
          <w:spacing w:val="-4"/>
          <w:sz w:val="32"/>
          <w:szCs w:val="32"/>
        </w:rPr>
        <w:t>《项目支出绩效目标自评表》</w:t>
      </w:r>
    </w:p>
    <w:sectPr>
      <w:headerReference r:id="rId3" w:type="default"/>
      <w:footerReference r:id="rId4"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Courier New">
    <w:panose1 w:val="02070309020205020404"/>
    <w:charset w:val="00"/>
    <w:family w:val="modern"/>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3"/>
          <w:jc w:val="center"/>
        </w:pPr>
        <w:r>
          <w:fldChar w:fldCharType="begin"/>
        </w:r>
        <w:r>
          <w:instrText xml:space="preserve">PAGE   \* MERGEFORMAT</w:instrText>
        </w:r>
        <w:r>
          <w:fldChar w:fldCharType="separate"/>
        </w:r>
        <w:r>
          <w:rPr>
            <w:lang w:val="zh-CN"/>
          </w:rPr>
          <w:t>2</w:t>
        </w:r>
        <w:r>
          <w:fldChar w:fldCharType="end"/>
        </w:r>
      </w:p>
    </w:sdtContent>
  </w:sdt>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7D620A"/>
    <w:multiLevelType w:val="multilevel"/>
    <w:tmpl w:val="387D620A"/>
    <w:lvl w:ilvl="0" w:tentative="0">
      <w:start w:val="2"/>
      <w:numFmt w:val="japaneseCounting"/>
      <w:lvlText w:val="（%1）"/>
      <w:lvlJc w:val="left"/>
      <w:pPr>
        <w:ind w:left="1707" w:hanging="1080"/>
      </w:pPr>
      <w:rPr>
        <w:rFonts w:hint="default"/>
      </w:rPr>
    </w:lvl>
    <w:lvl w:ilvl="1" w:tentative="0">
      <w:start w:val="1"/>
      <w:numFmt w:val="lowerLetter"/>
      <w:lvlText w:val="%2)"/>
      <w:lvlJc w:val="left"/>
      <w:pPr>
        <w:ind w:left="1467" w:hanging="420"/>
      </w:pPr>
    </w:lvl>
    <w:lvl w:ilvl="2" w:tentative="0">
      <w:start w:val="1"/>
      <w:numFmt w:val="lowerRoman"/>
      <w:lvlText w:val="%3."/>
      <w:lvlJc w:val="right"/>
      <w:pPr>
        <w:ind w:left="1887" w:hanging="420"/>
      </w:pPr>
    </w:lvl>
    <w:lvl w:ilvl="3" w:tentative="0">
      <w:start w:val="1"/>
      <w:numFmt w:val="decimal"/>
      <w:lvlText w:val="%4."/>
      <w:lvlJc w:val="left"/>
      <w:pPr>
        <w:ind w:left="2307" w:hanging="420"/>
      </w:pPr>
    </w:lvl>
    <w:lvl w:ilvl="4" w:tentative="0">
      <w:start w:val="1"/>
      <w:numFmt w:val="lowerLetter"/>
      <w:lvlText w:val="%5)"/>
      <w:lvlJc w:val="left"/>
      <w:pPr>
        <w:ind w:left="2727" w:hanging="420"/>
      </w:pPr>
    </w:lvl>
    <w:lvl w:ilvl="5" w:tentative="0">
      <w:start w:val="1"/>
      <w:numFmt w:val="lowerRoman"/>
      <w:lvlText w:val="%6."/>
      <w:lvlJc w:val="right"/>
      <w:pPr>
        <w:ind w:left="3147" w:hanging="420"/>
      </w:pPr>
    </w:lvl>
    <w:lvl w:ilvl="6" w:tentative="0">
      <w:start w:val="1"/>
      <w:numFmt w:val="decimal"/>
      <w:lvlText w:val="%7."/>
      <w:lvlJc w:val="left"/>
      <w:pPr>
        <w:ind w:left="3567" w:hanging="420"/>
      </w:pPr>
    </w:lvl>
    <w:lvl w:ilvl="7" w:tentative="0">
      <w:start w:val="1"/>
      <w:numFmt w:val="lowerLetter"/>
      <w:lvlText w:val="%8)"/>
      <w:lvlJc w:val="left"/>
      <w:pPr>
        <w:ind w:left="3987" w:hanging="420"/>
      </w:pPr>
    </w:lvl>
    <w:lvl w:ilvl="8" w:tentative="0">
      <w:start w:val="1"/>
      <w:numFmt w:val="lowerRoman"/>
      <w:lvlText w:val="%9."/>
      <w:lvlJc w:val="right"/>
      <w:pPr>
        <w:ind w:left="440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1298"/>
    <w:rsid w:val="00052806"/>
    <w:rsid w:val="00056465"/>
    <w:rsid w:val="0009332B"/>
    <w:rsid w:val="000F49D1"/>
    <w:rsid w:val="00121AE4"/>
    <w:rsid w:val="00132FD2"/>
    <w:rsid w:val="00146AAD"/>
    <w:rsid w:val="001B3A40"/>
    <w:rsid w:val="001C7722"/>
    <w:rsid w:val="001E46ED"/>
    <w:rsid w:val="00211749"/>
    <w:rsid w:val="00250180"/>
    <w:rsid w:val="002604BD"/>
    <w:rsid w:val="00314FAD"/>
    <w:rsid w:val="003C43D4"/>
    <w:rsid w:val="0041450E"/>
    <w:rsid w:val="004366A8"/>
    <w:rsid w:val="004833DB"/>
    <w:rsid w:val="00502BA7"/>
    <w:rsid w:val="005162F1"/>
    <w:rsid w:val="00523A41"/>
    <w:rsid w:val="00535153"/>
    <w:rsid w:val="00544CF7"/>
    <w:rsid w:val="00554F82"/>
    <w:rsid w:val="00556980"/>
    <w:rsid w:val="0056390D"/>
    <w:rsid w:val="005719B0"/>
    <w:rsid w:val="005D0C04"/>
    <w:rsid w:val="005D10D6"/>
    <w:rsid w:val="0060734F"/>
    <w:rsid w:val="00686042"/>
    <w:rsid w:val="006C4021"/>
    <w:rsid w:val="006E5BA7"/>
    <w:rsid w:val="006E6A62"/>
    <w:rsid w:val="00782585"/>
    <w:rsid w:val="00786B33"/>
    <w:rsid w:val="007A5A60"/>
    <w:rsid w:val="007B3C3D"/>
    <w:rsid w:val="007B45FF"/>
    <w:rsid w:val="007C1958"/>
    <w:rsid w:val="00801273"/>
    <w:rsid w:val="00855E3A"/>
    <w:rsid w:val="008B415C"/>
    <w:rsid w:val="008F5D53"/>
    <w:rsid w:val="009058DC"/>
    <w:rsid w:val="00922CB9"/>
    <w:rsid w:val="009A6107"/>
    <w:rsid w:val="009E5CD9"/>
    <w:rsid w:val="009F0716"/>
    <w:rsid w:val="00A26421"/>
    <w:rsid w:val="00A3083F"/>
    <w:rsid w:val="00A40979"/>
    <w:rsid w:val="00A4293B"/>
    <w:rsid w:val="00A67D50"/>
    <w:rsid w:val="00A8691A"/>
    <w:rsid w:val="00A9601B"/>
    <w:rsid w:val="00AC1946"/>
    <w:rsid w:val="00B40063"/>
    <w:rsid w:val="00B41F61"/>
    <w:rsid w:val="00B4649A"/>
    <w:rsid w:val="00BA46E6"/>
    <w:rsid w:val="00BD41C5"/>
    <w:rsid w:val="00C121B2"/>
    <w:rsid w:val="00C56C72"/>
    <w:rsid w:val="00C65679"/>
    <w:rsid w:val="00CA6457"/>
    <w:rsid w:val="00CD4672"/>
    <w:rsid w:val="00D17F2E"/>
    <w:rsid w:val="00D30354"/>
    <w:rsid w:val="00DA0358"/>
    <w:rsid w:val="00DF42A0"/>
    <w:rsid w:val="00E769FE"/>
    <w:rsid w:val="00EA2CBE"/>
    <w:rsid w:val="00F233AB"/>
    <w:rsid w:val="00F32FEE"/>
    <w:rsid w:val="00F607A8"/>
    <w:rsid w:val="00FB10BB"/>
    <w:rsid w:val="00FE691F"/>
    <w:rsid w:val="1CEB490E"/>
    <w:rsid w:val="26A62B07"/>
    <w:rsid w:val="2C0B05B8"/>
    <w:rsid w:val="49F42B58"/>
    <w:rsid w:val="5E1C1870"/>
    <w:rsid w:val="61B874E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Plain Text"/>
    <w:basedOn w:val="1"/>
    <w:link w:val="48"/>
    <w:qFormat/>
    <w:uiPriority w:val="0"/>
    <w:rPr>
      <w:rFonts w:ascii="宋体" w:hAnsi="Courier New" w:cs="Courier New"/>
      <w:szCs w:val="21"/>
    </w:rPr>
  </w:style>
  <w:style w:type="paragraph" w:styleId="12">
    <w:name w:val="Balloon Text"/>
    <w:basedOn w:val="1"/>
    <w:link w:val="46"/>
    <w:semiHidden/>
    <w:unhideWhenUsed/>
    <w:qFormat/>
    <w:uiPriority w:val="99"/>
    <w:rPr>
      <w:sz w:val="18"/>
      <w:szCs w:val="18"/>
    </w:rPr>
  </w:style>
  <w:style w:type="paragraph" w:styleId="13">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5"/>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4"/>
    <w:qFormat/>
    <w:uiPriority w:val="99"/>
    <w:rPr>
      <w:rFonts w:ascii="Calibri" w:hAnsi="Calibri" w:eastAsia="宋体"/>
      <w:kern w:val="2"/>
      <w:sz w:val="18"/>
      <w:szCs w:val="18"/>
    </w:rPr>
  </w:style>
  <w:style w:type="character" w:customStyle="1" w:styleId="45">
    <w:name w:val="页脚 Char"/>
    <w:basedOn w:val="18"/>
    <w:link w:val="13"/>
    <w:qFormat/>
    <w:uiPriority w:val="99"/>
    <w:rPr>
      <w:rFonts w:ascii="Calibri" w:hAnsi="Calibri" w:eastAsia="宋体"/>
      <w:kern w:val="2"/>
      <w:sz w:val="18"/>
      <w:szCs w:val="18"/>
    </w:rPr>
  </w:style>
  <w:style w:type="character" w:customStyle="1" w:styleId="46">
    <w:name w:val="批注框文本 Char"/>
    <w:basedOn w:val="18"/>
    <w:link w:val="12"/>
    <w:semiHidden/>
    <w:qFormat/>
    <w:uiPriority w:val="99"/>
    <w:rPr>
      <w:rFonts w:ascii="Times New Roman" w:hAnsi="Times New Roman" w:eastAsia="宋体"/>
      <w:kern w:val="2"/>
      <w:sz w:val="18"/>
      <w:szCs w:val="18"/>
    </w:rPr>
  </w:style>
  <w:style w:type="paragraph" w:customStyle="1" w:styleId="47">
    <w:name w:val="正文 A"/>
    <w:qFormat/>
    <w:uiPriority w:val="0"/>
    <w:pPr>
      <w:widowControl w:val="0"/>
      <w:jc w:val="both"/>
    </w:pPr>
    <w:rPr>
      <w:rFonts w:ascii="Arial Unicode MS" w:hAnsi="Arial Unicode MS" w:eastAsia="Arial Unicode MS" w:cs="Arial Unicode MS"/>
      <w:color w:val="000000"/>
      <w:kern w:val="2"/>
      <w:sz w:val="21"/>
      <w:szCs w:val="21"/>
      <w:u w:color="000000"/>
      <w:lang w:val="en-US" w:eastAsia="zh-CN" w:bidi="ar-SA"/>
    </w:rPr>
  </w:style>
  <w:style w:type="character" w:customStyle="1" w:styleId="48">
    <w:name w:val="纯文本 Char"/>
    <w:basedOn w:val="18"/>
    <w:link w:val="11"/>
    <w:qFormat/>
    <w:uiPriority w:val="0"/>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326</Words>
  <Characters>1861</Characters>
  <Lines>15</Lines>
  <Paragraphs>4</Paragraphs>
  <TotalTime>0</TotalTime>
  <ScaleCrop>false</ScaleCrop>
  <LinksUpToDate>false</LinksUpToDate>
  <CharactersWithSpaces>2183</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2021-07-12T15:26:39Z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