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十三鉴定所工作经费项目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实施单位（公章）：叶城县人社局</w:t>
      </w:r>
    </w:p>
    <w:p>
      <w:pPr>
        <w:spacing w:line="700" w:lineRule="exact"/>
        <w:ind w:firstLine="1206" w:firstLineChars="335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主管部门（公章）：叶城县人社局</w:t>
      </w:r>
    </w:p>
    <w:p>
      <w:pPr>
        <w:spacing w:line="700" w:lineRule="exact"/>
        <w:ind w:firstLine="1206" w:firstLineChars="335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项目负责人（签章）：康海兵</w:t>
      </w:r>
    </w:p>
    <w:p>
      <w:pPr>
        <w:spacing w:line="700" w:lineRule="exact"/>
        <w:ind w:firstLine="1206" w:firstLineChars="335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12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jc w:val="lef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jc w:val="lef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（一）项目单位基本情况</w:t>
      </w:r>
    </w:p>
    <w:p>
      <w:pPr>
        <w:pStyle w:val="11"/>
        <w:spacing w:line="560" w:lineRule="exact"/>
        <w:ind w:firstLine="640" w:firstLineChars="200"/>
        <w:rPr>
          <w:rFonts w:ascii="仿宋_GB2312" w:hAnsi="仿宋" w:eastAsia="仿宋_GB2312" w:cs="仿宋"/>
          <w:color w:val="FF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叶城县人力资源和社会保障局位于叶城县育才路行政审批局</w:t>
      </w:r>
      <w:r>
        <w:rPr>
          <w:rFonts w:ascii="仿宋_GB2312" w:hAnsi="仿宋" w:eastAsia="仿宋_GB2312" w:cs="仿宋"/>
          <w:sz w:val="32"/>
          <w:szCs w:val="32"/>
        </w:rPr>
        <w:t>8</w:t>
      </w:r>
      <w:r>
        <w:rPr>
          <w:rFonts w:hint="eastAsia" w:ascii="仿宋_GB2312" w:hAnsi="仿宋" w:eastAsia="仿宋_GB2312" w:cs="仿宋"/>
          <w:sz w:val="32"/>
          <w:szCs w:val="32"/>
        </w:rPr>
        <w:t>楼，编制数</w:t>
      </w:r>
      <w:r>
        <w:rPr>
          <w:rFonts w:ascii="仿宋_GB2312" w:hAnsi="仿宋" w:eastAsia="仿宋_GB2312" w:cs="仿宋"/>
          <w:sz w:val="32"/>
          <w:szCs w:val="32"/>
        </w:rPr>
        <w:t>55</w:t>
      </w:r>
      <w:r>
        <w:rPr>
          <w:rFonts w:hint="eastAsia" w:ascii="仿宋_GB2312" w:hAnsi="仿宋" w:eastAsia="仿宋_GB2312" w:cs="仿宋"/>
          <w:sz w:val="32"/>
          <w:szCs w:val="32"/>
        </w:rPr>
        <w:t>名。其中：行政编制</w:t>
      </w:r>
      <w:r>
        <w:rPr>
          <w:rFonts w:ascii="仿宋_GB2312" w:hAnsi="仿宋" w:eastAsia="仿宋_GB2312" w:cs="仿宋"/>
          <w:sz w:val="32"/>
          <w:szCs w:val="32"/>
        </w:rPr>
        <w:t>18</w:t>
      </w:r>
      <w:r>
        <w:rPr>
          <w:rFonts w:hint="eastAsia" w:ascii="仿宋_GB2312" w:hAnsi="仿宋" w:eastAsia="仿宋_GB2312" w:cs="仿宋"/>
          <w:sz w:val="32"/>
          <w:szCs w:val="32"/>
        </w:rPr>
        <w:t>名，工人</w:t>
      </w:r>
      <w:r>
        <w:rPr>
          <w:rFonts w:ascii="仿宋_GB2312" w:hAnsi="仿宋" w:eastAsia="仿宋_GB2312" w:cs="仿宋"/>
          <w:sz w:val="32"/>
          <w:szCs w:val="32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名，参照公务员</w:t>
      </w:r>
      <w:r>
        <w:rPr>
          <w:rFonts w:ascii="仿宋_GB2312" w:hAnsi="仿宋" w:eastAsia="仿宋_GB2312" w:cs="仿宋"/>
          <w:sz w:val="32"/>
          <w:szCs w:val="32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名，全额事业</w:t>
      </w:r>
      <w:r>
        <w:rPr>
          <w:rFonts w:ascii="仿宋_GB2312" w:hAnsi="仿宋" w:eastAsia="仿宋_GB2312" w:cs="仿宋"/>
          <w:sz w:val="32"/>
          <w:szCs w:val="32"/>
        </w:rPr>
        <w:t>33</w:t>
      </w:r>
      <w:r>
        <w:rPr>
          <w:rFonts w:hint="eastAsia" w:ascii="仿宋_GB2312" w:hAnsi="仿宋" w:eastAsia="仿宋_GB2312" w:cs="仿宋"/>
          <w:sz w:val="32"/>
          <w:szCs w:val="32"/>
        </w:rPr>
        <w:t>名。年末实有人数</w:t>
      </w:r>
      <w:r>
        <w:rPr>
          <w:rFonts w:ascii="仿宋_GB2312" w:hAnsi="仿宋" w:eastAsia="仿宋_GB2312" w:cs="仿宋"/>
          <w:sz w:val="32"/>
          <w:szCs w:val="32"/>
        </w:rPr>
        <w:t>41</w:t>
      </w:r>
      <w:r>
        <w:rPr>
          <w:rFonts w:hint="eastAsia" w:ascii="仿宋_GB2312" w:hAnsi="仿宋" w:eastAsia="仿宋_GB2312" w:cs="仿宋"/>
          <w:sz w:val="32"/>
          <w:szCs w:val="32"/>
        </w:rPr>
        <w:t>名，其中公务员</w:t>
      </w:r>
      <w:r>
        <w:rPr>
          <w:rFonts w:ascii="仿宋_GB2312" w:hAnsi="仿宋" w:eastAsia="仿宋_GB2312" w:cs="仿宋"/>
          <w:sz w:val="32"/>
          <w:szCs w:val="32"/>
        </w:rPr>
        <w:t>11</w:t>
      </w:r>
      <w:r>
        <w:rPr>
          <w:rFonts w:hint="eastAsia" w:ascii="仿宋_GB2312" w:hAnsi="仿宋" w:eastAsia="仿宋_GB2312" w:cs="仿宋"/>
          <w:sz w:val="32"/>
          <w:szCs w:val="32"/>
        </w:rPr>
        <w:t>名、工人</w:t>
      </w:r>
      <w:r>
        <w:rPr>
          <w:rFonts w:ascii="仿宋_GB2312" w:hAnsi="仿宋" w:eastAsia="仿宋_GB2312" w:cs="仿宋"/>
          <w:sz w:val="32"/>
          <w:szCs w:val="32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名，参照公务员</w:t>
      </w:r>
      <w:r>
        <w:rPr>
          <w:rFonts w:ascii="仿宋_GB2312" w:hAnsi="仿宋" w:eastAsia="仿宋_GB2312" w:cs="仿宋"/>
          <w:sz w:val="32"/>
          <w:szCs w:val="32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名，全额事业</w:t>
      </w:r>
      <w:r>
        <w:rPr>
          <w:rFonts w:ascii="仿宋_GB2312" w:hAnsi="仿宋" w:eastAsia="仿宋_GB2312" w:cs="仿宋"/>
          <w:sz w:val="32"/>
          <w:szCs w:val="32"/>
        </w:rPr>
        <w:t>26</w:t>
      </w:r>
      <w:r>
        <w:rPr>
          <w:rFonts w:hint="eastAsia" w:ascii="仿宋_GB2312" w:hAnsi="仿宋" w:eastAsia="仿宋_GB2312" w:cs="仿宋"/>
          <w:sz w:val="32"/>
          <w:szCs w:val="32"/>
        </w:rPr>
        <w:t>名。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新宋体" w:eastAsia="仿宋_GB2312" w:cs="新宋体"/>
          <w:sz w:val="32"/>
          <w:szCs w:val="32"/>
        </w:rPr>
        <w:t>主要职能：</w:t>
      </w:r>
      <w:r>
        <w:rPr>
          <w:rFonts w:hint="eastAsia" w:ascii="仿宋_GB2312" w:hAnsi="仿宋" w:eastAsia="仿宋_GB2312"/>
          <w:sz w:val="32"/>
          <w:szCs w:val="32"/>
        </w:rPr>
        <w:t>主要负责全县干部人事调动，各单位工资审批，干部档案管理、劳动监察以及培训就业等各项工作，人社局由县人民政府领导，承担县人民政府委托的部分行政职能，业务上接受有关部门对口指导。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该项目性质为延续性社会就业工作业务项目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保障我单位十三鉴定所正常开展工作、有效履行职责提供经费支撑。经费保障科室</w:t>
      </w:r>
      <w:r>
        <w:rPr>
          <w:rFonts w:ascii="仿宋_GB2312" w:hAnsi="仿宋" w:eastAsia="仿宋_GB2312" w:cs="仿宋"/>
          <w:color w:val="333333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个，十三鉴定所管理费</w:t>
      </w:r>
      <w:r>
        <w:rPr>
          <w:rFonts w:ascii="仿宋_GB2312" w:hAnsi="仿宋" w:eastAsia="仿宋_GB2312" w:cs="仿宋"/>
          <w:color w:val="333333"/>
          <w:kern w:val="0"/>
          <w:sz w:val="32"/>
          <w:szCs w:val="32"/>
        </w:rPr>
        <w:t>12.74</w:t>
      </w: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万元，其他费用</w:t>
      </w:r>
      <w:r>
        <w:rPr>
          <w:rFonts w:ascii="仿宋_GB2312" w:hAnsi="仿宋" w:eastAsia="仿宋_GB2312" w:cs="仿宋"/>
          <w:color w:val="333333"/>
          <w:kern w:val="0"/>
          <w:sz w:val="32"/>
          <w:szCs w:val="32"/>
        </w:rPr>
        <w:t>2.87</w:t>
      </w: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万元。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本项目为一般预算财政拨款县级补助项目，根据县财经领导小组会议研究要求，预算安排项目资金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万元，其中：财政资金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万元，其他资金</w:t>
      </w:r>
      <w:r>
        <w:rPr>
          <w:rFonts w:ascii="仿宋_GB2312" w:hAnsi="仿宋" w:eastAsia="仿宋_GB2312" w:cs="仿宋"/>
          <w:spacing w:val="-4"/>
          <w:sz w:val="32"/>
          <w:szCs w:val="32"/>
        </w:rPr>
        <w:t>0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万元，资金到位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万元；资金到位率</w:t>
      </w:r>
      <w:r>
        <w:rPr>
          <w:rFonts w:ascii="仿宋_GB2312" w:hAnsi="仿宋" w:eastAsia="仿宋_GB2312" w:cs="仿宋"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。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根据县财经领导小组会议研究要求，本年到位资金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</w:t>
      </w:r>
      <w:r>
        <w:rPr>
          <w:rFonts w:ascii="仿宋_GB2312" w:hAnsi="仿宋" w:eastAsia="仿宋_GB2312" w:cs="仿宋"/>
          <w:spacing w:val="-4"/>
          <w:sz w:val="32"/>
          <w:szCs w:val="32"/>
        </w:rPr>
        <w:t>,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本项目实际支付资金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万元，预算执行率</w:t>
      </w:r>
      <w:r>
        <w:rPr>
          <w:rFonts w:ascii="仿宋_GB2312" w:hAnsi="仿宋" w:eastAsia="仿宋_GB2312" w:cs="仿宋"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，项目资金主要用于缴纳</w:t>
      </w: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国家第十三鉴定所管理费用、鉴定证书打印费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等管理服务支出</w:t>
      </w:r>
      <w:r>
        <w:rPr>
          <w:rFonts w:ascii="仿宋_GB2312" w:hAnsi="仿宋" w:eastAsia="仿宋_GB2312" w:cs="仿宋"/>
          <w:spacing w:val="-4"/>
          <w:sz w:val="32"/>
          <w:szCs w:val="32"/>
        </w:rPr>
        <w:t>15.61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（三）项目资金管理情况分析</w:t>
      </w:r>
    </w:p>
    <w:p>
      <w:pPr>
        <w:pStyle w:val="16"/>
        <w:spacing w:before="0" w:beforeAutospacing="0" w:after="0" w:afterAutospacing="0" w:line="560" w:lineRule="exact"/>
        <w:ind w:firstLine="640" w:firstLineChars="200"/>
        <w:jc w:val="both"/>
        <w:rPr>
          <w:rStyle w:val="20"/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叶</w:t>
      </w:r>
      <w:r>
        <w:rPr>
          <w:rFonts w:hint="eastAsia" w:ascii="仿宋_GB2312" w:hAnsi="仿宋" w:eastAsia="仿宋_GB2312" w:cs="仿宋"/>
          <w:spacing w:val="-4"/>
          <w:kern w:val="2"/>
          <w:sz w:val="32"/>
          <w:szCs w:val="32"/>
        </w:rPr>
        <w:t>城县人社局根据国家相关法规的规定，结合自身实际，制定了《财务管理制度及办法》，包括会计人员集中核算工作管理制度、财务收支审批制度、财务稽核制度、财务牵制制度、会计主管岗位职责等制度规定；严格按照财经纪律规范和使用财政资金，做到资金的使用均有完整的审批程序和手续，并实行专人管理、转账核算原则。不存在截留、挤占、挪用等情况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该项目属于经常性零星项目</w:t>
      </w:r>
      <w:r>
        <w:rPr>
          <w:rFonts w:ascii="仿宋_GB2312" w:hAnsi="仿宋" w:eastAsia="仿宋_GB2312" w:cs="仿宋"/>
          <w:spacing w:val="-4"/>
          <w:sz w:val="32"/>
          <w:szCs w:val="32"/>
        </w:rPr>
        <w:t>,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没有达到招投标限额</w:t>
      </w:r>
      <w:r>
        <w:rPr>
          <w:rFonts w:ascii="仿宋_GB2312" w:hAnsi="仿宋" w:eastAsia="仿宋_GB2312" w:cs="仿宋"/>
          <w:spacing w:val="-4"/>
          <w:sz w:val="32"/>
          <w:szCs w:val="32"/>
        </w:rPr>
        <w:t>,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本项目不存在调整情况。</w:t>
      </w:r>
    </w:p>
    <w:p>
      <w:pPr>
        <w:spacing w:line="560" w:lineRule="exact"/>
        <w:ind w:firstLine="627" w:firstLineChars="200"/>
        <w:rPr>
          <w:rStyle w:val="20"/>
          <w:rFonts w:ascii="楷体_GB2312" w:hAnsi="楷体" w:eastAsia="楷体_GB2312"/>
          <w:spacing w:val="-4"/>
          <w:sz w:val="32"/>
          <w:szCs w:val="32"/>
        </w:rPr>
      </w:pPr>
      <w:r>
        <w:rPr>
          <w:rStyle w:val="20"/>
          <w:rFonts w:hint="eastAsia" w:ascii="楷体_GB2312" w:hAnsi="楷体" w:eastAsia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项目的实施遵守相关法律法规和业务管理规定，项目资料齐全并及时归档。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7" w:firstLineChars="200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共设置一级指标</w:t>
      </w:r>
      <w:r>
        <w:rPr>
          <w:rFonts w:ascii="仿宋_GB2312" w:hAnsi="仿宋" w:eastAsia="仿宋_GB2312" w:cs="仿宋"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个，二级指标</w:t>
      </w:r>
      <w:r>
        <w:rPr>
          <w:rFonts w:ascii="仿宋_GB2312" w:hAnsi="仿宋" w:eastAsia="仿宋_GB2312" w:cs="仿宋"/>
          <w:spacing w:val="-4"/>
          <w:sz w:val="32"/>
          <w:szCs w:val="32"/>
        </w:rPr>
        <w:t>7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个，三级指标</w:t>
      </w:r>
      <w:r>
        <w:rPr>
          <w:rFonts w:ascii="仿宋_GB2312" w:hAnsi="仿宋" w:eastAsia="仿宋_GB2312" w:cs="仿宋"/>
          <w:spacing w:val="-4"/>
          <w:sz w:val="32"/>
          <w:szCs w:val="32"/>
        </w:rPr>
        <w:t>10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个，其中已完成三级指标</w:t>
      </w:r>
      <w:r>
        <w:rPr>
          <w:rFonts w:ascii="仿宋_GB2312" w:hAnsi="仿宋" w:eastAsia="仿宋_GB2312" w:cs="仿宋"/>
          <w:spacing w:val="-4"/>
          <w:sz w:val="32"/>
          <w:szCs w:val="32"/>
        </w:rPr>
        <w:t>10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个，指标完成率为</w:t>
      </w:r>
      <w:r>
        <w:rPr>
          <w:rFonts w:ascii="仿宋_GB2312" w:hAnsi="仿宋" w:eastAsia="仿宋_GB2312" w:cs="仿宋"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。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此项目自评得分为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分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产出指标完成情况分析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）项目完成数量</w:t>
      </w:r>
    </w:p>
    <w:p>
      <w:pPr>
        <w:spacing w:line="560" w:lineRule="exact"/>
        <w:ind w:firstLine="624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截至目前，该项目经费保障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个科室的正常运转，完成率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）项目完成质量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管理费经费保障率达到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，鉴定证书打印费保障率达到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，，完成率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）项目实施进度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管理费缴纳及时率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，鉴定证书打印费支付及时率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完成率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）项目成本节约情况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十三鉴定所管理费</w:t>
      </w:r>
      <w:r>
        <w:rPr>
          <w:rFonts w:ascii="仿宋_GB2312" w:hAnsi="仿宋" w:eastAsia="仿宋_GB2312"/>
          <w:sz w:val="32"/>
          <w:szCs w:val="32"/>
        </w:rPr>
        <w:t>12.74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ascii="仿宋_GB2312" w:hAnsi="仿宋" w:eastAsia="仿宋_GB2312"/>
          <w:sz w:val="32"/>
          <w:szCs w:val="32"/>
        </w:rPr>
        <w:t>/</w:t>
      </w:r>
      <w:r>
        <w:rPr>
          <w:rFonts w:hint="eastAsia" w:ascii="仿宋_GB2312" w:hAnsi="仿宋" w:eastAsia="仿宋_GB2312"/>
          <w:sz w:val="32"/>
          <w:szCs w:val="32"/>
        </w:rPr>
        <w:t>年，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完成率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效益指标完成情况分析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）项目实施的经济效益分析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）项目实施的社会效益分析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十三鉴定所工作经费项目的实施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保障鉴定所工作正常运转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，提高人社部门社会服务能力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）项目实施的生态效益分析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.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）项目实施的可持续影响分析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十三鉴定所工作经费项目的实施将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持续为培训对象提供鉴定服务，保障培训人员经过培训后及时得到鉴定。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按计划完成项目实施，已做满意度调查问卷，受益对象满意度达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95%,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服务对象满意度指标完成。</w:t>
      </w:r>
    </w:p>
    <w:p>
      <w:pPr>
        <w:spacing w:line="560" w:lineRule="exact"/>
        <w:ind w:firstLine="627" w:firstLineChars="200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7" w:firstLineChars="200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根据业务工作需要</w:t>
      </w:r>
      <w:r>
        <w:rPr>
          <w:rFonts w:ascii="仿宋_GB2312" w:hAnsi="仿宋" w:eastAsia="仿宋_GB2312" w:cs="仿宋"/>
          <w:spacing w:val="-4"/>
          <w:sz w:val="32"/>
          <w:szCs w:val="32"/>
        </w:rPr>
        <w:t>,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我局将在</w:t>
      </w:r>
      <w:r>
        <w:rPr>
          <w:rFonts w:ascii="仿宋_GB2312" w:hAnsi="仿宋" w:eastAsia="仿宋_GB2312" w:cs="仿宋"/>
          <w:spacing w:val="-4"/>
          <w:sz w:val="32"/>
          <w:szCs w:val="32"/>
        </w:rPr>
        <w:t>2019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年严格按照地区人社部门要求按时缴纳十三鉴定所的管理费用，并及时支付鉴定证书的打印费，为我所鉴定的培训对象出具鉴定证书。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通过预算绩效管理，总结了工作中的较好的经验，发现了工作中存在的不足，在今后工作中要在年初做好资金计划，按照项目进度及时拨付资金，使资金使用效益最大化，减少不必要的浪费，节约成本，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项目开展的程序还需进一步规范；项目档案资料需进一步完善；项目实施成效还需加强。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本次评价通过文件研读、实地调研、数据分析等方式，全面了解十三鉴定所工作经费项目资金的使用效率和效果，项目管理过程是否规范，是否完成了预期绩效目标等。同时，通过开展自我评价来总结经验和教训，为十三鉴定所工作经费项目今后的开展提供参考建议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22F5"/>
    <w:rsid w:val="00056465"/>
    <w:rsid w:val="00077967"/>
    <w:rsid w:val="0008053A"/>
    <w:rsid w:val="00121AE4"/>
    <w:rsid w:val="00136376"/>
    <w:rsid w:val="00146AAD"/>
    <w:rsid w:val="001B3A40"/>
    <w:rsid w:val="0025411F"/>
    <w:rsid w:val="00263B75"/>
    <w:rsid w:val="002E5FA7"/>
    <w:rsid w:val="003D323A"/>
    <w:rsid w:val="003E30F6"/>
    <w:rsid w:val="003F74D0"/>
    <w:rsid w:val="00415754"/>
    <w:rsid w:val="004366A8"/>
    <w:rsid w:val="00444C8C"/>
    <w:rsid w:val="00450E4F"/>
    <w:rsid w:val="004B1F6B"/>
    <w:rsid w:val="004B721A"/>
    <w:rsid w:val="004D68AC"/>
    <w:rsid w:val="004F55AA"/>
    <w:rsid w:val="00502BA7"/>
    <w:rsid w:val="005162F1"/>
    <w:rsid w:val="00527378"/>
    <w:rsid w:val="00535153"/>
    <w:rsid w:val="00537421"/>
    <w:rsid w:val="005443F5"/>
    <w:rsid w:val="00554F82"/>
    <w:rsid w:val="0056390D"/>
    <w:rsid w:val="005719B0"/>
    <w:rsid w:val="005B0074"/>
    <w:rsid w:val="005D05A3"/>
    <w:rsid w:val="005D10D6"/>
    <w:rsid w:val="0060535A"/>
    <w:rsid w:val="00631224"/>
    <w:rsid w:val="006369A7"/>
    <w:rsid w:val="006511FB"/>
    <w:rsid w:val="0066105D"/>
    <w:rsid w:val="007D6610"/>
    <w:rsid w:val="007D7CC6"/>
    <w:rsid w:val="00852B9B"/>
    <w:rsid w:val="00855E3A"/>
    <w:rsid w:val="00857221"/>
    <w:rsid w:val="008633B6"/>
    <w:rsid w:val="00864BA5"/>
    <w:rsid w:val="00872650"/>
    <w:rsid w:val="00922CB9"/>
    <w:rsid w:val="00980CC5"/>
    <w:rsid w:val="009E5CD9"/>
    <w:rsid w:val="00A108E9"/>
    <w:rsid w:val="00A26421"/>
    <w:rsid w:val="00A30409"/>
    <w:rsid w:val="00A40DD1"/>
    <w:rsid w:val="00A4293B"/>
    <w:rsid w:val="00A67D50"/>
    <w:rsid w:val="00A8691A"/>
    <w:rsid w:val="00AC1946"/>
    <w:rsid w:val="00AF0606"/>
    <w:rsid w:val="00B40063"/>
    <w:rsid w:val="00B41F61"/>
    <w:rsid w:val="00B9530A"/>
    <w:rsid w:val="00BA46E6"/>
    <w:rsid w:val="00C56C72"/>
    <w:rsid w:val="00C71C75"/>
    <w:rsid w:val="00C90BBB"/>
    <w:rsid w:val="00CA6457"/>
    <w:rsid w:val="00CC384F"/>
    <w:rsid w:val="00D155BB"/>
    <w:rsid w:val="00D17F2E"/>
    <w:rsid w:val="00D30354"/>
    <w:rsid w:val="00D34266"/>
    <w:rsid w:val="00D66245"/>
    <w:rsid w:val="00DC6967"/>
    <w:rsid w:val="00DC79C4"/>
    <w:rsid w:val="00DD5B13"/>
    <w:rsid w:val="00DF42A0"/>
    <w:rsid w:val="00E27B94"/>
    <w:rsid w:val="00E71216"/>
    <w:rsid w:val="00E769FE"/>
    <w:rsid w:val="00EA2CBE"/>
    <w:rsid w:val="00EF6490"/>
    <w:rsid w:val="00EF6ED6"/>
    <w:rsid w:val="00F32FEE"/>
    <w:rsid w:val="00F4389A"/>
    <w:rsid w:val="00F6760A"/>
    <w:rsid w:val="00FB10BB"/>
    <w:rsid w:val="00FB5FF1"/>
    <w:rsid w:val="00FC5973"/>
    <w:rsid w:val="11E22975"/>
    <w:rsid w:val="22A66D28"/>
    <w:rsid w:val="2E637604"/>
    <w:rsid w:val="32E54FCE"/>
    <w:rsid w:val="3D472A52"/>
    <w:rsid w:val="72005BAD"/>
    <w:rsid w:val="76C7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9">
    <w:name w:val="Default Paragraph Font"/>
    <w:semiHidden/>
    <w:qFormat/>
    <w:uiPriority w:val="99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basedOn w:val="1"/>
    <w:link w:val="31"/>
    <w:uiPriority w:val="99"/>
    <w:rPr>
      <w:rFonts w:ascii="宋体" w:hAnsi="Courier New" w:cs="Courier New"/>
      <w:szCs w:val="21"/>
    </w:rPr>
  </w:style>
  <w:style w:type="paragraph" w:styleId="12">
    <w:name w:val="Balloon Text"/>
    <w:basedOn w:val="1"/>
    <w:link w:val="32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5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7">
    <w:name w:val="Title"/>
    <w:basedOn w:val="1"/>
    <w:next w:val="1"/>
    <w:link w:val="36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99"/>
    <w:rPr>
      <w:rFonts w:cs="Times New Roman"/>
      <w:b/>
      <w:bCs/>
    </w:rPr>
  </w:style>
  <w:style w:type="character" w:styleId="21">
    <w:name w:val="Emphasis"/>
    <w:basedOn w:val="19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Heading 1 Char"/>
    <w:basedOn w:val="19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Heading 2 Char"/>
    <w:basedOn w:val="19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Heading 3 Char"/>
    <w:basedOn w:val="19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Heading 4 Char"/>
    <w:basedOn w:val="19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Heading 5 Char"/>
    <w:basedOn w:val="19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Heading 6 Char"/>
    <w:basedOn w:val="19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Heading 7 Char"/>
    <w:basedOn w:val="19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Heading 8 Char"/>
    <w:basedOn w:val="19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Heading 9 Char"/>
    <w:basedOn w:val="19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1">
    <w:name w:val="Plain Text Char"/>
    <w:basedOn w:val="19"/>
    <w:link w:val="11"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32">
    <w:name w:val="Balloon Text Char"/>
    <w:basedOn w:val="19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3">
    <w:name w:val="Footer Char"/>
    <w:basedOn w:val="19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Header Char"/>
    <w:basedOn w:val="19"/>
    <w:link w:val="14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5">
    <w:name w:val="Subtitle Char"/>
    <w:basedOn w:val="19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6">
    <w:name w:val="Title Char"/>
    <w:basedOn w:val="19"/>
    <w:link w:val="17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7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8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9">
    <w:name w:val="Quote"/>
    <w:basedOn w:val="1"/>
    <w:next w:val="1"/>
    <w:link w:val="40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40">
    <w:name w:val="Quote Char"/>
    <w:basedOn w:val="19"/>
    <w:link w:val="39"/>
    <w:qFormat/>
    <w:locked/>
    <w:uiPriority w:val="99"/>
    <w:rPr>
      <w:rFonts w:cs="Times New Roman"/>
      <w:i/>
      <w:sz w:val="24"/>
      <w:szCs w:val="24"/>
    </w:rPr>
  </w:style>
  <w:style w:type="paragraph" w:styleId="41">
    <w:name w:val="Intense Quote"/>
    <w:basedOn w:val="1"/>
    <w:next w:val="1"/>
    <w:link w:val="42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2">
    <w:name w:val="Intense Quote Char"/>
    <w:basedOn w:val="19"/>
    <w:link w:val="41"/>
    <w:qFormat/>
    <w:locked/>
    <w:uiPriority w:val="99"/>
    <w:rPr>
      <w:rFonts w:cs="Times New Roman"/>
      <w:b/>
      <w:i/>
      <w:sz w:val="24"/>
    </w:rPr>
  </w:style>
  <w:style w:type="character" w:customStyle="1" w:styleId="43">
    <w:name w:val="不明显强调1"/>
    <w:qFormat/>
    <w:uiPriority w:val="99"/>
    <w:rPr>
      <w:i/>
      <w:color w:val="5A5A5A"/>
    </w:rPr>
  </w:style>
  <w:style w:type="character" w:customStyle="1" w:styleId="44">
    <w:name w:val="明显强调1"/>
    <w:basedOn w:val="19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5">
    <w:name w:val="不明显参考1"/>
    <w:basedOn w:val="19"/>
    <w:qFormat/>
    <w:uiPriority w:val="99"/>
    <w:rPr>
      <w:rFonts w:cs="Times New Roman"/>
      <w:sz w:val="24"/>
      <w:szCs w:val="24"/>
      <w:u w:val="single"/>
    </w:rPr>
  </w:style>
  <w:style w:type="character" w:customStyle="1" w:styleId="46">
    <w:name w:val="明显参考1"/>
    <w:basedOn w:val="19"/>
    <w:qFormat/>
    <w:uiPriority w:val="99"/>
    <w:rPr>
      <w:rFonts w:cs="Times New Roman"/>
      <w:b/>
      <w:sz w:val="24"/>
      <w:u w:val="single"/>
    </w:rPr>
  </w:style>
  <w:style w:type="character" w:customStyle="1" w:styleId="47">
    <w:name w:val="书籍标题1"/>
    <w:basedOn w:val="19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8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  <w:style w:type="character" w:customStyle="1" w:styleId="49">
    <w:name w:val="font31"/>
    <w:basedOn w:val="19"/>
    <w:uiPriority w:val="99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5</Pages>
  <Words>294</Words>
  <Characters>1678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2021-07-12T15:23:38Z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