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hint="eastAsia" w:ascii="仿宋_GB2312" w:hAnsi="仿宋_GB2312" w:eastAsia="仿宋_GB2312" w:cs="仿宋_GB2312"/>
          <w:sz w:val="32"/>
          <w:szCs w:val="32"/>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手术室泌尿外科设备及医疗服务能力</w:t>
      </w:r>
    </w:p>
    <w:p>
      <w:pPr>
        <w:spacing w:line="700" w:lineRule="exact"/>
        <w:ind w:left="2554" w:leftChars="1216" w:firstLine="640" w:firstLineChars="200"/>
        <w:jc w:val="left"/>
        <w:rPr>
          <w:rFonts w:hAnsi="宋体" w:eastAsia="仿宋_GB2312" w:cs="宋体"/>
          <w:kern w:val="0"/>
          <w:sz w:val="36"/>
          <w:szCs w:val="36"/>
        </w:rPr>
      </w:pPr>
      <w:r>
        <w:rPr>
          <w:rFonts w:hint="eastAsia" w:ascii="仿宋_GB2312" w:hAnsi="仿宋_GB2312" w:eastAsia="仿宋_GB2312" w:cs="仿宋_GB2312"/>
          <w:sz w:val="32"/>
          <w:szCs w:val="32"/>
        </w:rPr>
        <w:t>提升项目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实施单位（公章）：叶城县人民医院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主管部门（公章）：卫生和计生委员会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项目负责人（签章）：唐小娟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 12月25 日</w:t>
      </w:r>
    </w:p>
    <w:p>
      <w:pPr>
        <w:spacing w:line="540" w:lineRule="exact"/>
        <w:jc w:val="center"/>
        <w:rPr>
          <w:rFonts w:hAnsi="宋体" w:eastAsia="仿宋_GB2312" w:cs="宋体"/>
          <w:kern w:val="0"/>
          <w:sz w:val="30"/>
          <w:szCs w:val="30"/>
        </w:rPr>
      </w:pP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（一）项目单位基本情况</w:t>
      </w:r>
    </w:p>
    <w:p>
      <w:pPr>
        <w:adjustRightInd w:val="0"/>
        <w:snapToGrid w:val="0"/>
        <w:spacing w:line="560" w:lineRule="exact"/>
        <w:ind w:firstLine="624" w:firstLineChars="200"/>
        <w:rPr>
          <w:rStyle w:val="18"/>
          <w:rFonts w:ascii="仿宋_GB2312" w:hAnsi="仿宋" w:eastAsia="仿宋_GB2312" w:cs="仿宋"/>
          <w:b w:val="0"/>
          <w:bCs w:val="0"/>
          <w:spacing w:val="-4"/>
          <w:sz w:val="32"/>
          <w:szCs w:val="32"/>
        </w:rPr>
      </w:pPr>
      <w:r>
        <w:rPr>
          <w:rStyle w:val="18"/>
          <w:rFonts w:hint="eastAsia" w:ascii="仿宋_GB2312" w:hAnsi="仿宋" w:eastAsia="仿宋_GB2312" w:cs="仿宋"/>
          <w:b w:val="0"/>
          <w:bCs w:val="0"/>
          <w:spacing w:val="-4"/>
          <w:sz w:val="32"/>
          <w:szCs w:val="32"/>
        </w:rPr>
        <w:t>叶城县人民医院属于事业差额单位，无下属单位。2018年编制人员365人，实有人数359人，离休人员1人，医院根据业务的不断扩大和分院的建成开业，长期聘用人员723人，其中，医护人员656人，安保人员62人，还有5名保洁人员。</w:t>
      </w:r>
    </w:p>
    <w:p>
      <w:pPr>
        <w:adjustRightInd w:val="0"/>
        <w:snapToGrid w:val="0"/>
        <w:spacing w:line="560" w:lineRule="exact"/>
        <w:ind w:firstLine="624" w:firstLineChars="200"/>
        <w:rPr>
          <w:rStyle w:val="18"/>
          <w:rFonts w:ascii="仿宋_GB2312" w:hAnsi="仿宋" w:eastAsia="仿宋_GB2312" w:cs="仿宋"/>
          <w:b w:val="0"/>
          <w:bCs w:val="0"/>
          <w:spacing w:val="-4"/>
          <w:sz w:val="32"/>
          <w:szCs w:val="32"/>
        </w:rPr>
      </w:pPr>
      <w:r>
        <w:rPr>
          <w:rStyle w:val="18"/>
          <w:rFonts w:hint="eastAsia" w:ascii="仿宋_GB2312" w:hAnsi="仿宋" w:eastAsia="仿宋_GB2312" w:cs="仿宋"/>
          <w:b w:val="0"/>
          <w:bCs w:val="0"/>
          <w:spacing w:val="-4"/>
          <w:sz w:val="32"/>
          <w:szCs w:val="32"/>
        </w:rPr>
        <w:t>主要职责：人民医院紧紧围绕患者满意这个目标，突出医院特色，强化专科建设，充分发挥优势，重视人才培训，全面提高职工的整体素质，全面提高医院的核心竞争力，走独具特色的办院之路，实现了医疗工作持续快速发展。我院积极引进培养人才，不发新技术、新项目，形成一支作风硬朗、技术过硬的创作综合救治队伍，挽救了患者的生命，保障了人民的健康。承担区域居民的预防、医疗和保健任务；预防区域群众传染病、职业病和非传染性慢性病；做好宣传教育健康工作；强化医疗救治体系，有效应对各种</w:t>
      </w:r>
      <w:r>
        <w:rPr>
          <w:rStyle w:val="18"/>
          <w:rFonts w:hint="eastAsia" w:ascii="仿宋_GB2312" w:hAnsi="仿宋" w:eastAsia="仿宋_GB2312" w:cs="仿宋"/>
          <w:b w:val="0"/>
          <w:bCs w:val="0"/>
          <w:spacing w:val="-4"/>
          <w:sz w:val="32"/>
          <w:szCs w:val="32"/>
          <w:lang w:eastAsia="zh-CN"/>
        </w:rPr>
        <w:t>突发公共卫生事件</w:t>
      </w:r>
      <w:r>
        <w:rPr>
          <w:rStyle w:val="18"/>
          <w:rFonts w:hint="eastAsia" w:ascii="仿宋_GB2312" w:hAnsi="仿宋" w:eastAsia="仿宋_GB2312" w:cs="仿宋"/>
          <w:b w:val="0"/>
          <w:bCs w:val="0"/>
          <w:spacing w:val="-4"/>
          <w:sz w:val="32"/>
          <w:szCs w:val="32"/>
        </w:rPr>
        <w:t>。</w:t>
      </w:r>
    </w:p>
    <w:p>
      <w:pPr>
        <w:numPr>
          <w:ilvl w:val="0"/>
          <w:numId w:val="1"/>
        </w:num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项目预算绩效目标设定情况</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1、预期目标及阶段性目标</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医疗服务能力提升补助项目资金的使用使医疗设备条件得以改善，药品零差价，病人的满意度得以提高，改善病人看病难看病贵的问题，医疗水平大幅度的提高，规范了医疗行为，提高医疗质量，确保医疗安全，使医院成为集预防、医疗、保健、急救、科研教育于一体的综合性医院并初步建立了突发卫生公共事件应急反应机制。</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2、项目基本性质</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该项目为新增项目，资金来源为专项转移支付。</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3、项目用途和主要内容、涉及范围</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医疗设备条件得以改善，病人的满意度得以提高，改善病人看病难看病贵的问题，医疗水平大幅度的提高，规范了医疗行为，提高医疗质量，确保医疗安全，使医院成为集预防、医疗、保健、急救、科研教育于一体的综合性医院并初步建立了突发卫生公共事件应急反应机制。</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手术病人达29人，药吕零差价受益病人达18535人，非预期再手术减少，术后并发症无，术前平均住院日缩短，手术痛苦小，时间短 ，手术操作较易掌握，患者无需坐长途汽车到喀什就诊，减少患者看病的车费。新购设备我院病人实际增长29例，钬激光穿透力是0.5毫米，不会造成意外的脏器穿孔等严重并发症，经皮肾镜技术是在治疗肾结石及输尿管上端结石方面，与输尿管镜技术及体外冲击波碎石共同成为现代治疗的主要方法。可使91%以上的上肾结石可以免除开放性手术。钬激光损伤小，恢复快，老年高危患者非常适应这种手术，钬激光能量能迅速热化和摧毁神经纤维，减少了局麻手术的不适，生活水平的提高，文化知识的渗透，群众的预防保健意识逐渐增强。</w:t>
      </w:r>
    </w:p>
    <w:p>
      <w:pPr>
        <w:adjustRightInd w:val="0"/>
        <w:snapToGrid w:val="0"/>
        <w:spacing w:line="560" w:lineRule="exact"/>
        <w:ind w:firstLine="624" w:firstLineChars="200"/>
        <w:rPr>
          <w:rStyle w:val="18"/>
          <w:rFonts w:ascii="仿宋_GB2312" w:hAnsi="仿宋" w:eastAsia="仿宋_GB2312" w:cs="仿宋"/>
          <w:b w:val="0"/>
          <w:color w:val="000000" w:themeColor="text1"/>
          <w:spacing w:val="-4"/>
          <w:sz w:val="32"/>
          <w:szCs w:val="32"/>
        </w:rPr>
      </w:pPr>
      <w:r>
        <w:rPr>
          <w:rFonts w:hint="eastAsia" w:ascii="仿宋_GB2312" w:hAnsi="仿宋" w:eastAsia="仿宋_GB2312" w:cs="仿宋"/>
          <w:bCs/>
          <w:spacing w:val="-4"/>
          <w:sz w:val="32"/>
          <w:szCs w:val="32"/>
        </w:rPr>
        <w:t>项目建设有助于提高医院的医疗水平，提升广大人民群众的健康质量，促进医疗环境，医疗服务现代化，垃圾处理生态的“绿色医院”建设。进一步为叶城县经济社会发展服务，给叶城县贫困患者提供便利、优惠的服务，逐步开成急救绿色生命通道主干线的服务功能，完成集医疗急救与快速运转为一体的医疗工作任务。</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（一）项目资金安排落实、总投入等情况分析</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根据喀地财社【2018】68号文件要求，专项安排项目资金180万元，其中：财政资金180万元，其他资金0万元，资金到位180万元；资金到位率100%。</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（二）项目资金实际使用情况分析</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根据喀地财社【2018】68号文件要求，到位资金180万元，本项目实际支付资金180万元，项目资金主要用于支付泌尿外科设备费用120万元及医疗服务能力提升费用60万元。</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（三）项目资金管理情况分析</w:t>
      </w:r>
    </w:p>
    <w:p>
      <w:pPr>
        <w:spacing w:line="560" w:lineRule="exact"/>
        <w:ind w:firstLine="624" w:firstLineChars="200"/>
        <w:rPr>
          <w:rStyle w:val="18"/>
          <w:rFonts w:ascii="黑体" w:hAnsi="黑体" w:eastAsia="黑体"/>
          <w:b w:val="0"/>
          <w:spacing w:val="-4"/>
          <w:sz w:val="32"/>
          <w:szCs w:val="32"/>
        </w:rPr>
      </w:pPr>
      <w:r>
        <w:rPr>
          <w:rFonts w:hint="eastAsia" w:ascii="仿宋_GB2312" w:hAnsi="仿宋" w:eastAsia="仿宋_GB2312" w:cs="仿宋"/>
          <w:bCs/>
          <w:spacing w:val="-4"/>
          <w:sz w:val="32"/>
          <w:szCs w:val="32"/>
        </w:rPr>
        <w:t>本项目支出符合叶城县人民医院财务管理制度，包括会计人员集中核算工作管理制度、财务收支审批制度、财务稽核制度、财务牵制制度、会计主管岗位职责等制度规定，资金的拨付有完整的审批程序和手续，不存在截留、挤占、挪用等情况。</w:t>
      </w:r>
      <w:r>
        <w:rPr>
          <w:rStyle w:val="18"/>
          <w:rFonts w:hint="eastAsia" w:ascii="黑体" w:hAnsi="黑体" w:eastAsia="黑体"/>
          <w:b w:val="0"/>
          <w:spacing w:val="-4"/>
          <w:sz w:val="32"/>
          <w:szCs w:val="32"/>
        </w:rPr>
        <w:t>三、项目组织实施情况</w:t>
      </w:r>
    </w:p>
    <w:p>
      <w:pPr>
        <w:spacing w:line="560" w:lineRule="exact"/>
        <w:ind w:firstLine="627" w:firstLineChars="200"/>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为保证项目质量和成本控制，泌尿外科设备项目进行了公开招投标,由我院负责组织实施。我院委托新疆西北招标有限公司在新疆维吾尔自治区政府网上发布了叶城县人民医院泌尿外科医疗设备采购项目公开招标公告。实施过程均按照本单位制定的管理制度执行。</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项目实施完成后，由本项目相关人员于2018年8月31日完成检查验收，检查验收合格后按合同规定支付款项。</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本项目不存在调整情况。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（二）项目管理情况分析</w:t>
      </w:r>
    </w:p>
    <w:p>
      <w:pPr>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本项目实施过程中，我单位根据《项目算支出管理办法》等，严格遵守相关法律法规和业务管理规定，项目资料齐全并及时归档。叶城县人民医院加强项目财务收支管理，节约财务支出，建立严格财务管理制度。及时解决施工过程中遇到的实际问题，不定期对项目支出进度情况进行督导检查，对检查过程中发现的问题及时督促整改，确保了项目按时保质完成。</w:t>
      </w:r>
    </w:p>
    <w:p>
      <w:pPr>
        <w:spacing w:line="560" w:lineRule="exact"/>
        <w:ind w:firstLine="624" w:firstLineChars="200"/>
        <w:rPr>
          <w:rStyle w:val="18"/>
          <w:rFonts w:ascii="黑体" w:hAnsi="黑体" w:eastAsia="黑体"/>
          <w:sz w:val="32"/>
          <w:szCs w:val="32"/>
        </w:rPr>
      </w:pPr>
      <w:r>
        <w:rPr>
          <w:rStyle w:val="18"/>
          <w:rFonts w:hint="eastAsia" w:ascii="黑体" w:hAnsi="黑体" w:eastAsia="黑体"/>
          <w:b w:val="0"/>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本项目共设置一级指标3个，二级指标7个，三级指标10个，已完成三级指标10个，完成率为100%。此项目自评得分为96分</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1.产出指标完成情况分析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（1）项目完成数量</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购买手术室设备1套，购买泌尿科设备1套，截至2018年绩效自评时,该项目年度设定的预期目标全部完成,完成率为100%。</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（2）项目完成质量</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医疗设备质量验收合格率达到98%，我单位严格规范项目资执行情况，高质量完成项目建设，完成率为100%。</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（3）项目实施进度</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资金拨付及时率100%，本单位严格把控资金与项目实施进度相统一的原则,项目完成进度良好,当年完成率为100%。</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（4）项目成本节约情况</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泌尿外科设备成本120万元，医疗服务能力提升成本60万元，我单位在执行该类项目时,严格控制成本在预算之内,坚决杜绝资金浪费现象的产生,效益良好。</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2.效益指标完成情况分析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（1）项目实施的经济效益分析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通过开展该项目，医疗设备项目增加受益手术病人29例，医疗设备项目增加医疗收入15万元。</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（2）项目实施的社会效益分析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无</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（3）项目实施的生态效益分析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无</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医疗设备持续使用时限10年。</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3.满意度指标完成情况分析</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按计划完成项目实施，已做满意度调查问卷，患病病人满意度达98%,服务对象满意度指标完成。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2018年本项目绩效目标全部达成，不存在未完成原因分析。</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adjustRightInd w:val="0"/>
        <w:snapToGrid w:val="0"/>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在今后的医疗服务工作中，我院将不断提高工作人员业务水平和职业道德，注重人才建设和各项设施配套，加强对管理人员和工作人员的专业技能、专业知识培训，激励工作人员大胆创新，不断提高工作质量，更好满足广大患者的需求。</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firstLine="640" w:firstLineChars="200"/>
        <w:rPr>
          <w:rFonts w:ascii="仿宋_GB2312" w:hAnsi="仿宋" w:eastAsia="仿宋_GB2312" w:cs="仿宋"/>
          <w:bCs/>
          <w:spacing w:val="-4"/>
          <w:sz w:val="32"/>
          <w:szCs w:val="32"/>
        </w:rPr>
      </w:pPr>
      <w:r>
        <w:rPr>
          <w:rFonts w:hint="eastAsia" w:ascii="仿宋_GB2312" w:hAnsi="仿宋" w:eastAsia="仿宋_GB2312" w:cs="仿宋"/>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r>
        <w:rPr>
          <w:rFonts w:hint="eastAsia" w:ascii="仿宋_GB2312" w:hAnsi="仿宋" w:eastAsia="仿宋_GB2312" w:cs="仿宋"/>
          <w:bCs/>
          <w:spacing w:val="-4"/>
          <w:sz w:val="32"/>
          <w:szCs w:val="32"/>
        </w:rPr>
        <w:t>设备项目建设涉及发改、财政、卫生、援疆办等多个部门，通过强有力的组织领导和统一、高效、科学、务实的管理机构和运行机制。负责全面协调项目实施过程中的各项工作，保证项目的顺利实施。</w:t>
      </w:r>
    </w:p>
    <w:p>
      <w:pPr>
        <w:adjustRightInd w:val="0"/>
        <w:snapToGrid w:val="0"/>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无其他说明内容</w:t>
      </w:r>
    </w:p>
    <w:p>
      <w:pPr>
        <w:adjustRightInd w:val="0"/>
        <w:snapToGrid w:val="0"/>
        <w:spacing w:line="560" w:lineRule="exact"/>
        <w:ind w:firstLine="627" w:firstLineChars="200"/>
        <w:rPr>
          <w:rStyle w:val="18"/>
          <w:rFonts w:ascii="黑体" w:hAnsi="黑体" w:eastAsia="黑体"/>
          <w:b w:val="0"/>
          <w:spacing w:val="-4"/>
          <w:sz w:val="32"/>
          <w:szCs w:val="32"/>
        </w:rPr>
      </w:pPr>
      <w:r>
        <w:rPr>
          <w:rStyle w:val="18"/>
          <w:rFonts w:hint="eastAsia" w:ascii="黑体" w:hAnsi="黑体" w:eastAsia="黑体"/>
          <w:spacing w:val="-4"/>
          <w:sz w:val="32"/>
          <w:szCs w:val="32"/>
        </w:rPr>
        <w:t>六、项目评价工作情况</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本次评价通过文件研读、实地调研、数据分析等方式，全面了解手术室泌尿外科设备及医疗服务能力提升项目</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资金的使用效率和效果，项目管理过程是否规范，是否完成了预期绩效目标等。同时，通过开展自我评价来总结经验和教训，为手术室泌尿外科设备及医疗服务能力提升项目今后的开展提供参考建议。</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624" w:firstLineChars="200"/>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《项目支出绩效目标自评表》</w:t>
      </w: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BEC4A"/>
    <w:multiLevelType w:val="singleLevel"/>
    <w:tmpl w:val="52FBEC4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071FA9"/>
    <w:rsid w:val="00091A57"/>
    <w:rsid w:val="00121AE4"/>
    <w:rsid w:val="00146AAD"/>
    <w:rsid w:val="00170923"/>
    <w:rsid w:val="0017248A"/>
    <w:rsid w:val="001B3A40"/>
    <w:rsid w:val="001E0096"/>
    <w:rsid w:val="001E4D63"/>
    <w:rsid w:val="001F1F38"/>
    <w:rsid w:val="002466D8"/>
    <w:rsid w:val="0025764A"/>
    <w:rsid w:val="00264C4C"/>
    <w:rsid w:val="00330972"/>
    <w:rsid w:val="003C2F14"/>
    <w:rsid w:val="003D3224"/>
    <w:rsid w:val="00425E5A"/>
    <w:rsid w:val="004366A8"/>
    <w:rsid w:val="004743CC"/>
    <w:rsid w:val="004B08DD"/>
    <w:rsid w:val="004C0FF2"/>
    <w:rsid w:val="004C1D68"/>
    <w:rsid w:val="004F384B"/>
    <w:rsid w:val="004F3FDB"/>
    <w:rsid w:val="00502BA7"/>
    <w:rsid w:val="005162F1"/>
    <w:rsid w:val="00522DE0"/>
    <w:rsid w:val="00535153"/>
    <w:rsid w:val="00541A70"/>
    <w:rsid w:val="00554F82"/>
    <w:rsid w:val="0056390D"/>
    <w:rsid w:val="0056630B"/>
    <w:rsid w:val="005719B0"/>
    <w:rsid w:val="005922A4"/>
    <w:rsid w:val="005A0DC7"/>
    <w:rsid w:val="005A506A"/>
    <w:rsid w:val="005D10D6"/>
    <w:rsid w:val="005E0FC4"/>
    <w:rsid w:val="0061320B"/>
    <w:rsid w:val="0063754F"/>
    <w:rsid w:val="006461EF"/>
    <w:rsid w:val="006F3A61"/>
    <w:rsid w:val="00720F4F"/>
    <w:rsid w:val="00776E12"/>
    <w:rsid w:val="007B06EA"/>
    <w:rsid w:val="00801872"/>
    <w:rsid w:val="0084726B"/>
    <w:rsid w:val="00853B2B"/>
    <w:rsid w:val="00855E3A"/>
    <w:rsid w:val="0088321A"/>
    <w:rsid w:val="00891622"/>
    <w:rsid w:val="00912C76"/>
    <w:rsid w:val="00922CB9"/>
    <w:rsid w:val="009676DF"/>
    <w:rsid w:val="00974962"/>
    <w:rsid w:val="00995A0D"/>
    <w:rsid w:val="00997980"/>
    <w:rsid w:val="009E5CD9"/>
    <w:rsid w:val="00A26421"/>
    <w:rsid w:val="00A36F8D"/>
    <w:rsid w:val="00A4293B"/>
    <w:rsid w:val="00A67D50"/>
    <w:rsid w:val="00A8691A"/>
    <w:rsid w:val="00A86E9A"/>
    <w:rsid w:val="00AA5716"/>
    <w:rsid w:val="00AC1946"/>
    <w:rsid w:val="00AE6A26"/>
    <w:rsid w:val="00B35D4C"/>
    <w:rsid w:val="00B40063"/>
    <w:rsid w:val="00B41F61"/>
    <w:rsid w:val="00BA46E6"/>
    <w:rsid w:val="00BC49FE"/>
    <w:rsid w:val="00BD3362"/>
    <w:rsid w:val="00C17923"/>
    <w:rsid w:val="00C52794"/>
    <w:rsid w:val="00C56C72"/>
    <w:rsid w:val="00C84F9F"/>
    <w:rsid w:val="00CA6457"/>
    <w:rsid w:val="00CC7D43"/>
    <w:rsid w:val="00CE23AC"/>
    <w:rsid w:val="00D17F2E"/>
    <w:rsid w:val="00D30354"/>
    <w:rsid w:val="00D47690"/>
    <w:rsid w:val="00D65402"/>
    <w:rsid w:val="00D71F48"/>
    <w:rsid w:val="00D84F85"/>
    <w:rsid w:val="00D86E87"/>
    <w:rsid w:val="00DF42A0"/>
    <w:rsid w:val="00E452B1"/>
    <w:rsid w:val="00E60EBC"/>
    <w:rsid w:val="00E769FE"/>
    <w:rsid w:val="00EA2CBE"/>
    <w:rsid w:val="00EB7DC9"/>
    <w:rsid w:val="00EE0F31"/>
    <w:rsid w:val="00EF52FD"/>
    <w:rsid w:val="00F07B0C"/>
    <w:rsid w:val="00F32FEE"/>
    <w:rsid w:val="00F37CFA"/>
    <w:rsid w:val="00F53FCE"/>
    <w:rsid w:val="00F92ED2"/>
    <w:rsid w:val="00FB10BB"/>
    <w:rsid w:val="00FB6BAE"/>
    <w:rsid w:val="04065631"/>
    <w:rsid w:val="12BF6B10"/>
    <w:rsid w:val="16B81BFE"/>
    <w:rsid w:val="19914296"/>
    <w:rsid w:val="230F3DCB"/>
    <w:rsid w:val="25207789"/>
    <w:rsid w:val="3BEC2C90"/>
    <w:rsid w:val="41F62F22"/>
    <w:rsid w:val="42EF377A"/>
    <w:rsid w:val="4C70271C"/>
    <w:rsid w:val="51B36F0E"/>
    <w:rsid w:val="51E37B1A"/>
    <w:rsid w:val="52F44781"/>
    <w:rsid w:val="548C6578"/>
    <w:rsid w:val="5B7764A0"/>
    <w:rsid w:val="5F905D6C"/>
    <w:rsid w:val="681037B9"/>
    <w:rsid w:val="70436CB4"/>
    <w:rsid w:val="73A92E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font01"/>
    <w:basedOn w:val="1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469</Words>
  <Characters>2674</Characters>
  <Lines>22</Lines>
  <Paragraphs>6</Paragraphs>
  <TotalTime>0</TotalTime>
  <ScaleCrop>false</ScaleCrop>
  <LinksUpToDate>false</LinksUpToDate>
  <CharactersWithSpaces>3137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2025-02-12T10:16:20Z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