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hint="eastAsia" w:ascii="仿宋_GB2312" w:eastAsia="仿宋_GB2312" w:cs="仿宋_GB2312"/>
          <w:sz w:val="32"/>
          <w:szCs w:val="32"/>
        </w:rPr>
      </w:pPr>
      <w:r>
        <w:rPr>
          <w:rFonts w:hint="eastAsia" w:hAnsi="宋体" w:eastAsia="仿宋_GB2312" w:cs="宋体"/>
          <w:kern w:val="0"/>
          <w:sz w:val="36"/>
          <w:szCs w:val="36"/>
        </w:rPr>
        <w:t>项目名称：</w:t>
      </w:r>
      <w:r>
        <w:rPr>
          <w:rFonts w:hint="eastAsia" w:ascii="仿宋_GB2312" w:eastAsia="仿宋_GB2312" w:cs="仿宋_GB2312"/>
          <w:sz w:val="32"/>
          <w:szCs w:val="32"/>
        </w:rPr>
        <w:t>社保经办机构项目</w:t>
      </w:r>
    </w:p>
    <w:p>
      <w:pPr>
        <w:spacing w:line="700" w:lineRule="exact"/>
        <w:ind w:firstLine="720" w:firstLineChars="20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实施单位（公章）：叶城县劳动就业保险管理局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主管部门（公章）：叶城县劳动就业保险管理局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项目负责人（签章）：张江全</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8年</w:t>
      </w:r>
      <w:r>
        <w:rPr>
          <w:rFonts w:hAnsi="宋体" w:eastAsia="仿宋_GB2312" w:cs="宋体"/>
          <w:kern w:val="0"/>
          <w:sz w:val="36"/>
          <w:szCs w:val="36"/>
        </w:rPr>
        <w:t xml:space="preserve">  1 </w:t>
      </w:r>
      <w:r>
        <w:rPr>
          <w:rFonts w:hint="eastAsia" w:hAnsi="宋体" w:eastAsia="仿宋_GB2312" w:cs="宋体"/>
          <w:kern w:val="0"/>
          <w:sz w:val="36"/>
          <w:szCs w:val="36"/>
        </w:rPr>
        <w:t>月</w:t>
      </w:r>
      <w:r>
        <w:rPr>
          <w:rFonts w:hAnsi="宋体" w:eastAsia="仿宋_GB2312" w:cs="宋体"/>
          <w:kern w:val="0"/>
          <w:sz w:val="36"/>
          <w:szCs w:val="36"/>
        </w:rPr>
        <w:t xml:space="preserve"> 20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一、项目概况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叶城县劳动就业保险管理局为行政单位，内设机构为六个，即：行政办公室、基金征缴股、医疗保险股、待遇支付股、基金财务、统计股和城乡居民社会养老保险办公室。叶城县劳动就业保险管理2018年末人员编制39名，其中：行政编制0名，工勤编制0名；事业编制39名。2018年末实有人员数34名事业人员。</w:t>
      </w:r>
    </w:p>
    <w:p>
      <w:pPr>
        <w:pStyle w:val="15"/>
        <w:shd w:val="clear" w:color="auto" w:fill="FFFFFF"/>
        <w:spacing w:before="0" w:beforeAutospacing="0" w:after="0" w:line="560" w:lineRule="exact"/>
        <w:ind w:firstLine="640" w:firstLineChars="200"/>
        <w:jc w:val="both"/>
        <w:rPr>
          <w:rFonts w:hint="eastAsia" w:ascii="仿宋_GB2312" w:hAnsi="仿宋" w:eastAsia="仿宋_GB2312" w:cs="仿宋"/>
          <w:kern w:val="2"/>
          <w:sz w:val="32"/>
          <w:szCs w:val="32"/>
        </w:rPr>
      </w:pPr>
      <w:r>
        <w:rPr>
          <w:rFonts w:hint="eastAsia" w:ascii="仿宋_GB2312" w:hAnsi="仿宋" w:eastAsia="仿宋_GB2312" w:cs="仿宋"/>
          <w:kern w:val="2"/>
          <w:sz w:val="32"/>
          <w:szCs w:val="32"/>
        </w:rPr>
        <w:t>作为叶城县人民政府职能部门，该局负责经办叶城县范围内养老保险、医疗保险、失业保险、工伤保险、生育保险五大社会保险及其配套险种有关业务，并履行《社会保险法》等法律法规赋予的行政职能。</w:t>
      </w:r>
    </w:p>
    <w:p>
      <w:pPr>
        <w:spacing w:line="560" w:lineRule="exact"/>
        <w:ind w:firstLine="627" w:firstLineChars="200"/>
        <w:rPr>
          <w:rFonts w:hint="eastAsia" w:ascii="仿宋_GB2312" w:hAnsi="仿宋" w:eastAsia="仿宋_GB2312" w:cs="仿宋"/>
          <w:sz w:val="32"/>
          <w:szCs w:val="32"/>
        </w:rPr>
      </w:pPr>
      <w:r>
        <w:rPr>
          <w:rStyle w:val="19"/>
          <w:rFonts w:hint="eastAsia" w:ascii="仿宋_GB2312" w:hAnsi="楷体" w:eastAsia="仿宋_GB2312"/>
          <w:spacing w:val="-4"/>
          <w:sz w:val="32"/>
          <w:szCs w:val="32"/>
        </w:rPr>
        <w:t>（二）项目预算绩效目标设定情况</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1、预期目标及阶段性目标</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为确保社保部门按时收缴社保缴纳，保障部门工作的正常开展，有效履行职责提供坚强可靠的物质保障。医疗养老保险参保人次数72.94万人，人均平均支出费用0.19元/人。</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2、项目基本性质</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该项目为新增项目，资金来源为专项转移支付。</w:t>
      </w:r>
    </w:p>
    <w:p>
      <w:pPr>
        <w:numPr>
          <w:ilvl w:val="0"/>
          <w:numId w:val="1"/>
        </w:num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项目用途和主要内容、涉及范围</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2018年完成72.49万人次的医疗保险和养老保险的缴费，社会保险经办机构工作经费、全民参保登记计划实施费用于解决医疗养老工作的工作量及人员不足购买服务及办公经费，以便更好的完成各项工作。</w:t>
      </w:r>
    </w:p>
    <w:p>
      <w:pPr>
        <w:spacing w:line="560" w:lineRule="exact"/>
        <w:ind w:firstLine="627" w:firstLineChars="200"/>
        <w:rPr>
          <w:rStyle w:val="19"/>
          <w:rFonts w:hint="eastAsia" w:ascii="仿宋_GB2312" w:hAnsi="黑体" w:eastAsia="仿宋_GB2312"/>
          <w:b w:val="0"/>
          <w:spacing w:val="-4"/>
          <w:sz w:val="32"/>
          <w:szCs w:val="32"/>
        </w:rPr>
      </w:pPr>
      <w:r>
        <w:rPr>
          <w:rStyle w:val="19"/>
          <w:rFonts w:hint="eastAsia" w:ascii="仿宋_GB2312" w:hAnsi="黑体" w:eastAsia="仿宋_GB2312"/>
          <w:spacing w:val="-4"/>
          <w:sz w:val="32"/>
          <w:szCs w:val="32"/>
        </w:rPr>
        <w:t>二、项目资金使用及管理情况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640" w:firstLineChars="200"/>
        <w:rPr>
          <w:rFonts w:hint="eastAsia" w:ascii="仿宋_GB2312" w:hAnsi="仿宋" w:eastAsia="仿宋_GB2312" w:cs="仿宋"/>
          <w:b/>
          <w:bCs/>
          <w:sz w:val="32"/>
          <w:szCs w:val="32"/>
        </w:rPr>
      </w:pPr>
      <w:r>
        <w:rPr>
          <w:rFonts w:hint="eastAsia" w:ascii="仿宋_GB2312" w:hAnsi="仿宋" w:eastAsia="仿宋_GB2312" w:cs="仿宋"/>
          <w:sz w:val="32"/>
          <w:szCs w:val="32"/>
        </w:rPr>
        <w:t>根据喀地财社【2018】46.47.69号文件要求，预算安排项目资金13.95万元，其中：财政资金13.95万元，其他资金0万元，资金到位13.95万元；资金到位率100%。</w:t>
      </w:r>
    </w:p>
    <w:p>
      <w:pPr>
        <w:spacing w:line="560" w:lineRule="exact"/>
        <w:ind w:firstLine="627" w:firstLineChars="200"/>
        <w:rPr>
          <w:rStyle w:val="19"/>
          <w:rFonts w:hint="eastAsia" w:ascii="仿宋_GB2312" w:hAnsi="楷体" w:eastAsia="仿宋_GB2312"/>
          <w:color w:val="0000FF"/>
          <w:spacing w:val="-4"/>
          <w:sz w:val="32"/>
          <w:szCs w:val="32"/>
        </w:rPr>
      </w:pPr>
      <w:r>
        <w:rPr>
          <w:rStyle w:val="19"/>
          <w:rFonts w:hint="eastAsia" w:ascii="仿宋_GB2312" w:hAnsi="楷体" w:eastAsia="仿宋_GB2312"/>
          <w:spacing w:val="-4"/>
          <w:sz w:val="32"/>
          <w:szCs w:val="32"/>
        </w:rPr>
        <w:t>（二）项目资金实际使用情况分析</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按照喀地财社【2018】46.47.69号文件要求，下达社会保险经办机构工作经费13.95万元，到位资金13.95万元，本项目实际支付资金13.95万元，预算执行率100%。项目资金主要用于支付聘用18名代办人员，医疗及养老工作完成72.49万人的征缴任务；用于解决养老和医疗保险扩面征缴72.49万人次的纸张、网络等办公经费共计13.95万元。</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根据项目资金管理办法的要求，叶城县卫生局严格按照项目资金规定的专项资金支持的项目条件和范围要求，严格按照有关规定使用管理项目资金。</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该项目资金由社保局上报资金拨付报告经县领导审批后从财政国库中将资金拨付至社保局基本户中，再由社保局按需求支出，由经办人员、财务人员审核局领导签字后予以拨付。资金的支付有完整的审批程序和手续符合制度要求；不存在截留、挤占、挪用、虚列支出等情况。</w:t>
      </w:r>
    </w:p>
    <w:p>
      <w:pPr>
        <w:spacing w:line="560" w:lineRule="exact"/>
        <w:ind w:firstLine="627" w:firstLineChars="200"/>
        <w:rPr>
          <w:rStyle w:val="19"/>
          <w:rFonts w:hint="eastAsia" w:ascii="仿宋_GB2312" w:hAnsi="黑体" w:eastAsia="仿宋_GB2312"/>
          <w:b w:val="0"/>
          <w:spacing w:val="-4"/>
          <w:sz w:val="32"/>
          <w:szCs w:val="32"/>
        </w:rPr>
      </w:pPr>
      <w:r>
        <w:rPr>
          <w:rStyle w:val="19"/>
          <w:rFonts w:hint="eastAsia" w:ascii="仿宋_GB2312" w:hAnsi="黑体" w:eastAsia="仿宋_GB2312"/>
          <w:spacing w:val="-4"/>
          <w:sz w:val="32"/>
          <w:szCs w:val="32"/>
        </w:rPr>
        <w:t>三、项目组织实施情况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为保证项目质量和成本控制，为保质保量完成提供了强有力的技术支撑，有效地推进了项目工作。</w:t>
      </w:r>
    </w:p>
    <w:p>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本项目不存在调整情况。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项目实施过程中，项目的实施遵守相关法律法规和业务管理规定，项目资料齐全并及时归档。不定期对项目进度情况进行督导检查，对检查过程中发现的问题及时督促整改，确保了项目按时保质完成。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27" w:firstLineChars="200"/>
        <w:rPr>
          <w:rStyle w:val="19"/>
          <w:rFonts w:hint="eastAsia" w:ascii="仿宋_GB2312" w:hAnsi="黑体" w:eastAsia="仿宋_GB2312"/>
          <w:sz w:val="32"/>
          <w:szCs w:val="32"/>
        </w:rPr>
      </w:pPr>
      <w:r>
        <w:rPr>
          <w:rStyle w:val="19"/>
          <w:rFonts w:hint="eastAsia" w:ascii="仿宋_GB2312" w:hAnsi="黑体" w:eastAsia="仿宋_GB2312"/>
          <w:spacing w:val="-4"/>
          <w:sz w:val="32"/>
          <w:szCs w:val="32"/>
        </w:rPr>
        <w:t>四、项目绩效情况</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本项目共设置一级指标3个，二级指标7个，三级指标8个，其中已完成三级指标8个，指标完成率为100%。根据年初设定的绩效目标，此项目自评得分为91分。</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1.产出指标完成情况分析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（1）项目完成数量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医疗养老参保人数72.94万人，截至2018年绩效自评时,该项目年度设定的预期目标全部完成,完成率为100%。</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（2）项目完成质量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医疗、养老参保率超过95%，资金保障率100%，我单位严格规范项目资执行情况，高质量完成项目建设，完成率为100%。</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（3）项目实施进度</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社保缴纳及时率1年，本单位严格把控资金与项目实施进度相统一的原则,项目完成进度良好,当年完成率为100%。</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（4）项目成本节约情况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人均平均支出费用0.19元/人，我单位在执行该类项目时,严格控制成本在预算之内,坚决杜绝资金浪费现象的产生，完成率为100%。</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2.效益指标完成情况分析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（1）项目实施的经济效益分析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（2）项目实施的社会效益分析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该项目的实施保障缴费人员各项工作顺利开展超过95%，完成值达到100%，完成率100%。</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（3）项目实施的生态效益分析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（4）项目实施的可持续影响分析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参保时限1年。</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3.满意度指标完成情况分析</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按计划完成项目实施，已做满意度调查问卷，参保人员满意度超过95%,服务对象满意度指标完成。</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2018年本项目绩效目标全部达成，不存在未完成原因分析。</w:t>
      </w:r>
    </w:p>
    <w:p>
      <w:pPr>
        <w:spacing w:line="560" w:lineRule="exact"/>
        <w:ind w:firstLine="627" w:firstLineChars="200"/>
        <w:rPr>
          <w:rStyle w:val="19"/>
          <w:rFonts w:hint="eastAsia" w:ascii="仿宋_GB2312" w:hAnsi="黑体" w:eastAsia="仿宋_GB2312"/>
          <w:b w:val="0"/>
          <w:spacing w:val="-4"/>
          <w:sz w:val="32"/>
          <w:szCs w:val="32"/>
        </w:rPr>
      </w:pPr>
      <w:r>
        <w:rPr>
          <w:rStyle w:val="19"/>
          <w:rFonts w:hint="eastAsia" w:ascii="仿宋_GB2312" w:hAnsi="黑体" w:eastAsia="仿宋_GB2312"/>
          <w:spacing w:val="-4"/>
          <w:sz w:val="32"/>
          <w:szCs w:val="32"/>
        </w:rPr>
        <w:t>五、其他需要说明的问题</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utoSpaceDN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为确保社保部门按时收缴社保缴纳，保障部门工作的正常开展，有效履行职责、提供坚强可靠的物质保障，实现应保尽保，方便参保，防止因未参保造成广大人民群众看不了病，看不起病，领不到养老保险费。</w:t>
      </w:r>
    </w:p>
    <w:p>
      <w:pPr>
        <w:autoSpaceDN w:val="0"/>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 w:eastAsia="仿宋_GB2312" w:cs="仿宋"/>
          <w:bCs/>
          <w:sz w:val="32"/>
          <w:szCs w:val="32"/>
        </w:rPr>
        <w:t>资金的</w:t>
      </w:r>
      <w:r>
        <w:rPr>
          <w:rFonts w:hint="eastAsia" w:ascii="仿宋_GB2312" w:hAnsi="仿宋" w:eastAsia="仿宋_GB2312" w:cs="仿宋"/>
          <w:sz w:val="32"/>
          <w:szCs w:val="32"/>
        </w:rPr>
        <w:t>使用按照政策标准，专款专用</w:t>
      </w:r>
      <w:r>
        <w:rPr>
          <w:rFonts w:hint="eastAsia" w:ascii="仿宋_GB2312" w:hAnsi="仿宋" w:eastAsia="仿宋_GB2312" w:cs="仿宋"/>
          <w:color w:val="4E4C4C"/>
          <w:kern w:val="0"/>
          <w:sz w:val="32"/>
          <w:szCs w:val="32"/>
        </w:rPr>
        <w:t>，做到政务公开，执行“阳光操作”，保证各项工作公开透明。</w:t>
      </w:r>
      <w:r>
        <w:rPr>
          <w:rFonts w:hint="eastAsia" w:ascii="仿宋_GB2312" w:hAnsi="仿宋" w:eastAsia="仿宋_GB2312" w:cs="仿宋"/>
          <w:sz w:val="32"/>
          <w:szCs w:val="32"/>
        </w:rPr>
        <w:t>项目开展的程序还需进一步规范；项目档案资料需进一步完善；项目实施成效还需加强。需在年初做好资金计划，按照项目进度及时拨付资金，使资金使用效益最大化，减少不必要的浪费，节约成本。</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27" w:firstLineChars="200"/>
        <w:rPr>
          <w:rStyle w:val="19"/>
          <w:rFonts w:hint="eastAsia" w:ascii="仿宋_GB2312" w:hAnsi="黑体" w:eastAsia="仿宋_GB2312"/>
          <w:b w:val="0"/>
          <w:spacing w:val="-4"/>
          <w:sz w:val="32"/>
          <w:szCs w:val="32"/>
        </w:rPr>
      </w:pPr>
      <w:r>
        <w:rPr>
          <w:rStyle w:val="19"/>
          <w:rFonts w:hint="eastAsia" w:ascii="仿宋_GB2312" w:hAnsi="黑体" w:eastAsia="仿宋_GB2312"/>
          <w:spacing w:val="-4"/>
          <w:sz w:val="32"/>
          <w:szCs w:val="32"/>
        </w:rPr>
        <w:t>六、项目评价工作情况</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本次评价通过文件研读、实地调研、数据分析等方式，全面了解社会保险经办机构工作经费项目资金的使用效率和效果，项目管理过程是否规范，是否完成了预期绩效目标等。同时，通过开展自我评价来总结经验和教训，为社会保险经办机构工作经费项目今后的开展提供参考建议。</w:t>
      </w:r>
    </w:p>
    <w:p>
      <w:pPr>
        <w:spacing w:line="560" w:lineRule="exact"/>
        <w:ind w:firstLine="627" w:firstLineChars="200"/>
        <w:rPr>
          <w:rStyle w:val="19"/>
          <w:rFonts w:hint="eastAsia" w:ascii="仿宋_GB2312" w:hAnsi="黑体" w:eastAsia="仿宋_GB2312"/>
          <w:b w:val="0"/>
          <w:spacing w:val="-4"/>
          <w:sz w:val="32"/>
          <w:szCs w:val="32"/>
        </w:rPr>
      </w:pPr>
      <w:r>
        <w:rPr>
          <w:rStyle w:val="19"/>
          <w:rFonts w:hint="eastAsia" w:ascii="仿宋_GB2312" w:hAnsi="黑体" w:eastAsia="仿宋_GB2312"/>
          <w:spacing w:val="-4"/>
          <w:sz w:val="32"/>
          <w:szCs w:val="32"/>
        </w:rPr>
        <w:t>七、附表</w:t>
      </w:r>
    </w:p>
    <w:p>
      <w:pPr>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《项目支出绩效自评表》</w:t>
      </w:r>
    </w:p>
    <w:p>
      <w:pPr>
        <w:spacing w:line="360" w:lineRule="auto"/>
        <w:ind w:firstLine="420" w:firstLineChars="200"/>
        <w:rPr>
          <w:rFonts w:ascii="仿宋_GB2312" w:hAnsi="黑体" w:eastAsia="仿宋_GB2312" w:cs="黑体"/>
          <w:bCs/>
          <w:szCs w:val="32"/>
        </w:rPr>
      </w:pPr>
    </w:p>
    <w:p>
      <w:pPr>
        <w:spacing w:line="540" w:lineRule="exact"/>
        <w:ind w:firstLine="567"/>
        <w:rPr>
          <w:rStyle w:val="19"/>
          <w:rFonts w:ascii="仿宋_GB2312" w:hAnsi="仿宋" w:eastAsia="仿宋_GB2312"/>
          <w:b w:val="0"/>
          <w:spacing w:val="-4"/>
          <w:sz w:val="32"/>
          <w:szCs w:val="32"/>
        </w:rPr>
      </w:pP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17C6C6"/>
    <w:multiLevelType w:val="singleLevel"/>
    <w:tmpl w:val="DC17C6C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5A21"/>
    <w:rsid w:val="00030A27"/>
    <w:rsid w:val="000428B8"/>
    <w:rsid w:val="00056465"/>
    <w:rsid w:val="0006063A"/>
    <w:rsid w:val="000659A0"/>
    <w:rsid w:val="0008458B"/>
    <w:rsid w:val="000A525D"/>
    <w:rsid w:val="000B5230"/>
    <w:rsid w:val="000D2650"/>
    <w:rsid w:val="000D4CDC"/>
    <w:rsid w:val="00117CB4"/>
    <w:rsid w:val="00121AE4"/>
    <w:rsid w:val="00146AAD"/>
    <w:rsid w:val="00160231"/>
    <w:rsid w:val="001B1A38"/>
    <w:rsid w:val="001B3A40"/>
    <w:rsid w:val="001C6762"/>
    <w:rsid w:val="00223F03"/>
    <w:rsid w:val="00225D01"/>
    <w:rsid w:val="002631D3"/>
    <w:rsid w:val="00273DF5"/>
    <w:rsid w:val="002867B5"/>
    <w:rsid w:val="002E123B"/>
    <w:rsid w:val="002E541C"/>
    <w:rsid w:val="003469EE"/>
    <w:rsid w:val="00353ED6"/>
    <w:rsid w:val="003560F4"/>
    <w:rsid w:val="003B6585"/>
    <w:rsid w:val="003C03B9"/>
    <w:rsid w:val="003C7333"/>
    <w:rsid w:val="003E35F6"/>
    <w:rsid w:val="003F2801"/>
    <w:rsid w:val="00400A56"/>
    <w:rsid w:val="004025C2"/>
    <w:rsid w:val="004132D8"/>
    <w:rsid w:val="00426DDB"/>
    <w:rsid w:val="004366A8"/>
    <w:rsid w:val="00452816"/>
    <w:rsid w:val="004A5FCF"/>
    <w:rsid w:val="004B6DEF"/>
    <w:rsid w:val="004D18A5"/>
    <w:rsid w:val="004D2B16"/>
    <w:rsid w:val="004E1662"/>
    <w:rsid w:val="00502BA7"/>
    <w:rsid w:val="00510ADE"/>
    <w:rsid w:val="005162F1"/>
    <w:rsid w:val="0052245F"/>
    <w:rsid w:val="00535153"/>
    <w:rsid w:val="00554F82"/>
    <w:rsid w:val="005571A4"/>
    <w:rsid w:val="0056390D"/>
    <w:rsid w:val="005719B0"/>
    <w:rsid w:val="005806DE"/>
    <w:rsid w:val="005838D0"/>
    <w:rsid w:val="005A19D0"/>
    <w:rsid w:val="005D10D6"/>
    <w:rsid w:val="005E4BDF"/>
    <w:rsid w:val="005F5C64"/>
    <w:rsid w:val="00623CD5"/>
    <w:rsid w:val="006273F8"/>
    <w:rsid w:val="00657B74"/>
    <w:rsid w:val="006B28E5"/>
    <w:rsid w:val="00714A03"/>
    <w:rsid w:val="00716F6D"/>
    <w:rsid w:val="00724247"/>
    <w:rsid w:val="007873C4"/>
    <w:rsid w:val="007A0B05"/>
    <w:rsid w:val="007B480A"/>
    <w:rsid w:val="007D5764"/>
    <w:rsid w:val="00806D78"/>
    <w:rsid w:val="00820B73"/>
    <w:rsid w:val="00847BAA"/>
    <w:rsid w:val="00855E3A"/>
    <w:rsid w:val="008874AA"/>
    <w:rsid w:val="008B354E"/>
    <w:rsid w:val="008E7F06"/>
    <w:rsid w:val="008F3734"/>
    <w:rsid w:val="00922CB9"/>
    <w:rsid w:val="009244C3"/>
    <w:rsid w:val="00930509"/>
    <w:rsid w:val="00930ADE"/>
    <w:rsid w:val="009320AA"/>
    <w:rsid w:val="00947172"/>
    <w:rsid w:val="00964D52"/>
    <w:rsid w:val="00985673"/>
    <w:rsid w:val="009B678A"/>
    <w:rsid w:val="009E1272"/>
    <w:rsid w:val="009E2F2C"/>
    <w:rsid w:val="009E5CD9"/>
    <w:rsid w:val="009F2617"/>
    <w:rsid w:val="00A11EC6"/>
    <w:rsid w:val="00A26421"/>
    <w:rsid w:val="00A4293B"/>
    <w:rsid w:val="00A53344"/>
    <w:rsid w:val="00A67D50"/>
    <w:rsid w:val="00A8691A"/>
    <w:rsid w:val="00A955C5"/>
    <w:rsid w:val="00AB150E"/>
    <w:rsid w:val="00AB2123"/>
    <w:rsid w:val="00AC1946"/>
    <w:rsid w:val="00AE4585"/>
    <w:rsid w:val="00AF5DF4"/>
    <w:rsid w:val="00B01CBA"/>
    <w:rsid w:val="00B40063"/>
    <w:rsid w:val="00B41F61"/>
    <w:rsid w:val="00B95DFC"/>
    <w:rsid w:val="00BA377A"/>
    <w:rsid w:val="00BA3BB4"/>
    <w:rsid w:val="00BA46E6"/>
    <w:rsid w:val="00BF6D79"/>
    <w:rsid w:val="00C112E2"/>
    <w:rsid w:val="00C3303A"/>
    <w:rsid w:val="00C34379"/>
    <w:rsid w:val="00C46B0F"/>
    <w:rsid w:val="00C56C72"/>
    <w:rsid w:val="00CA6457"/>
    <w:rsid w:val="00CA7F98"/>
    <w:rsid w:val="00CB47C6"/>
    <w:rsid w:val="00CC1FCD"/>
    <w:rsid w:val="00CC6DF1"/>
    <w:rsid w:val="00CD2ED3"/>
    <w:rsid w:val="00CD3340"/>
    <w:rsid w:val="00CE5225"/>
    <w:rsid w:val="00CE5DF6"/>
    <w:rsid w:val="00D17F2E"/>
    <w:rsid w:val="00D30354"/>
    <w:rsid w:val="00D47A9A"/>
    <w:rsid w:val="00D67623"/>
    <w:rsid w:val="00DF415E"/>
    <w:rsid w:val="00DF42A0"/>
    <w:rsid w:val="00E30481"/>
    <w:rsid w:val="00E6130C"/>
    <w:rsid w:val="00E74076"/>
    <w:rsid w:val="00E769FE"/>
    <w:rsid w:val="00E874B4"/>
    <w:rsid w:val="00EA2CBE"/>
    <w:rsid w:val="00EC7AD0"/>
    <w:rsid w:val="00F24066"/>
    <w:rsid w:val="00F2469B"/>
    <w:rsid w:val="00F31CB8"/>
    <w:rsid w:val="00F32FEE"/>
    <w:rsid w:val="00F629F3"/>
    <w:rsid w:val="00F64134"/>
    <w:rsid w:val="00FB10BB"/>
    <w:rsid w:val="00FB3C27"/>
    <w:rsid w:val="00FE39B5"/>
    <w:rsid w:val="00FE6669"/>
    <w:rsid w:val="00FF4AAA"/>
    <w:rsid w:val="00FF6C8A"/>
    <w:rsid w:val="0D18339B"/>
    <w:rsid w:val="1B850F98"/>
    <w:rsid w:val="23237523"/>
    <w:rsid w:val="28BB04E7"/>
    <w:rsid w:val="49661B63"/>
    <w:rsid w:val="4FAA29BA"/>
    <w:rsid w:val="503B6131"/>
    <w:rsid w:val="553C5FBA"/>
    <w:rsid w:val="633616A8"/>
    <w:rsid w:val="726B2D2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qFormat/>
    <w:uiPriority w:val="99"/>
    <w:rPr>
      <w:sz w:val="18"/>
      <w:szCs w:val="18"/>
    </w:rPr>
  </w:style>
  <w:style w:type="paragraph" w:styleId="12">
    <w:name w:val="footer"/>
    <w:basedOn w:val="1"/>
    <w:link w:val="45"/>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99"/>
    <w:pPr>
      <w:widowControl/>
      <w:spacing w:after="60"/>
      <w:jc w:val="center"/>
      <w:outlineLvl w:val="1"/>
    </w:pPr>
    <w:rPr>
      <w:rFonts w:ascii="Cambria" w:hAnsi="Cambria"/>
      <w:kern w:val="0"/>
      <w:sz w:val="24"/>
    </w:rPr>
  </w:style>
  <w:style w:type="paragraph" w:styleId="15">
    <w:name w:val="Normal (Web)"/>
    <w:basedOn w:val="1"/>
    <w:qFormat/>
    <w:locked/>
    <w:uiPriority w:val="0"/>
    <w:pPr>
      <w:widowControl/>
      <w:spacing w:before="100" w:beforeAutospacing="1" w:after="240"/>
      <w:jc w:val="left"/>
    </w:pPr>
    <w:rPr>
      <w:rFonts w:ascii="宋体" w:hAnsi="宋体" w:cs="宋体"/>
      <w:kern w:val="0"/>
      <w:sz w:val="24"/>
    </w:rPr>
  </w:style>
  <w:style w:type="paragraph" w:styleId="16">
    <w:name w:val="Title"/>
    <w:basedOn w:val="1"/>
    <w:next w:val="1"/>
    <w:link w:val="30"/>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0"/>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标题 Char"/>
    <w:basedOn w:val="18"/>
    <w:link w:val="16"/>
    <w:qFormat/>
    <w:locked/>
    <w:uiPriority w:val="99"/>
    <w:rPr>
      <w:rFonts w:ascii="Cambria" w:hAnsi="Cambria" w:eastAsia="宋体" w:cs="Times New Roman"/>
      <w:b/>
      <w:bCs/>
      <w:kern w:val="28"/>
      <w:sz w:val="32"/>
      <w:szCs w:val="32"/>
    </w:rPr>
  </w:style>
  <w:style w:type="character" w:customStyle="1" w:styleId="31">
    <w:name w:val="副标题 Char"/>
    <w:basedOn w:val="18"/>
    <w:link w:val="14"/>
    <w:qFormat/>
    <w:locked/>
    <w:uiPriority w:val="99"/>
    <w:rPr>
      <w:rFonts w:ascii="Cambria" w:hAnsi="Cambria" w:eastAsia="宋体" w:cs="Times New Roman"/>
      <w:sz w:val="24"/>
      <w:szCs w:val="24"/>
    </w:rPr>
  </w:style>
  <w:style w:type="paragraph" w:styleId="32">
    <w:name w:val="No Spacing"/>
    <w:basedOn w:val="1"/>
    <w:qFormat/>
    <w:uiPriority w:val="99"/>
    <w:pPr>
      <w:widowControl/>
      <w:jc w:val="left"/>
    </w:pPr>
    <w:rPr>
      <w:rFonts w:ascii="Calibri" w:hAnsi="Calibri"/>
      <w:kern w:val="0"/>
      <w:sz w:val="24"/>
      <w:szCs w:val="32"/>
      <w:lang w:eastAsia="en-US"/>
    </w:rPr>
  </w:style>
  <w:style w:type="paragraph" w:styleId="33">
    <w:name w:val="List Paragraph"/>
    <w:basedOn w:val="1"/>
    <w:qFormat/>
    <w:uiPriority w:val="99"/>
    <w:pPr>
      <w:widowControl/>
      <w:ind w:left="720"/>
      <w:contextualSpacing/>
      <w:jc w:val="left"/>
    </w:pPr>
    <w:rPr>
      <w:rFonts w:ascii="Calibri" w:hAnsi="Calibri"/>
      <w:kern w:val="0"/>
      <w:sz w:val="24"/>
      <w:lang w:eastAsia="en-US"/>
    </w:rPr>
  </w:style>
  <w:style w:type="paragraph" w:styleId="34">
    <w:name w:val="Quote"/>
    <w:basedOn w:val="1"/>
    <w:next w:val="1"/>
    <w:link w:val="35"/>
    <w:qFormat/>
    <w:uiPriority w:val="99"/>
    <w:pPr>
      <w:widowControl/>
      <w:jc w:val="left"/>
    </w:pPr>
    <w:rPr>
      <w:rFonts w:ascii="Calibri" w:hAnsi="Calibri"/>
      <w:i/>
      <w:kern w:val="0"/>
      <w:sz w:val="24"/>
    </w:rPr>
  </w:style>
  <w:style w:type="character" w:customStyle="1" w:styleId="35">
    <w:name w:val="引用 Char"/>
    <w:basedOn w:val="18"/>
    <w:link w:val="34"/>
    <w:qFormat/>
    <w:locked/>
    <w:uiPriority w:val="99"/>
    <w:rPr>
      <w:rFonts w:cs="Times New Roman"/>
      <w:i/>
      <w:sz w:val="24"/>
      <w:szCs w:val="24"/>
    </w:rPr>
  </w:style>
  <w:style w:type="paragraph" w:styleId="36">
    <w:name w:val="Intense Quote"/>
    <w:basedOn w:val="1"/>
    <w:next w:val="1"/>
    <w:link w:val="37"/>
    <w:qFormat/>
    <w:uiPriority w:val="99"/>
    <w:pPr>
      <w:widowControl/>
      <w:ind w:left="720" w:right="720"/>
      <w:jc w:val="left"/>
    </w:pPr>
    <w:rPr>
      <w:rFonts w:ascii="Calibri" w:hAnsi="Calibri"/>
      <w:b/>
      <w:i/>
      <w:kern w:val="0"/>
      <w:sz w:val="24"/>
      <w:szCs w:val="22"/>
    </w:rPr>
  </w:style>
  <w:style w:type="character" w:customStyle="1" w:styleId="37">
    <w:name w:val="明显引用 Char"/>
    <w:basedOn w:val="18"/>
    <w:link w:val="36"/>
    <w:qFormat/>
    <w:locked/>
    <w:uiPriority w:val="99"/>
    <w:rPr>
      <w:rFonts w:cs="Times New Roman"/>
      <w:b/>
      <w:i/>
      <w:sz w:val="24"/>
    </w:rPr>
  </w:style>
  <w:style w:type="character" w:customStyle="1" w:styleId="38">
    <w:name w:val="不明显强调1"/>
    <w:basedOn w:val="18"/>
    <w:qFormat/>
    <w:uiPriority w:val="99"/>
    <w:rPr>
      <w:rFonts w:cs="Times New Roman"/>
      <w:i/>
      <w:color w:val="5A5A5A"/>
    </w:rPr>
  </w:style>
  <w:style w:type="character" w:customStyle="1" w:styleId="39">
    <w:name w:val="明显强调1"/>
    <w:basedOn w:val="18"/>
    <w:qFormat/>
    <w:uiPriority w:val="99"/>
    <w:rPr>
      <w:rFonts w:cs="Times New Roman"/>
      <w:b/>
      <w:i/>
      <w:sz w:val="24"/>
      <w:szCs w:val="24"/>
      <w:u w:val="single"/>
    </w:rPr>
  </w:style>
  <w:style w:type="character" w:customStyle="1" w:styleId="40">
    <w:name w:val="不明显参考1"/>
    <w:basedOn w:val="18"/>
    <w:qFormat/>
    <w:uiPriority w:val="99"/>
    <w:rPr>
      <w:rFonts w:cs="Times New Roman"/>
      <w:sz w:val="24"/>
      <w:szCs w:val="24"/>
      <w:u w:val="single"/>
    </w:rPr>
  </w:style>
  <w:style w:type="character" w:customStyle="1" w:styleId="41">
    <w:name w:val="明显参考1"/>
    <w:basedOn w:val="18"/>
    <w:qFormat/>
    <w:uiPriority w:val="99"/>
    <w:rPr>
      <w:rFonts w:cs="Times New Roman"/>
      <w:b/>
      <w:sz w:val="24"/>
      <w:u w:val="single"/>
    </w:rPr>
  </w:style>
  <w:style w:type="character" w:customStyle="1" w:styleId="42">
    <w:name w:val="书籍标题1"/>
    <w:basedOn w:val="18"/>
    <w:qFormat/>
    <w:uiPriority w:val="99"/>
    <w:rPr>
      <w:rFonts w:ascii="Cambria" w:hAnsi="Cambria" w:eastAsia="宋体" w:cs="Times New Roman"/>
      <w:b/>
      <w:i/>
      <w:sz w:val="24"/>
      <w:szCs w:val="24"/>
    </w:rPr>
  </w:style>
  <w:style w:type="paragraph" w:customStyle="1" w:styleId="43">
    <w:name w:val="TOC 标题1"/>
    <w:basedOn w:val="2"/>
    <w:next w:val="1"/>
    <w:qFormat/>
    <w:uiPriority w:val="99"/>
    <w:pPr>
      <w:outlineLvl w:val="9"/>
    </w:pPr>
    <w:rPr>
      <w:lang w:eastAsia="en-US"/>
    </w:rPr>
  </w:style>
  <w:style w:type="character" w:customStyle="1" w:styleId="44">
    <w:name w:val="页眉 Char"/>
    <w:basedOn w:val="18"/>
    <w:link w:val="13"/>
    <w:qFormat/>
    <w:locked/>
    <w:uiPriority w:val="99"/>
    <w:rPr>
      <w:rFonts w:ascii="Calibri" w:hAnsi="Calibri" w:eastAsia="宋体" w:cs="Times New Roman"/>
      <w:kern w:val="2"/>
      <w:sz w:val="18"/>
      <w:szCs w:val="18"/>
    </w:rPr>
  </w:style>
  <w:style w:type="character" w:customStyle="1" w:styleId="45">
    <w:name w:val="页脚 Char"/>
    <w:basedOn w:val="18"/>
    <w:link w:val="12"/>
    <w:qFormat/>
    <w:locked/>
    <w:uiPriority w:val="99"/>
    <w:rPr>
      <w:rFonts w:ascii="Calibri" w:hAnsi="Calibri" w:eastAsia="宋体" w:cs="Times New Roman"/>
      <w:kern w:val="2"/>
      <w:sz w:val="18"/>
      <w:szCs w:val="18"/>
    </w:rPr>
  </w:style>
  <w:style w:type="character" w:customStyle="1" w:styleId="46">
    <w:name w:val="批注框文本 Char"/>
    <w:basedOn w:val="18"/>
    <w:link w:val="11"/>
    <w:semiHidden/>
    <w:qFormat/>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358</Words>
  <Characters>2044</Characters>
  <Lines>17</Lines>
  <Paragraphs>4</Paragraphs>
  <TotalTime>0</TotalTime>
  <ScaleCrop>false</ScaleCrop>
  <LinksUpToDate>false</LinksUpToDate>
  <CharactersWithSpaces>2398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2019-01-23T09:19:00Z</dcterms:created>
  <dc:creator>赵 恺（预算处）</dc:creator>
  <cp:lastModifiedBy>Administrator</cp:lastModifiedBy>
  <cp:lastPrinted>2018-12-31T10:56:00Z</cp:lastPrinted>
  <dcterms:modified xsi:type="dcterms:W3CDTF">2021-07-12T14:59:00Z</dcterms:modified>
  <dc:title>附件2：</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