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优抚医疗资金项目</w:t>
      </w:r>
      <w:bookmarkStart w:id="0" w:name="_GoBack"/>
      <w:bookmarkEnd w:id="0"/>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pStyle w:val="33"/>
        <w:numPr>
          <w:ilvl w:val="0"/>
          <w:numId w:val="1"/>
        </w:numPr>
        <w:spacing w:line="560" w:lineRule="exact"/>
        <w:ind w:left="0" w:firstLine="640" w:firstLineChars="200"/>
        <w:jc w:val="both"/>
        <w:rPr>
          <w:rFonts w:ascii="黑体" w:hAnsi="黑体" w:eastAsia="黑体" w:cs="黑体"/>
          <w:bCs/>
          <w:sz w:val="32"/>
          <w:szCs w:val="32"/>
        </w:rPr>
      </w:pPr>
      <w:r>
        <w:rPr>
          <w:rFonts w:hint="eastAsia" w:ascii="黑体" w:hAnsi="黑体" w:eastAsia="黑体" w:cs="黑体"/>
          <w:bCs/>
          <w:sz w:val="32"/>
          <w:szCs w:val="32"/>
        </w:rPr>
        <w:t>项目概况</w:t>
      </w:r>
    </w:p>
    <w:p>
      <w:pPr>
        <w:spacing w:line="560" w:lineRule="exact"/>
        <w:ind w:firstLine="643" w:firstLineChars="200"/>
        <w:rPr>
          <w:rFonts w:ascii="楷体_GB2312" w:hAnsi="黑体" w:eastAsia="楷体_GB2312" w:cs="黑体"/>
          <w:b/>
          <w:bCs/>
          <w:sz w:val="32"/>
          <w:szCs w:val="32"/>
        </w:rPr>
      </w:pPr>
      <w:r>
        <w:rPr>
          <w:rFonts w:hint="eastAsia" w:ascii="楷体_GB2312" w:hAnsi="黑体" w:eastAsia="楷体_GB2312" w:cs="黑体"/>
          <w:b/>
          <w:bCs/>
          <w:sz w:val="32"/>
          <w:szCs w:val="32"/>
        </w:rPr>
        <w:t>（一）项目单位基本情况</w:t>
      </w:r>
    </w:p>
    <w:p>
      <w:pPr>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560" w:lineRule="exact"/>
        <w:ind w:firstLine="627" w:firstLineChars="20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（二）项目预算绩效目标设定情况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该项目性质为延续性社会补助人员补助类项目</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健全优抚医疗制度，增强在医疗保障体系中托底保障能力，为6级以上残疾军人、在乡复员军人（含红军失散人员）、带病回乡退伍军人等重点优抚对象交纳医保;不断提高医疗水平，减轻重点优抚对象看病就医负担，维护重点优抚对象基本医疗权益。</w:t>
      </w:r>
    </w:p>
    <w:p>
      <w:pPr>
        <w:spacing w:line="560" w:lineRule="exact"/>
        <w:ind w:firstLine="627" w:firstLineChars="200"/>
        <w:rPr>
          <w:rStyle w:val="19"/>
          <w:rFonts w:ascii="仿宋_GB2312" w:hAnsi="黑体" w:eastAsia="仿宋_GB2312"/>
          <w:b w:val="0"/>
          <w:spacing w:val="-4"/>
          <w:sz w:val="32"/>
          <w:szCs w:val="32"/>
        </w:rPr>
      </w:pPr>
      <w:r>
        <w:rPr>
          <w:rStyle w:val="19"/>
          <w:rFonts w:hint="eastAsia" w:ascii="仿宋_GB2312" w:hAnsi="黑体" w:eastAsia="仿宋_GB2312"/>
          <w:spacing w:val="-4"/>
          <w:sz w:val="32"/>
          <w:szCs w:val="32"/>
        </w:rPr>
        <w:t>二、项目资金使用及管理情况</w:t>
      </w:r>
    </w:p>
    <w:p>
      <w:pPr>
        <w:spacing w:line="560" w:lineRule="exact"/>
        <w:ind w:firstLine="643" w:firstLineChars="200"/>
        <w:rPr>
          <w:rFonts w:ascii="仿宋_GB2312" w:hAnsi="新宋体" w:eastAsia="仿宋_GB2312" w:cs="新宋体"/>
          <w:b/>
          <w:sz w:val="32"/>
          <w:szCs w:val="32"/>
        </w:rPr>
      </w:pPr>
      <w:r>
        <w:rPr>
          <w:rFonts w:hint="eastAsia" w:ascii="仿宋_GB2312" w:hAnsi="新宋体" w:eastAsia="仿宋_GB2312" w:cs="新宋体"/>
          <w:b/>
          <w:sz w:val="32"/>
          <w:szCs w:val="32"/>
        </w:rPr>
        <w:t>（一）项目资金安排落实、总投入等情况分析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根据新财社〔2018〕129号、喀地财社［2018］88号文件要求，本项目资金16万元，其中财政资金16万元，其他资金0万元，资金到位16万元；资金到位率100%。</w:t>
      </w:r>
    </w:p>
    <w:p>
      <w:pPr>
        <w:spacing w:line="560" w:lineRule="exact"/>
        <w:ind w:firstLine="643" w:firstLineChars="200"/>
        <w:rPr>
          <w:rFonts w:ascii="仿宋_GB2312" w:hAnsi="新宋体" w:eastAsia="仿宋_GB2312" w:cs="新宋体"/>
          <w:b/>
          <w:bCs/>
          <w:sz w:val="32"/>
          <w:szCs w:val="32"/>
        </w:rPr>
      </w:pPr>
      <w:r>
        <w:rPr>
          <w:rFonts w:hint="eastAsia" w:ascii="仿宋_GB2312" w:hAnsi="新宋体" w:eastAsia="仿宋_GB2312" w:cs="新宋体"/>
          <w:b/>
          <w:bCs/>
          <w:sz w:val="32"/>
          <w:szCs w:val="32"/>
        </w:rPr>
        <w:t>（二）项目资金实际使用情况分析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新财社〔2018〕129号、喀地财社［2018］88号文件关于下达优抚对象医疗补助项目文件，到位资金16万元，本项目实际支付资金16万元，预算执行率100%。项目资金主要用于6级以上残疾军人、在乡复员军人（含红军失散人员）、带病回乡退伍军人等重点优抚对象交纳医保等各项支出16万元，结余 0万元。</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本项目资金严格按照《优抚对象医疗补助项目资金管理办法》、《社会补助资金管理办法》《困难群众补助资金管理办法》和地区财政资金管理制度支付资金；资金支付由本单位分管领导、主管财务领导、财政局等各级部门审批审核；资金的支付有完整的审批程序和手续符合制度要求；不存在截留、挤占、挪用、虚列支出等情况。</w:t>
      </w:r>
    </w:p>
    <w:p>
      <w:pPr>
        <w:spacing w:line="560" w:lineRule="exact"/>
        <w:ind w:firstLine="627" w:firstLineChars="200"/>
        <w:rPr>
          <w:rStyle w:val="19"/>
          <w:rFonts w:ascii="仿宋_GB2312" w:hAnsi="黑体" w:eastAsia="仿宋_GB2312"/>
          <w:b w:val="0"/>
          <w:spacing w:val="-4"/>
          <w:sz w:val="32"/>
          <w:szCs w:val="32"/>
        </w:rPr>
      </w:pPr>
      <w:r>
        <w:rPr>
          <w:rStyle w:val="19"/>
          <w:rFonts w:hint="eastAsia" w:ascii="仿宋_GB2312" w:hAnsi="黑体" w:eastAsia="仿宋_GB2312"/>
          <w:spacing w:val="-4"/>
          <w:sz w:val="32"/>
          <w:szCs w:val="32"/>
        </w:rPr>
        <w:t>三、项目组织实施情况</w:t>
      </w:r>
    </w:p>
    <w:p>
      <w:pPr>
        <w:spacing w:line="560" w:lineRule="exact"/>
        <w:ind w:firstLine="627" w:firstLineChars="20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按照6级以上残疾军人、在乡复员军人（含红军失散人员）、带病回乡退伍军人等重点优抚对象参保资助标准以及重点优抚对象资助标准，制作汇总表，通过张榜的方式向社会公布，接受社会监督，避免资金使用不合理，出现吃空额、虚报虚列现象的发生，提高资金使用效率。汇总表经领导审批后即时发放。</w:t>
      </w:r>
    </w:p>
    <w:p>
      <w:pPr>
        <w:spacing w:line="560" w:lineRule="exact"/>
        <w:ind w:left="181" w:leftChars="86"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本项目不存在调整情况。</w:t>
      </w:r>
    </w:p>
    <w:p>
      <w:pPr>
        <w:spacing w:line="560" w:lineRule="exact"/>
        <w:ind w:firstLine="627" w:firstLineChars="20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spacing w:line="560" w:lineRule="exact"/>
        <w:ind w:left="181" w:leftChars="86"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项目实施过程中，我单位建立了《</w:t>
      </w:r>
      <w:r>
        <w:rPr>
          <w:rFonts w:hint="eastAsia" w:ascii="仿宋_GB2312" w:hAnsi="新宋体" w:eastAsia="仿宋_GB2312" w:cs="新宋体"/>
          <w:sz w:val="32"/>
          <w:szCs w:val="32"/>
        </w:rPr>
        <w:t>优抚对象</w:t>
      </w:r>
      <w:r>
        <w:rPr>
          <w:rFonts w:hint="eastAsia" w:ascii="仿宋_GB2312" w:hAnsi="新宋体" w:eastAsia="仿宋_GB2312" w:cs="新宋体"/>
          <w:bCs/>
          <w:sz w:val="32"/>
          <w:szCs w:val="32"/>
        </w:rPr>
        <w:t>医疗补助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7" w:firstLineChars="200"/>
        <w:rPr>
          <w:rStyle w:val="19"/>
          <w:rFonts w:ascii="仿宋_GB2312" w:hAnsi="黑体" w:eastAsia="仿宋_GB2312"/>
          <w:sz w:val="32"/>
          <w:szCs w:val="32"/>
        </w:rPr>
      </w:pPr>
      <w:r>
        <w:rPr>
          <w:rStyle w:val="19"/>
          <w:rFonts w:hint="eastAsia" w:ascii="仿宋_GB2312" w:hAnsi="黑体" w:eastAsia="仿宋_GB2312"/>
          <w:spacing w:val="-4"/>
          <w:sz w:val="32"/>
          <w:szCs w:val="32"/>
        </w:rPr>
        <w:t>四、项目绩效情况</w:t>
      </w:r>
    </w:p>
    <w:p>
      <w:pPr>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目共设置一级指标3个，二级指标8个，三级指标10个，其中已完成三级指标10个，指标完成率为100%。根据年初设定的绩效目标，此项目自评得分为94分。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bCs/>
          <w:sz w:val="32"/>
          <w:szCs w:val="32"/>
        </w:rPr>
      </w:pPr>
      <w:r>
        <w:rPr>
          <w:rFonts w:hint="eastAsia" w:ascii="仿宋_GB2312" w:hAnsi="宋体" w:eastAsia="仿宋_GB2312" w:cs="宋体"/>
          <w:kern w:val="0"/>
          <w:sz w:val="32"/>
          <w:szCs w:val="32"/>
        </w:rPr>
        <w:t>优抚对象医疗补助资金项目上级财政下达专项资金16万元，计划</w:t>
      </w:r>
      <w:r>
        <w:rPr>
          <w:rFonts w:hint="eastAsia" w:ascii="仿宋_GB2312" w:hAnsi="新宋体" w:eastAsia="仿宋_GB2312" w:cs="新宋体"/>
          <w:bCs/>
          <w:sz w:val="32"/>
          <w:szCs w:val="32"/>
        </w:rPr>
        <w:t>对重点优抚对象实施医疗人次数为10次，至今该指标已完成。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宋体" w:eastAsia="仿宋_GB2312" w:cs="宋体"/>
          <w:kern w:val="0"/>
          <w:sz w:val="32"/>
          <w:szCs w:val="32"/>
        </w:rPr>
        <w:t>优抚对象医疗补助执行率100%，</w:t>
      </w:r>
      <w:r>
        <w:rPr>
          <w:rFonts w:hint="eastAsia" w:ascii="仿宋_GB2312" w:hAnsi="新宋体" w:eastAsia="仿宋_GB2312" w:cs="新宋体"/>
          <w:sz w:val="32"/>
          <w:szCs w:val="32"/>
        </w:rPr>
        <w:t>该项目严格按照补助资金发放要求严格发放，已全部发放完毕，未发现少发、漏发和虚报冒领等资金违规发放情况，完成率100%。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通过项目实施使优抚对象医疗补助支付及时率100%，疾病应急补助审核完成上报及时率超过95%，资金按照实际审核通过情况进度进行实施，打卡发放，完成率100%。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优抚对象医疗补助人均标准240元/年</w:t>
      </w:r>
      <w:r>
        <w:rPr>
          <w:rFonts w:hint="eastAsia" w:ascii="仿宋_GB2312" w:hAnsi="新宋体" w:eastAsia="仿宋_GB2312" w:cs="新宋体"/>
          <w:sz w:val="32"/>
          <w:szCs w:val="32"/>
        </w:rPr>
        <w:t>，完成率100%</w:t>
      </w:r>
      <w:r>
        <w:rPr>
          <w:rFonts w:hint="eastAsia" w:ascii="仿宋_GB2312" w:hAnsi="新宋体" w:eastAsia="仿宋_GB2312" w:cs="新宋体"/>
          <w:bCs/>
          <w:sz w:val="32"/>
          <w:szCs w:val="32"/>
        </w:rPr>
        <w:t>。</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该项目为社会补助类项目，项目的实施将减轻重点优抚对象治病负担达2890元/年</w:t>
      </w:r>
      <w:r>
        <w:rPr>
          <w:rFonts w:hint="eastAsia" w:ascii="仿宋_GB2312" w:hAnsi="新宋体" w:eastAsia="仿宋_GB2312" w:cs="新宋体"/>
          <w:sz w:val="32"/>
          <w:szCs w:val="32"/>
        </w:rPr>
        <w:t>，完成率100%</w:t>
      </w:r>
      <w:r>
        <w:rPr>
          <w:rFonts w:hint="eastAsia" w:ascii="仿宋_GB2312" w:hAnsi="新宋体" w:eastAsia="仿宋_GB2312" w:cs="新宋体"/>
          <w:bCs/>
          <w:sz w:val="32"/>
          <w:szCs w:val="32"/>
        </w:rPr>
        <w:t>。</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该项目为社会补助类项目，项目的实施将保障重点优抚对象看病就医覆盖率</w:t>
      </w:r>
      <w:r>
        <w:rPr>
          <w:rFonts w:hint="eastAsia" w:ascii="仿宋_GB2312" w:hAnsi="新宋体" w:eastAsia="仿宋_GB2312" w:cs="新宋体"/>
          <w:sz w:val="32"/>
          <w:szCs w:val="32"/>
        </w:rPr>
        <w:t>超过</w:t>
      </w:r>
      <w:r>
        <w:rPr>
          <w:rFonts w:hint="eastAsia" w:ascii="仿宋_GB2312" w:hAnsi="新宋体" w:eastAsia="仿宋_GB2312" w:cs="新宋体"/>
          <w:bCs/>
          <w:sz w:val="32"/>
          <w:szCs w:val="32"/>
        </w:rPr>
        <w:t>95%，政策宣传知晓率</w:t>
      </w:r>
      <w:r>
        <w:rPr>
          <w:rFonts w:hint="eastAsia" w:ascii="仿宋_GB2312" w:hAnsi="新宋体" w:eastAsia="仿宋_GB2312" w:cs="新宋体"/>
          <w:sz w:val="32"/>
          <w:szCs w:val="32"/>
        </w:rPr>
        <w:t>超过</w:t>
      </w:r>
      <w:r>
        <w:rPr>
          <w:rFonts w:hint="eastAsia" w:ascii="仿宋_GB2312" w:hAnsi="新宋体" w:eastAsia="仿宋_GB2312" w:cs="新宋体"/>
          <w:bCs/>
          <w:sz w:val="32"/>
          <w:szCs w:val="32"/>
        </w:rPr>
        <w:t>95%。减轻重点优抚对象看病就医负担，维护重点优抚对象基本医疗权益。</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优抚对象医疗补助项目实施时限1年，使困难群众生活水平显著提高，提升了广大群众的幸福指数，保障的生活质量。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按计划完成项目实施，群众满意度达95%以上，服务对象满意度指标完成。</w:t>
      </w:r>
    </w:p>
    <w:p>
      <w:pPr>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2018年项目绩效目标全部达成，不存在未完成原因分析。</w:t>
      </w:r>
    </w:p>
    <w:p>
      <w:pPr>
        <w:spacing w:line="560" w:lineRule="exact"/>
        <w:ind w:firstLine="627" w:firstLineChars="200"/>
        <w:rPr>
          <w:rStyle w:val="19"/>
          <w:rFonts w:ascii="仿宋_GB2312" w:hAnsi="黑体" w:eastAsia="仿宋_GB2312"/>
          <w:b w:val="0"/>
          <w:spacing w:val="-4"/>
          <w:sz w:val="32"/>
          <w:szCs w:val="32"/>
        </w:rPr>
      </w:pPr>
      <w:r>
        <w:rPr>
          <w:rStyle w:val="19"/>
          <w:rFonts w:hint="eastAsia" w:ascii="仿宋_GB2312" w:hAnsi="黑体" w:eastAsia="仿宋_GB2312"/>
          <w:spacing w:val="-4"/>
          <w:sz w:val="32"/>
          <w:szCs w:val="32"/>
        </w:rPr>
        <w:t>五、其他需要说明的问题</w:t>
      </w:r>
    </w:p>
    <w:p>
      <w:pPr>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60" w:lineRule="exact"/>
        <w:ind w:firstLine="624" w:firstLineChars="200"/>
        <w:rPr>
          <w:rFonts w:ascii="仿宋_GB2312" w:eastAsia="仿宋_GB2312"/>
          <w:sz w:val="32"/>
          <w:szCs w:val="32"/>
        </w:rPr>
      </w:pPr>
      <w:r>
        <w:rPr>
          <w:rStyle w:val="19"/>
          <w:rFonts w:hint="eastAsia" w:ascii="仿宋_GB2312" w:hAnsi="仿宋" w:eastAsia="仿宋_GB2312"/>
          <w:b w:val="0"/>
          <w:spacing w:val="-4"/>
          <w:sz w:val="32"/>
          <w:szCs w:val="32"/>
        </w:rPr>
        <w:t>健全优抚医疗制度，增强相关机构在医疗保障体系中托底保障能力。更大幅度的提升重点优抚对象看病就医的覆盖率</w:t>
      </w:r>
      <w:r>
        <w:rPr>
          <w:rFonts w:hint="eastAsia" w:ascii="仿宋_GB2312" w:eastAsia="仿宋_GB2312"/>
          <w:spacing w:val="-4"/>
          <w:sz w:val="32"/>
          <w:szCs w:val="32"/>
        </w:rPr>
        <w:t>。</w:t>
      </w:r>
      <w:r>
        <w:rPr>
          <w:rStyle w:val="19"/>
          <w:rFonts w:hint="eastAsia" w:ascii="仿宋_GB2312" w:hAnsi="仿宋" w:eastAsia="仿宋_GB2312"/>
          <w:b w:val="0"/>
          <w:spacing w:val="-4"/>
          <w:sz w:val="32"/>
          <w:szCs w:val="32"/>
        </w:rPr>
        <w:t>为重点优抚对象建立健全完善的档案机制，做到需要时能够及时准确的定位。对重点优抚对象的补助制度进一步完善，确保重点优抚对象看病就医有保障，防止出现因病致贫，因病返贫现象出现。规范社会补助政策实施，确保需要补助对象基本生活</w:t>
      </w:r>
      <w:r>
        <w:rPr>
          <w:rFonts w:hint="eastAsia" w:ascii="仿宋_GB2312" w:hAnsi="仿宋" w:eastAsia="仿宋_GB2312" w:cs="仿宋"/>
          <w:color w:val="000000"/>
          <w:kern w:val="0"/>
          <w:sz w:val="32"/>
          <w:szCs w:val="32"/>
        </w:rPr>
        <w:t>得</w:t>
      </w:r>
      <w:r>
        <w:rPr>
          <w:rFonts w:hint="eastAsia" w:ascii="仿宋_GB2312" w:hAnsi="新宋体" w:eastAsia="仿宋_GB2312" w:cs="新宋体"/>
          <w:bCs/>
          <w:sz w:val="32"/>
          <w:szCs w:val="32"/>
        </w:rPr>
        <w:t>到有效保障，医疗资金的使用按照政策标准，专款专用，做到政务公开，执行“阳光操作”，保证各项工作公开透明。做好对群众的政策宣传，让每一个困难群众都能享受到政策。</w:t>
      </w:r>
    </w:p>
    <w:p>
      <w:pPr>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spacing w:line="560" w:lineRule="exact"/>
        <w:ind w:left="181" w:leftChars="86"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优抚对象医疗补助资金的使用按照政策标准，专款专用，做到政务公开，执行“阳光操作”，保证各项工作公开透明。从基层开始各村、社区把好入门关做好动态管理将问题的消灭在初审。</w:t>
      </w:r>
    </w:p>
    <w:p>
      <w:pPr>
        <w:spacing w:line="560" w:lineRule="exact"/>
        <w:ind w:firstLine="627" w:firstLineChars="200"/>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无其他说明内容。</w:t>
      </w:r>
    </w:p>
    <w:p>
      <w:pPr>
        <w:spacing w:line="560" w:lineRule="exact"/>
        <w:ind w:firstLine="627" w:firstLineChars="200"/>
        <w:rPr>
          <w:rStyle w:val="19"/>
          <w:rFonts w:ascii="仿宋_GB2312" w:hAnsi="黑体" w:eastAsia="仿宋_GB2312"/>
          <w:b w:val="0"/>
          <w:spacing w:val="-4"/>
          <w:sz w:val="32"/>
          <w:szCs w:val="32"/>
        </w:rPr>
      </w:pPr>
      <w:r>
        <w:rPr>
          <w:rStyle w:val="19"/>
          <w:rFonts w:hint="eastAsia" w:ascii="仿宋_GB2312" w:hAnsi="黑体" w:eastAsia="仿宋_GB2312"/>
          <w:spacing w:val="-4"/>
          <w:sz w:val="32"/>
          <w:szCs w:val="32"/>
        </w:rPr>
        <w:t>六、项目评价工作情况</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本次评价通过文件研读、实地调研、数据分析等方式，做好各项</w:t>
      </w:r>
      <w:r>
        <w:rPr>
          <w:rStyle w:val="19"/>
          <w:rFonts w:hint="eastAsia" w:ascii="仿宋_GB2312" w:hAnsi="仿宋" w:eastAsia="仿宋_GB2312"/>
          <w:b w:val="0"/>
          <w:spacing w:val="-4"/>
          <w:sz w:val="32"/>
          <w:szCs w:val="32"/>
        </w:rPr>
        <w:t>优抚</w:t>
      </w:r>
      <w:r>
        <w:rPr>
          <w:rFonts w:hint="eastAsia" w:ascii="仿宋_GB2312" w:hAnsi="新宋体" w:eastAsia="仿宋_GB2312" w:cs="新宋体"/>
          <w:bCs/>
          <w:sz w:val="32"/>
          <w:szCs w:val="32"/>
        </w:rPr>
        <w:t>医疗补助政策的宣传，规范</w:t>
      </w:r>
      <w:r>
        <w:rPr>
          <w:rStyle w:val="19"/>
          <w:rFonts w:hint="eastAsia" w:ascii="仿宋_GB2312" w:hAnsi="仿宋" w:eastAsia="仿宋_GB2312"/>
          <w:b w:val="0"/>
          <w:spacing w:val="-4"/>
          <w:sz w:val="32"/>
          <w:szCs w:val="32"/>
        </w:rPr>
        <w:t>优抚</w:t>
      </w:r>
      <w:r>
        <w:rPr>
          <w:rFonts w:hint="eastAsia" w:ascii="仿宋_GB2312" w:hAnsi="新宋体" w:eastAsia="仿宋_GB2312" w:cs="新宋体"/>
          <w:bCs/>
          <w:sz w:val="32"/>
          <w:szCs w:val="32"/>
        </w:rPr>
        <w:t>医疗补助政策实施中的程序，合理确定保障标准，使补助对象基本生活得到有效保障，全面了解</w:t>
      </w:r>
      <w:r>
        <w:rPr>
          <w:rStyle w:val="19"/>
          <w:rFonts w:hint="eastAsia" w:ascii="仿宋_GB2312" w:hAnsi="仿宋" w:eastAsia="仿宋_GB2312"/>
          <w:b w:val="0"/>
          <w:spacing w:val="-4"/>
          <w:sz w:val="32"/>
          <w:szCs w:val="32"/>
        </w:rPr>
        <w:t>优抚</w:t>
      </w:r>
      <w:r>
        <w:rPr>
          <w:rFonts w:hint="eastAsia" w:ascii="仿宋_GB2312" w:hAnsi="新宋体" w:eastAsia="仿宋_GB2312" w:cs="新宋体"/>
          <w:bCs/>
          <w:sz w:val="32"/>
          <w:szCs w:val="32"/>
        </w:rPr>
        <w:t>医疗补助项目资金的使用效率和效果，项目管理过程规范，完成了预期绩效目标等。同时，通过开展自我评价来总结经验和教训，为我县</w:t>
      </w:r>
      <w:r>
        <w:rPr>
          <w:rStyle w:val="19"/>
          <w:rFonts w:hint="eastAsia" w:ascii="仿宋_GB2312" w:hAnsi="仿宋" w:eastAsia="仿宋_GB2312"/>
          <w:b w:val="0"/>
          <w:spacing w:val="-4"/>
          <w:sz w:val="32"/>
          <w:szCs w:val="32"/>
        </w:rPr>
        <w:t>优抚</w:t>
      </w:r>
      <w:r>
        <w:rPr>
          <w:rFonts w:hint="eastAsia" w:ascii="仿宋_GB2312" w:hAnsi="新宋体" w:eastAsia="仿宋_GB2312" w:cs="新宋体"/>
          <w:bCs/>
          <w:sz w:val="32"/>
          <w:szCs w:val="32"/>
        </w:rPr>
        <w:t>医疗补助项目工作在今后的开展提供参考建议。</w:t>
      </w:r>
    </w:p>
    <w:p>
      <w:pPr>
        <w:spacing w:line="560" w:lineRule="exact"/>
        <w:ind w:firstLine="627" w:firstLineChars="200"/>
        <w:rPr>
          <w:rStyle w:val="19"/>
          <w:rFonts w:ascii="仿宋_GB2312" w:hAnsi="黑体" w:eastAsia="仿宋_GB2312"/>
          <w:b w:val="0"/>
          <w:spacing w:val="-4"/>
          <w:sz w:val="32"/>
          <w:szCs w:val="32"/>
        </w:rPr>
      </w:pPr>
      <w:r>
        <w:rPr>
          <w:rStyle w:val="19"/>
          <w:rFonts w:hint="eastAsia" w:ascii="仿宋_GB2312" w:hAnsi="黑体" w:eastAsia="仿宋_GB2312"/>
          <w:spacing w:val="-4"/>
          <w:sz w:val="32"/>
          <w:szCs w:val="32"/>
        </w:rPr>
        <w:t>七、附表</w:t>
      </w:r>
    </w:p>
    <w:p>
      <w:pPr>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《喀什地区财政项目支出绩效自评表》</w:t>
      </w:r>
    </w:p>
    <w:p>
      <w:pPr>
        <w:spacing w:line="540" w:lineRule="exact"/>
        <w:rPr>
          <w:rStyle w:val="19"/>
          <w:rFonts w:ascii="仿宋" w:hAnsi="仿宋" w:eastAsia="仿宋"/>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05C6"/>
    <w:multiLevelType w:val="multilevel"/>
    <w:tmpl w:val="0ACD05C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3AE2"/>
    <w:rsid w:val="0003344E"/>
    <w:rsid w:val="000378B7"/>
    <w:rsid w:val="00056465"/>
    <w:rsid w:val="00104485"/>
    <w:rsid w:val="001078CA"/>
    <w:rsid w:val="00121AE4"/>
    <w:rsid w:val="001312D2"/>
    <w:rsid w:val="00146AAD"/>
    <w:rsid w:val="0015152A"/>
    <w:rsid w:val="001518FA"/>
    <w:rsid w:val="001B3A40"/>
    <w:rsid w:val="001E4ADE"/>
    <w:rsid w:val="00212766"/>
    <w:rsid w:val="00217F9E"/>
    <w:rsid w:val="00272363"/>
    <w:rsid w:val="00293280"/>
    <w:rsid w:val="002E799B"/>
    <w:rsid w:val="00343918"/>
    <w:rsid w:val="003474AA"/>
    <w:rsid w:val="00353981"/>
    <w:rsid w:val="00361B75"/>
    <w:rsid w:val="00365D59"/>
    <w:rsid w:val="00385C1D"/>
    <w:rsid w:val="00386C16"/>
    <w:rsid w:val="003E3ADE"/>
    <w:rsid w:val="004366A8"/>
    <w:rsid w:val="0043775A"/>
    <w:rsid w:val="0044411E"/>
    <w:rsid w:val="004F694E"/>
    <w:rsid w:val="00502BA7"/>
    <w:rsid w:val="005162F1"/>
    <w:rsid w:val="00535153"/>
    <w:rsid w:val="00547AF4"/>
    <w:rsid w:val="00554F82"/>
    <w:rsid w:val="0056390D"/>
    <w:rsid w:val="00563EEC"/>
    <w:rsid w:val="005719B0"/>
    <w:rsid w:val="0057392D"/>
    <w:rsid w:val="00592BF6"/>
    <w:rsid w:val="005D10D6"/>
    <w:rsid w:val="005E1328"/>
    <w:rsid w:val="00636A07"/>
    <w:rsid w:val="0065134F"/>
    <w:rsid w:val="00666742"/>
    <w:rsid w:val="00675751"/>
    <w:rsid w:val="00693417"/>
    <w:rsid w:val="006A2F15"/>
    <w:rsid w:val="006A3EF2"/>
    <w:rsid w:val="006F577A"/>
    <w:rsid w:val="00761763"/>
    <w:rsid w:val="007D2FCE"/>
    <w:rsid w:val="0082590F"/>
    <w:rsid w:val="00855E3A"/>
    <w:rsid w:val="0086038F"/>
    <w:rsid w:val="00911F49"/>
    <w:rsid w:val="0091548D"/>
    <w:rsid w:val="00922CB9"/>
    <w:rsid w:val="009B4967"/>
    <w:rsid w:val="009E5CD9"/>
    <w:rsid w:val="00A1466A"/>
    <w:rsid w:val="00A26421"/>
    <w:rsid w:val="00A325D0"/>
    <w:rsid w:val="00A4293B"/>
    <w:rsid w:val="00A469C0"/>
    <w:rsid w:val="00A67D50"/>
    <w:rsid w:val="00A81591"/>
    <w:rsid w:val="00A86726"/>
    <w:rsid w:val="00A8691A"/>
    <w:rsid w:val="00AC1946"/>
    <w:rsid w:val="00B27B1F"/>
    <w:rsid w:val="00B40063"/>
    <w:rsid w:val="00B41F61"/>
    <w:rsid w:val="00BA46E6"/>
    <w:rsid w:val="00BD14DF"/>
    <w:rsid w:val="00BD2CB0"/>
    <w:rsid w:val="00C004C7"/>
    <w:rsid w:val="00C449BF"/>
    <w:rsid w:val="00C56C72"/>
    <w:rsid w:val="00CA6457"/>
    <w:rsid w:val="00D17F2E"/>
    <w:rsid w:val="00D30354"/>
    <w:rsid w:val="00D33A99"/>
    <w:rsid w:val="00D3775D"/>
    <w:rsid w:val="00D95522"/>
    <w:rsid w:val="00DF03E8"/>
    <w:rsid w:val="00DF42A0"/>
    <w:rsid w:val="00E027BE"/>
    <w:rsid w:val="00E129DC"/>
    <w:rsid w:val="00E14538"/>
    <w:rsid w:val="00E769FE"/>
    <w:rsid w:val="00EA24F1"/>
    <w:rsid w:val="00EA2CBE"/>
    <w:rsid w:val="00EC2200"/>
    <w:rsid w:val="00F32FEE"/>
    <w:rsid w:val="00FB10BB"/>
    <w:rsid w:val="00FD273E"/>
    <w:rsid w:val="05BB7E12"/>
    <w:rsid w:val="0A590277"/>
    <w:rsid w:val="0E275477"/>
    <w:rsid w:val="18216E0E"/>
    <w:rsid w:val="19EA59F8"/>
    <w:rsid w:val="21DA002C"/>
    <w:rsid w:val="2F0436CC"/>
    <w:rsid w:val="2F9D3146"/>
    <w:rsid w:val="314F5BA6"/>
    <w:rsid w:val="31BA59C9"/>
    <w:rsid w:val="337E42AA"/>
    <w:rsid w:val="353318F8"/>
    <w:rsid w:val="37243B9E"/>
    <w:rsid w:val="39F37734"/>
    <w:rsid w:val="3E886DEC"/>
    <w:rsid w:val="44186C69"/>
    <w:rsid w:val="48DC4D19"/>
    <w:rsid w:val="4B424593"/>
    <w:rsid w:val="4E8E73CB"/>
    <w:rsid w:val="5BFC5718"/>
    <w:rsid w:val="5F1B5F17"/>
    <w:rsid w:val="6A1B6527"/>
    <w:rsid w:val="6AA53938"/>
    <w:rsid w:val="6D9451D8"/>
    <w:rsid w:val="76C833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 w:type="character" w:customStyle="1" w:styleId="50">
    <w:name w:val="font2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482</Words>
  <Characters>2751</Characters>
  <Lines>22</Lines>
  <Paragraphs>6</Paragraphs>
  <TotalTime>0</TotalTime>
  <ScaleCrop>false</ScaleCrop>
  <LinksUpToDate>false</LinksUpToDate>
  <CharactersWithSpaces>3227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2021-07-12T15:19:58Z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