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hAnsi="仿宋_GB2312" w:eastAsia="仿宋_GB2312" w:cs="仿宋_GB2312"/>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烈士陵园及军休所维修项目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pStyle w:val="33"/>
        <w:numPr>
          <w:ilvl w:val="0"/>
          <w:numId w:val="1"/>
        </w:numPr>
        <w:spacing w:line="560" w:lineRule="exact"/>
        <w:ind w:left="0" w:firstLine="640" w:firstLineChars="200"/>
        <w:jc w:val="both"/>
        <w:rPr>
          <w:rFonts w:ascii="黑体" w:hAnsi="黑体" w:eastAsia="黑体" w:cs="黑体"/>
          <w:bCs/>
          <w:sz w:val="32"/>
          <w:szCs w:val="32"/>
        </w:rPr>
      </w:pPr>
      <w:r>
        <w:rPr>
          <w:rFonts w:hint="eastAsia" w:ascii="黑体" w:hAnsi="黑体" w:eastAsia="黑体" w:cs="黑体"/>
          <w:bCs/>
          <w:sz w:val="32"/>
          <w:szCs w:val="32"/>
        </w:rPr>
        <w:t>项目概况</w:t>
      </w:r>
    </w:p>
    <w:p>
      <w:pPr>
        <w:spacing w:line="560" w:lineRule="exact"/>
        <w:ind w:firstLine="643" w:firstLineChars="200"/>
        <w:rPr>
          <w:rFonts w:ascii="楷体_GB2312" w:hAnsi="黑体" w:eastAsia="楷体_GB2312" w:cs="黑体"/>
          <w:b/>
          <w:bCs/>
          <w:sz w:val="32"/>
          <w:szCs w:val="32"/>
        </w:rPr>
      </w:pPr>
      <w:r>
        <w:rPr>
          <w:rFonts w:hint="eastAsia" w:ascii="楷体_GB2312" w:hAnsi="黑体" w:eastAsia="楷体_GB2312" w:cs="黑体"/>
          <w:b/>
          <w:bCs/>
          <w:sz w:val="32"/>
          <w:szCs w:val="32"/>
        </w:rPr>
        <w:t>（一）项目单位基本情况</w:t>
      </w:r>
    </w:p>
    <w:p>
      <w:pPr>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560" w:lineRule="exact"/>
        <w:ind w:firstLine="640" w:firstLineChars="200"/>
        <w:rPr>
          <w:rStyle w:val="19"/>
          <w:rFonts w:ascii="楷体_GB2312" w:hAnsi="楷体" w:eastAsia="楷体_GB2312"/>
          <w:spacing w:val="-4"/>
          <w:sz w:val="32"/>
          <w:szCs w:val="32"/>
        </w:rPr>
      </w:pPr>
      <w:r>
        <w:rPr>
          <w:rFonts w:hint="eastAsia" w:ascii="仿宋_GB2312" w:hAnsi="仿宋_GB2312" w:eastAsia="仿宋_GB2312" w:cs="仿宋_GB2312"/>
          <w:bCs/>
          <w:kern w:val="0"/>
          <w:sz w:val="32"/>
          <w:szCs w:val="32"/>
        </w:rPr>
        <w:t>项目基本性质为基本建设类延续性项目</w:t>
      </w:r>
    </w:p>
    <w:p>
      <w:pPr>
        <w:spacing w:line="560" w:lineRule="exact"/>
        <w:ind w:firstLine="640" w:firstLineChars="200"/>
        <w:rPr>
          <w:rFonts w:ascii="仿宋_GB2312" w:hAnsi="仿宋_GB2312" w:eastAsia="仿宋_GB2312" w:cs="仿宋_GB2312"/>
          <w:sz w:val="32"/>
          <w:szCs w:val="32"/>
        </w:rPr>
      </w:pPr>
      <w:r>
        <w:rPr>
          <w:rFonts w:hint="eastAsia" w:ascii="仿宋_GB2312" w:hAnsi="新宋体" w:eastAsia="仿宋_GB2312" w:cs="新宋体"/>
          <w:sz w:val="32"/>
          <w:szCs w:val="32"/>
        </w:rPr>
        <w:t>项目总投入资金44.93万元,完成了叶城烈士陵园维修、环境改造，绿化等，提高了烈士陵园能力建设和服务水平。完成叶城烈士陵园维修、环境改造，绿化等，有效加强烈士陵园能力建设，发挥好其作为爱国主义教育基地的作用</w:t>
      </w:r>
      <w:r>
        <w:rPr>
          <w:rFonts w:hint="eastAsia" w:ascii="仿宋_GB2312" w:hAnsi="仿宋_GB2312" w:eastAsia="仿宋_GB2312" w:cs="仿宋_GB2312"/>
          <w:sz w:val="32"/>
          <w:szCs w:val="32"/>
        </w:rPr>
        <w:t>。</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二、项目资金使用及管理情况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spacing w:line="560" w:lineRule="exact"/>
        <w:ind w:firstLine="624" w:firstLineChars="200"/>
        <w:rPr>
          <w:rStyle w:val="19"/>
          <w:rFonts w:ascii="仿宋_GB2312" w:hAnsi="楷体" w:eastAsia="仿宋_GB2312"/>
          <w:b w:val="0"/>
          <w:spacing w:val="-4"/>
          <w:sz w:val="32"/>
          <w:szCs w:val="32"/>
        </w:rPr>
      </w:pPr>
      <w:r>
        <w:rPr>
          <w:rStyle w:val="19"/>
          <w:rFonts w:hint="eastAsia" w:ascii="仿宋_GB2312" w:hAnsi="楷体" w:eastAsia="仿宋_GB2312"/>
          <w:b w:val="0"/>
          <w:spacing w:val="-4"/>
          <w:sz w:val="32"/>
          <w:szCs w:val="32"/>
        </w:rPr>
        <w:t>根据新财社〔2018〕74号、喀地财社［2017］19号文件要求，本项目资金200万元，其中财政资金200万元，其他资金0万元，资金到位200万元；资金到位率100%。</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根据新财社〔2018〕74号、喀地财社［2017］19号资金的文件，到位资金</w:t>
      </w:r>
      <w:r>
        <w:rPr>
          <w:rFonts w:hint="eastAsia" w:ascii="仿宋_GB2312" w:hAnsi="仿宋" w:eastAsia="仿宋_GB2312" w:cs="仿宋"/>
          <w:sz w:val="32"/>
          <w:szCs w:val="32"/>
        </w:rPr>
        <w:t>200</w:t>
      </w:r>
      <w:r>
        <w:rPr>
          <w:rFonts w:hint="eastAsia" w:ascii="仿宋_GB2312" w:hAnsi="仿宋_GB2312" w:eastAsia="仿宋_GB2312" w:cs="仿宋_GB2312"/>
          <w:sz w:val="32"/>
          <w:szCs w:val="32"/>
        </w:rPr>
        <w:t>万元，本项目实际支付资金</w:t>
      </w:r>
      <w:r>
        <w:rPr>
          <w:rFonts w:hint="eastAsia" w:ascii="仿宋_GB2312" w:hAnsi="仿宋" w:eastAsia="仿宋_GB2312" w:cs="仿宋"/>
          <w:sz w:val="32"/>
          <w:szCs w:val="32"/>
        </w:rPr>
        <w:t>200</w:t>
      </w:r>
      <w:r>
        <w:rPr>
          <w:rFonts w:hint="eastAsia" w:ascii="仿宋_GB2312" w:hAnsi="仿宋_GB2312" w:eastAsia="仿宋_GB2312" w:cs="仿宋_GB2312"/>
          <w:sz w:val="32"/>
          <w:szCs w:val="32"/>
        </w:rPr>
        <w:t>万元，预算执行率100%，项目资金主要用于支付</w:t>
      </w:r>
      <w:r>
        <w:rPr>
          <w:rFonts w:hint="eastAsia" w:ascii="仿宋" w:hAnsi="仿宋" w:eastAsia="仿宋" w:cs="仿宋"/>
          <w:color w:val="000000"/>
          <w:kern w:val="0"/>
          <w:sz w:val="32"/>
          <w:szCs w:val="32"/>
        </w:rPr>
        <w:t>用于烈士陵园的零星维修，对印纪念台维修、纪念碑维修、门卫室维修、厕所维修、其他维修和绿化等工程以及设备采购，环境改造，绿化</w:t>
      </w:r>
      <w:r>
        <w:rPr>
          <w:rFonts w:hint="eastAsia" w:ascii="仿宋_GB2312" w:hAnsi="仿宋_GB2312" w:eastAsia="仿宋_GB2312" w:cs="仿宋_GB2312"/>
          <w:sz w:val="32"/>
          <w:szCs w:val="32"/>
        </w:rPr>
        <w:t>等费用200万元，结余0万元。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工程项目资金管理办法和上级财政资金管理制度支付资金；资金支付由本单位分管领导、主管财务领导、财政等各级部门审批审核；资金的支付有完整的审批程序和手续符合制度要求；不存在截留、挤占、挪用、虚列支出等情况。</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三、项目组织实施情况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为保证项目质量和成本控制，我单位积极与政府采购及发改等各单位对接，进行了咨询、询问工作，为保质保量完成工程建设项目提供了强有力的技术支撑，由于该项目属于工程类项目,通过</w:t>
      </w:r>
      <w:r>
        <w:rPr>
          <w:rFonts w:hint="eastAsia" w:ascii="仿宋_GB2312" w:eastAsia="仿宋_GB2312"/>
          <w:sz w:val="32"/>
          <w:szCs w:val="32"/>
        </w:rPr>
        <w:t>做可研性报告、立项、挂网招标、相关的环境评价、组织工程等环节后，组织中标施工方开展工程实施</w:t>
      </w:r>
      <w:r>
        <w:rPr>
          <w:rFonts w:hint="eastAsia" w:ascii="仿宋_GB2312" w:hAnsi="仿宋_GB2312" w:eastAsia="仿宋_GB2312" w:cs="仿宋_GB2312"/>
          <w:sz w:val="32"/>
          <w:szCs w:val="32"/>
        </w:rPr>
        <w:t>。实施过程均按照工程建设各项管理制度执行。本项目不存在调整情况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严格按照各项工程建设制度实施项目，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7" w:firstLineChars="200"/>
        <w:rPr>
          <w:rStyle w:val="19"/>
          <w:rFonts w:ascii="黑体" w:hAnsi="黑体" w:eastAsia="黑体"/>
          <w:sz w:val="32"/>
          <w:szCs w:val="32"/>
        </w:rPr>
      </w:pPr>
      <w:r>
        <w:rPr>
          <w:rStyle w:val="19"/>
          <w:rFonts w:hint="eastAsia" w:ascii="黑体" w:hAnsi="黑体" w:eastAsia="黑体"/>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本项目共设置一级指标3个，二级指标8个，三级指标11个，其中已完成三级指标11个，指标完成率为100%。根据年初设定的绩效目标，此项目自评得分为94分。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民政局烈士陵园维修项目主要是烈士陵园维修项目数量6个，维修面积面积为</w:t>
      </w:r>
      <w:r>
        <w:rPr>
          <w:rFonts w:ascii="仿宋_GB2312" w:hAnsi="仿宋_GB2312" w:eastAsia="仿宋_GB2312" w:cs="仿宋_GB2312"/>
          <w:sz w:val="32"/>
          <w:szCs w:val="32"/>
        </w:rPr>
        <w:t>4500</w:t>
      </w:r>
      <w:r>
        <w:rPr>
          <w:rFonts w:hint="eastAsia" w:ascii="仿宋_GB2312" w:hAnsi="仿宋_GB2312" w:eastAsia="仿宋_GB2312" w:cs="仿宋_GB2312"/>
          <w:sz w:val="32"/>
          <w:szCs w:val="32"/>
        </w:rPr>
        <w:t>平方米，完成率100%。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烈士陵园维修质量合格率100%，民政局烈士陵园维修项将严格按工程项目验收质量指标进行验收完成率100%。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烈士陵园维修开工及时率100%，烈士陵园维修完工及时率100%。民政局烈士陵园维修项目为工程维修类项目，将严格按维修工程进度审核后实施，完成率100%。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烈士陵园维修成本33.33万元/个，完成率100%。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保障烈士陵园按时开放率超过98%，受益乡镇（场区）达到28个，</w:t>
      </w:r>
      <w:r>
        <w:rPr>
          <w:rFonts w:hint="eastAsia" w:ascii="仿宋_GB2312" w:eastAsia="仿宋_GB2312"/>
          <w:sz w:val="32"/>
          <w:szCs w:val="32"/>
        </w:rPr>
        <w:t>受益的群众人达110650人，</w:t>
      </w:r>
      <w:r>
        <w:rPr>
          <w:rFonts w:hint="eastAsia" w:ascii="仿宋_GB2312" w:hAnsi="新宋体" w:eastAsia="仿宋_GB2312" w:cs="新宋体"/>
          <w:sz w:val="32"/>
          <w:szCs w:val="32"/>
        </w:rPr>
        <w:t>通过对烈士陵园维修、环境改造，绿化等维修使</w:t>
      </w:r>
      <w:r>
        <w:rPr>
          <w:rFonts w:hint="eastAsia" w:ascii="仿宋_GB2312" w:eastAsia="仿宋_GB2312"/>
          <w:sz w:val="32"/>
          <w:szCs w:val="32"/>
        </w:rPr>
        <w:t>，完成率100%，</w:t>
      </w:r>
      <w:r>
        <w:rPr>
          <w:rFonts w:hint="eastAsia" w:ascii="仿宋_GB2312" w:hAnsi="新宋体" w:eastAsia="仿宋_GB2312" w:cs="新宋体"/>
          <w:sz w:val="32"/>
          <w:szCs w:val="32"/>
        </w:rPr>
        <w:t>有效加强烈士陵园能力建设，发挥好其作为爱国主义教育基地的作用。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hAnsi="宋体" w:eastAsia="仿宋_GB2312" w:cs="宋体"/>
          <w:kern w:val="0"/>
          <w:sz w:val="32"/>
          <w:szCs w:val="32"/>
        </w:rPr>
      </w:pPr>
      <w:r>
        <w:rPr>
          <w:rFonts w:hint="eastAsia" w:hAnsi="宋体" w:eastAsia="仿宋_GB2312" w:cs="宋体"/>
          <w:kern w:val="0"/>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新宋体" w:eastAsia="仿宋_GB2312" w:cs="新宋体"/>
          <w:sz w:val="32"/>
          <w:szCs w:val="32"/>
        </w:rPr>
        <w:t>通过对烈士陵园维修、环境改造，绿化等维修后预计</w:t>
      </w:r>
      <w:r>
        <w:rPr>
          <w:rFonts w:hint="eastAsia" w:ascii="仿宋_GB2312" w:eastAsia="仿宋_GB2312"/>
          <w:sz w:val="32"/>
          <w:szCs w:val="32"/>
        </w:rPr>
        <w:t>项目</w:t>
      </w:r>
      <w:r>
        <w:rPr>
          <w:rFonts w:hint="eastAsia" w:ascii="仿宋_GB2312" w:hAnsi="仿宋_GB2312" w:eastAsia="仿宋_GB2312" w:cs="仿宋_GB2312"/>
          <w:sz w:val="32"/>
          <w:szCs w:val="32"/>
        </w:rPr>
        <w:t>使用年限5年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按计划完成项目实施，已做满意度调查问卷，受益的群众满意度率达90%，服务对象满意度指标完成。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2018年本项目绩效目标全部达成，不存在未完成原因分析。</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新宋体" w:eastAsia="仿宋_GB2312" w:cs="新宋体"/>
          <w:bCs/>
          <w:sz w:val="32"/>
          <w:szCs w:val="32"/>
        </w:rPr>
        <w:t>按计划完成项目绩效目标，加强对项目资金的管理，加强项目档案的管理，项目完成后指定专人负责，制定运行方案，切实发挥该项目的作用。</w:t>
      </w:r>
      <w:r>
        <w:rPr>
          <w:rFonts w:hint="eastAsia" w:ascii="仿宋_GB2312" w:hAnsi="仿宋_GB2312" w:eastAsia="仿宋_GB2312" w:cs="仿宋_GB2312"/>
          <w:kern w:val="0"/>
          <w:sz w:val="32"/>
          <w:szCs w:val="32"/>
        </w:rPr>
        <w:t>建立项目管理制度建设。建立日常检查监督管理制度。</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left="181" w:leftChars="86"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通过预算绩效管理，总结了工作中的较好的经验，发现了工作中存在的不足，在今后工作中要在年初做好资金计划，按照工程项目进度</w:t>
      </w:r>
      <w:bookmarkStart w:id="0" w:name="_GoBack"/>
      <w:r>
        <w:rPr>
          <w:rFonts w:hint="eastAsia" w:ascii="仿宋_GB2312" w:hAnsi="新宋体" w:eastAsia="仿宋_GB2312" w:cs="新宋体"/>
          <w:bCs/>
          <w:sz w:val="32"/>
          <w:szCs w:val="32"/>
        </w:rPr>
        <w:t>及</w:t>
      </w:r>
      <w:bookmarkEnd w:id="0"/>
      <w:r>
        <w:rPr>
          <w:rFonts w:hint="eastAsia" w:ascii="仿宋_GB2312" w:hAnsi="新宋体" w:eastAsia="仿宋_GB2312" w:cs="新宋体"/>
          <w:bCs/>
          <w:sz w:val="32"/>
          <w:szCs w:val="32"/>
        </w:rPr>
        <w:t>时拨付资金，使资金使用效益最大化，减少不必要的浪费，节约成本。在今后的工作中</w:t>
      </w:r>
      <w:r>
        <w:rPr>
          <w:rFonts w:hint="eastAsia" w:hAnsi="宋体" w:eastAsia="仿宋_GB2312" w:cs="宋体"/>
          <w:kern w:val="0"/>
          <w:sz w:val="32"/>
          <w:szCs w:val="32"/>
        </w:rPr>
        <w:t>烈士陵园维修项目</w:t>
      </w:r>
      <w:r>
        <w:rPr>
          <w:rFonts w:hint="eastAsia" w:ascii="仿宋_GB2312" w:hAnsi="新宋体" w:eastAsia="仿宋_GB2312" w:cs="新宋体"/>
          <w:bCs/>
          <w:sz w:val="32"/>
          <w:szCs w:val="32"/>
        </w:rPr>
        <w:t>资金的使用按照政策，专款专用，做到政务公开，执行“阳光操作”，保证各项工作公开透明。</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无其他说明内容。</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六、项目评价工作情况</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w:t>
      </w:r>
      <w:r>
        <w:rPr>
          <w:rFonts w:hint="eastAsia" w:hAnsi="宋体" w:eastAsia="仿宋_GB2312" w:cs="宋体"/>
          <w:kern w:val="0"/>
          <w:sz w:val="32"/>
          <w:szCs w:val="32"/>
        </w:rPr>
        <w:t>烈士陵园维修项目</w:t>
      </w:r>
      <w:r>
        <w:rPr>
          <w:rFonts w:hint="eastAsia" w:ascii="仿宋_GB2312" w:hAnsi="新宋体" w:eastAsia="仿宋_GB2312" w:cs="新宋体"/>
          <w:bCs/>
          <w:sz w:val="32"/>
          <w:szCs w:val="32"/>
        </w:rPr>
        <w:t>政策的宣传，规范</w:t>
      </w:r>
      <w:r>
        <w:rPr>
          <w:rFonts w:hint="eastAsia" w:hAnsi="宋体" w:eastAsia="仿宋_GB2312" w:cs="宋体"/>
          <w:kern w:val="0"/>
          <w:sz w:val="32"/>
          <w:szCs w:val="32"/>
        </w:rPr>
        <w:t>烈士陵园维修项目</w:t>
      </w:r>
      <w:r>
        <w:rPr>
          <w:rFonts w:hint="eastAsia" w:ascii="仿宋_GB2312" w:hAnsi="新宋体" w:eastAsia="仿宋_GB2312" w:cs="新宋体"/>
          <w:bCs/>
          <w:sz w:val="32"/>
          <w:szCs w:val="32"/>
        </w:rPr>
        <w:t>政策实施中的程序，合理确定标准，全面了解</w:t>
      </w:r>
      <w:r>
        <w:rPr>
          <w:rFonts w:hint="eastAsia" w:hAnsi="宋体" w:eastAsia="仿宋_GB2312" w:cs="宋体"/>
          <w:kern w:val="0"/>
          <w:sz w:val="32"/>
          <w:szCs w:val="32"/>
        </w:rPr>
        <w:t>烈士陵园维修项目</w:t>
      </w:r>
      <w:r>
        <w:rPr>
          <w:rFonts w:hint="eastAsia" w:ascii="仿宋_GB2312" w:hAnsi="新宋体" w:eastAsia="仿宋_GB2312" w:cs="新宋体"/>
          <w:bCs/>
          <w:sz w:val="32"/>
          <w:szCs w:val="32"/>
        </w:rPr>
        <w:t>建设资金的使用效率和效果，项目管理过程规范，完成了预期绩效目标等。同时，通过开展自我评价来总结经验和教训，为我县</w:t>
      </w:r>
      <w:r>
        <w:rPr>
          <w:rFonts w:hint="eastAsia" w:hAnsi="宋体" w:eastAsia="仿宋_GB2312" w:cs="宋体"/>
          <w:kern w:val="0"/>
          <w:sz w:val="32"/>
          <w:szCs w:val="32"/>
        </w:rPr>
        <w:t>烈士陵园维修项目</w:t>
      </w:r>
      <w:r>
        <w:rPr>
          <w:rFonts w:hint="eastAsia" w:ascii="仿宋_GB2312" w:hAnsi="新宋体" w:eastAsia="仿宋_GB2312" w:cs="新宋体"/>
          <w:bCs/>
          <w:sz w:val="32"/>
          <w:szCs w:val="32"/>
        </w:rPr>
        <w:t>项目工作在今后的开展提供参考建议。</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七、附表</w:t>
      </w:r>
    </w:p>
    <w:p>
      <w:pPr>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《项目支出绩效目标自评表》</w:t>
      </w:r>
    </w:p>
    <w:p>
      <w:pPr>
        <w:adjustRightInd w:val="0"/>
        <w:snapToGrid w:val="0"/>
        <w:spacing w:line="360" w:lineRule="auto"/>
        <w:ind w:firstLine="624" w:firstLineChars="200"/>
        <w:rPr>
          <w:rStyle w:val="19"/>
          <w:rFonts w:ascii="仿宋_GB2312" w:hAnsi="仿宋" w:eastAsia="仿宋_GB2312"/>
          <w:b w:val="0"/>
          <w:spacing w:val="-4"/>
          <w:sz w:val="32"/>
          <w:szCs w:val="32"/>
        </w:rPr>
      </w:pPr>
    </w:p>
    <w:p>
      <w:pPr>
        <w:spacing w:line="360" w:lineRule="auto"/>
        <w:ind w:firstLine="640" w:firstLineChars="200"/>
        <w:jc w:val="left"/>
        <w:rPr>
          <w:rFonts w:ascii="仿宋_GB2312" w:hAnsi="宋体" w:eastAsia="仿宋_GB2312" w:cs="宋体"/>
          <w:kern w:val="0"/>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640" w:firstLineChars="200"/>
        <w:rPr>
          <w:rFonts w:ascii="仿宋_GB2312" w:hAnsi="黑体" w:eastAsia="仿宋_GB2312" w:cs="黑体"/>
          <w:bCs/>
          <w:sz w:val="32"/>
          <w:szCs w:val="32"/>
        </w:rPr>
      </w:pPr>
    </w:p>
    <w:p>
      <w:pPr>
        <w:spacing w:line="360" w:lineRule="auto"/>
        <w:ind w:firstLine="420" w:firstLineChars="200"/>
        <w:rPr>
          <w:rFonts w:ascii="黑体" w:hAnsi="黑体" w:eastAsia="黑体" w:cs="黑体"/>
          <w:bCs/>
          <w:szCs w:val="32"/>
        </w:rPr>
      </w:pPr>
    </w:p>
    <w:p>
      <w:pPr>
        <w:spacing w:line="360" w:lineRule="auto"/>
        <w:ind w:firstLine="624" w:firstLineChars="200"/>
        <w:rPr>
          <w:rStyle w:val="19"/>
          <w:rFonts w:ascii="黑体" w:hAnsi="黑体" w:eastAsia="黑体"/>
          <w:b w:val="0"/>
          <w:spacing w:val="-4"/>
          <w:sz w:val="32"/>
          <w:szCs w:val="32"/>
        </w:rPr>
      </w:pPr>
    </w:p>
    <w:p>
      <w:pPr>
        <w:spacing w:line="360" w:lineRule="auto"/>
        <w:ind w:firstLine="624" w:firstLineChars="200"/>
        <w:rPr>
          <w:rStyle w:val="19"/>
          <w:rFonts w:ascii="黑体" w:hAnsi="黑体" w:eastAsia="黑体"/>
          <w:b w:val="0"/>
          <w:spacing w:val="-4"/>
          <w:sz w:val="32"/>
          <w:szCs w:val="32"/>
        </w:rPr>
      </w:pPr>
    </w:p>
    <w:p>
      <w:pPr>
        <w:spacing w:line="360" w:lineRule="auto"/>
        <w:ind w:firstLine="624" w:firstLineChars="200"/>
        <w:rPr>
          <w:rStyle w:val="19"/>
          <w:rFonts w:ascii="仿宋" w:hAnsi="仿宋" w:eastAsia="仿宋"/>
          <w:b w:val="0"/>
          <w:spacing w:val="-4"/>
          <w:sz w:val="32"/>
          <w:szCs w:val="32"/>
        </w:rPr>
      </w:pPr>
    </w:p>
    <w:p>
      <w:pPr>
        <w:spacing w:line="360" w:lineRule="auto"/>
        <w:ind w:firstLine="624" w:firstLineChars="200"/>
        <w:rPr>
          <w:rStyle w:val="19"/>
          <w:rFonts w:ascii="黑体" w:hAnsi="黑体" w:eastAsia="黑体"/>
          <w:b w:val="0"/>
          <w:spacing w:val="-4"/>
          <w:sz w:val="32"/>
          <w:szCs w:val="32"/>
        </w:rPr>
      </w:pPr>
    </w:p>
    <w:p>
      <w:pPr>
        <w:spacing w:line="360" w:lineRule="auto"/>
        <w:ind w:firstLine="624" w:firstLineChars="200"/>
        <w:rPr>
          <w:rStyle w:val="19"/>
          <w:rFonts w:ascii="黑体" w:hAnsi="黑体" w:eastAsia="黑体"/>
          <w:b w:val="0"/>
          <w:spacing w:val="-4"/>
          <w:sz w:val="32"/>
          <w:szCs w:val="32"/>
        </w:rPr>
      </w:pPr>
    </w:p>
    <w:p>
      <w:pPr>
        <w:spacing w:line="360" w:lineRule="auto"/>
        <w:ind w:firstLine="624" w:firstLineChars="200"/>
        <w:rPr>
          <w:rStyle w:val="19"/>
          <w:rFonts w:ascii="黑体" w:hAnsi="黑体" w:eastAsia="黑体"/>
          <w:b w:val="0"/>
          <w:spacing w:val="-4"/>
          <w:sz w:val="32"/>
          <w:szCs w:val="32"/>
        </w:rPr>
      </w:pPr>
    </w:p>
    <w:p>
      <w:pPr>
        <w:spacing w:line="360" w:lineRule="auto"/>
        <w:ind w:firstLine="624" w:firstLineChars="200"/>
        <w:rPr>
          <w:rStyle w:val="19"/>
          <w:rFonts w:ascii="黑体" w:hAnsi="黑体" w:eastAsia="黑体"/>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05C6"/>
    <w:multiLevelType w:val="multilevel"/>
    <w:tmpl w:val="0ACD05C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41A3"/>
    <w:rsid w:val="00050B08"/>
    <w:rsid w:val="00056465"/>
    <w:rsid w:val="00094B27"/>
    <w:rsid w:val="000D0DD1"/>
    <w:rsid w:val="00107245"/>
    <w:rsid w:val="00121AE4"/>
    <w:rsid w:val="00146AAD"/>
    <w:rsid w:val="001A3B66"/>
    <w:rsid w:val="001B2FE9"/>
    <w:rsid w:val="001B3A40"/>
    <w:rsid w:val="001D53B7"/>
    <w:rsid w:val="00224F93"/>
    <w:rsid w:val="0024604C"/>
    <w:rsid w:val="00254C25"/>
    <w:rsid w:val="002C3D4C"/>
    <w:rsid w:val="003A2943"/>
    <w:rsid w:val="003D7394"/>
    <w:rsid w:val="004366A8"/>
    <w:rsid w:val="004F5A49"/>
    <w:rsid w:val="00502BA7"/>
    <w:rsid w:val="00505AD5"/>
    <w:rsid w:val="005162F1"/>
    <w:rsid w:val="00535153"/>
    <w:rsid w:val="00554F82"/>
    <w:rsid w:val="0056390D"/>
    <w:rsid w:val="005719B0"/>
    <w:rsid w:val="005D10D6"/>
    <w:rsid w:val="005E6FFD"/>
    <w:rsid w:val="0060709B"/>
    <w:rsid w:val="0066058C"/>
    <w:rsid w:val="00676D40"/>
    <w:rsid w:val="006D0206"/>
    <w:rsid w:val="006F797B"/>
    <w:rsid w:val="007564F8"/>
    <w:rsid w:val="00790A7B"/>
    <w:rsid w:val="007E64A5"/>
    <w:rsid w:val="007E654D"/>
    <w:rsid w:val="00855E3A"/>
    <w:rsid w:val="008C6401"/>
    <w:rsid w:val="008F02D4"/>
    <w:rsid w:val="00922CB9"/>
    <w:rsid w:val="009E3EFB"/>
    <w:rsid w:val="009E5CD9"/>
    <w:rsid w:val="00A26421"/>
    <w:rsid w:val="00A4293B"/>
    <w:rsid w:val="00A67D50"/>
    <w:rsid w:val="00A77AFE"/>
    <w:rsid w:val="00A8691A"/>
    <w:rsid w:val="00A977D0"/>
    <w:rsid w:val="00AB0F7B"/>
    <w:rsid w:val="00AC1946"/>
    <w:rsid w:val="00B33944"/>
    <w:rsid w:val="00B40063"/>
    <w:rsid w:val="00B41F61"/>
    <w:rsid w:val="00B916D5"/>
    <w:rsid w:val="00B9688B"/>
    <w:rsid w:val="00BA2A1E"/>
    <w:rsid w:val="00BA46E6"/>
    <w:rsid w:val="00C56C72"/>
    <w:rsid w:val="00CA6457"/>
    <w:rsid w:val="00CB5F1B"/>
    <w:rsid w:val="00CC3AB5"/>
    <w:rsid w:val="00D070FC"/>
    <w:rsid w:val="00D17F2E"/>
    <w:rsid w:val="00D30354"/>
    <w:rsid w:val="00DA4E49"/>
    <w:rsid w:val="00DB2683"/>
    <w:rsid w:val="00DE79CE"/>
    <w:rsid w:val="00DF1ACC"/>
    <w:rsid w:val="00DF42A0"/>
    <w:rsid w:val="00DF73D1"/>
    <w:rsid w:val="00E23EC6"/>
    <w:rsid w:val="00E769FE"/>
    <w:rsid w:val="00EA2CBE"/>
    <w:rsid w:val="00EA5A0B"/>
    <w:rsid w:val="00EC0813"/>
    <w:rsid w:val="00EC7271"/>
    <w:rsid w:val="00F32FEE"/>
    <w:rsid w:val="00F4316E"/>
    <w:rsid w:val="00F43CB1"/>
    <w:rsid w:val="00FB10BB"/>
    <w:rsid w:val="00FB4D44"/>
    <w:rsid w:val="00FF0300"/>
    <w:rsid w:val="06A2492D"/>
    <w:rsid w:val="0A590277"/>
    <w:rsid w:val="0E275477"/>
    <w:rsid w:val="11C77EAC"/>
    <w:rsid w:val="223165AD"/>
    <w:rsid w:val="2AD325C4"/>
    <w:rsid w:val="314F5BA6"/>
    <w:rsid w:val="37243B9E"/>
    <w:rsid w:val="44186C69"/>
    <w:rsid w:val="44703BCA"/>
    <w:rsid w:val="4B424593"/>
    <w:rsid w:val="5BFC5718"/>
    <w:rsid w:val="6F7F79AA"/>
    <w:rsid w:val="76C8333A"/>
    <w:rsid w:val="7CE456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442</Words>
  <Characters>2526</Characters>
  <Lines>21</Lines>
  <Paragraphs>5</Paragraphs>
  <TotalTime>0</TotalTime>
  <ScaleCrop>false</ScaleCrop>
  <LinksUpToDate>false</LinksUpToDate>
  <CharactersWithSpaces>2963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2025-02-12T10:22:18Z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