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ascii="仿宋_GB2312" w:hAnsi="仿宋_GB2312" w:eastAsia="仿宋_GB2312" w:cs="仿宋_GB2312"/>
          <w:sz w:val="32"/>
          <w:szCs w:val="32"/>
        </w:rPr>
      </w:pPr>
      <w:r>
        <w:rPr>
          <w:rFonts w:hint="eastAsia" w:hAnsi="宋体" w:eastAsia="仿宋_GB2312" w:cs="宋体"/>
          <w:kern w:val="0"/>
          <w:sz w:val="36"/>
          <w:szCs w:val="36"/>
        </w:rPr>
        <w:t xml:space="preserve">     项目名称：</w:t>
      </w:r>
      <w:r>
        <w:rPr>
          <w:rFonts w:hint="eastAsia" w:ascii="仿宋_GB2312" w:hAnsi="仿宋_GB2312" w:eastAsia="仿宋_GB2312" w:cs="仿宋_GB2312"/>
          <w:sz w:val="32"/>
          <w:szCs w:val="32"/>
        </w:rPr>
        <w:t>救灾物资储备库建设项目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实施单位（公章）：叶城县民政局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主管部门（公章）：叶城县民政局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项目负责人（签章）：马斌</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2018年 12月 20日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60" w:lineRule="exact"/>
        <w:ind w:firstLine="643" w:firstLineChars="200"/>
        <w:rPr>
          <w:rFonts w:ascii="黑体" w:hAnsi="黑体" w:eastAsia="黑体" w:cs="黑体"/>
          <w:b/>
          <w:bCs/>
          <w:sz w:val="32"/>
          <w:szCs w:val="32"/>
        </w:rPr>
      </w:pPr>
      <w:r>
        <w:rPr>
          <w:rFonts w:hint="eastAsia" w:ascii="黑体" w:hAnsi="黑体" w:eastAsia="黑体" w:cs="黑体"/>
          <w:b/>
          <w:bCs/>
          <w:sz w:val="32"/>
          <w:szCs w:val="32"/>
        </w:rPr>
        <w:t>一、项目概况</w:t>
      </w:r>
    </w:p>
    <w:p>
      <w:pPr>
        <w:spacing w:line="560" w:lineRule="exact"/>
        <w:ind w:firstLine="643" w:firstLineChars="200"/>
        <w:rPr>
          <w:rFonts w:ascii="楷体_GB2312" w:hAnsi="黑体" w:eastAsia="楷体_GB2312" w:cs="黑体"/>
          <w:b/>
          <w:bCs/>
          <w:sz w:val="32"/>
          <w:szCs w:val="32"/>
        </w:rPr>
      </w:pPr>
      <w:r>
        <w:rPr>
          <w:rFonts w:hint="eastAsia" w:ascii="楷体_GB2312" w:hAnsi="黑体" w:eastAsia="楷体_GB2312" w:cs="黑体"/>
          <w:b/>
          <w:bCs/>
          <w:sz w:val="32"/>
          <w:szCs w:val="32"/>
        </w:rPr>
        <w:t>（一）项目单位基本情况</w:t>
      </w:r>
    </w:p>
    <w:p>
      <w:pPr>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叶城县民政局是叶城县人民政府职能部门现在阿里路民政福利园区，内设社会事务办公室、救灾救济办公室、低保办公室、财务室。所管辖的业务单位有：补助管理站、儿童福利院、老龄办、烈士陵园、社会福利厂、军用饮食供应站。2016年7月从原团结东路２７院搬迁至阿里路民政福利园区，新建的福利园区占地35亩，补助管理站、儿童福利院、老龄办、敬老院合署办公。民政局为行政单位下设，补助管理站、儿童福利、乡镇敬老院。编制情况：编制共计 20人，其中：行政编制11人，事业编制（参照公务员）8人，工勤编制1 人。</w:t>
      </w:r>
    </w:p>
    <w:p>
      <w:pPr>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主要职能：一是贯彻落实国家、自治区和地区的有关民政工作的方针、政策法规。结合叶城县的工作实际，做出民政事业中长期发展规划及年度工作计划，拟定工作制度，并认真组织实施，做好全县民政工作的监督检查。二是组织救灾工作，及时了解掌握和上报灾情；接收、管理、分配救灾款物，检查、监督救灾款物的使用情况；为全县发生的各种灾情进行救灾救济，为全县各乡镇五保户、贫困户解决生产、生活困难。做好对全县各乡（镇）敬老院的管理，切实保障五保对象的生活。三是根据国务院《城市居民最低生活保障条例》的规定，做好监督实施城市居民最低生活保障工作。解决叶城县无经济来源、无劳动能力、无抚养人三无人员、在职职工、离退休人员、下岗人员及失业人员的最低生活保障。根据国务院《关于在全国建立农村最低生活保障制度的通知》（国发〔2007〕19号）认真做好叶城县农村居民最低生活保障工作。四是做好儿童福利院工作，保障孤残儿童的健康发展，关心和爱护孤残儿童，改善孤儿的学习、日常生活等各方面的条件。</w:t>
      </w:r>
    </w:p>
    <w:p>
      <w:pPr>
        <w:spacing w:line="560" w:lineRule="exact"/>
        <w:ind w:firstLine="567" w:firstLineChars="181"/>
        <w:rPr>
          <w:rFonts w:ascii="仿宋_GB2312" w:hAnsi="仿宋_GB2312" w:eastAsia="仿宋_GB2312" w:cs="仿宋_GB2312"/>
          <w:bCs/>
          <w:kern w:val="0"/>
          <w:sz w:val="32"/>
          <w:szCs w:val="32"/>
        </w:rPr>
      </w:pPr>
      <w:r>
        <w:rPr>
          <w:rStyle w:val="19"/>
          <w:rFonts w:hint="eastAsia" w:ascii="楷体_GB2312" w:hAnsi="楷体" w:eastAsia="楷体_GB2312"/>
          <w:spacing w:val="-4"/>
          <w:sz w:val="32"/>
          <w:szCs w:val="32"/>
        </w:rPr>
        <w:t>（二）项目预算绩效目标设定情况</w:t>
      </w:r>
      <w:r>
        <w:rPr>
          <w:rFonts w:ascii="仿宋_GB2312" w:hAnsi="仿宋_GB2312" w:eastAsia="仿宋_GB2312" w:cs="仿宋_GB2312"/>
          <w:bCs/>
          <w:kern w:val="0"/>
          <w:sz w:val="32"/>
          <w:szCs w:val="32"/>
        </w:rPr>
        <w:tab/>
      </w:r>
    </w:p>
    <w:p>
      <w:pPr>
        <w:spacing w:line="560" w:lineRule="exact"/>
        <w:ind w:firstLine="800" w:firstLineChars="250"/>
        <w:rPr>
          <w:rFonts w:ascii="仿宋_GB2312" w:hAnsi="新宋体" w:eastAsia="仿宋_GB2312" w:cs="新宋体"/>
          <w:sz w:val="32"/>
          <w:szCs w:val="32"/>
        </w:rPr>
      </w:pPr>
      <w:r>
        <w:rPr>
          <w:rFonts w:hint="eastAsia" w:ascii="仿宋_GB2312" w:hAnsi="仿宋_GB2312" w:eastAsia="仿宋_GB2312" w:cs="仿宋_GB2312"/>
          <w:sz w:val="32"/>
          <w:szCs w:val="32"/>
        </w:rPr>
        <w:t>新</w:t>
      </w:r>
      <w:r>
        <w:rPr>
          <w:rFonts w:hint="eastAsia" w:ascii="仿宋_GB2312" w:hAnsi="新宋体" w:eastAsia="仿宋_GB2312" w:cs="新宋体"/>
          <w:sz w:val="32"/>
          <w:szCs w:val="32"/>
        </w:rPr>
        <w:t>建1个物资储备库，建筑面积792.5平方米，。项目总投资248万元，2018年8月1日开工、新建1个物资储备库，建筑面积792.5平方米，计划于2019年3月15日竣工。有效加强我县防灾减灾能力建设，</w:t>
      </w:r>
      <w:r>
        <w:rPr>
          <w:rFonts w:hint="eastAsia" w:ascii="仿宋_GB2312" w:hAnsi="仿宋_GB2312" w:eastAsia="仿宋_GB2312" w:cs="仿宋_GB2312"/>
          <w:bCs/>
          <w:kern w:val="0"/>
          <w:sz w:val="32"/>
          <w:szCs w:val="32"/>
        </w:rPr>
        <w:t>项目基本性质为基本建设类新增项目</w:t>
      </w:r>
      <w:r>
        <w:rPr>
          <w:rFonts w:hint="eastAsia" w:ascii="仿宋_GB2312" w:hAnsi="新宋体" w:eastAsia="仿宋_GB2312" w:cs="新宋体"/>
          <w:sz w:val="32"/>
          <w:szCs w:val="32"/>
        </w:rPr>
        <w:t>。</w:t>
      </w:r>
    </w:p>
    <w:p>
      <w:pPr>
        <w:spacing w:line="560" w:lineRule="exact"/>
        <w:ind w:firstLine="783" w:firstLineChars="250"/>
        <w:rPr>
          <w:rStyle w:val="19"/>
          <w:rFonts w:ascii="黑体" w:hAnsi="黑体" w:eastAsia="黑体"/>
          <w:b w:val="0"/>
          <w:spacing w:val="-4"/>
          <w:sz w:val="32"/>
          <w:szCs w:val="32"/>
        </w:rPr>
      </w:pPr>
      <w:r>
        <w:rPr>
          <w:rStyle w:val="19"/>
          <w:rFonts w:hint="eastAsia" w:ascii="黑体" w:hAnsi="黑体" w:eastAsia="黑体"/>
          <w:spacing w:val="-4"/>
          <w:sz w:val="32"/>
          <w:szCs w:val="32"/>
        </w:rPr>
        <w:t>二、项目资金使用及管理情况</w:t>
      </w:r>
    </w:p>
    <w:p>
      <w:pPr>
        <w:spacing w:line="560" w:lineRule="exact"/>
        <w:ind w:firstLine="567" w:firstLineChars="18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（一）项目资金安排落实、总投入等情况分析</w:t>
      </w:r>
    </w:p>
    <w:p>
      <w:pPr>
        <w:spacing w:line="560" w:lineRule="exact"/>
        <w:ind w:firstLine="564" w:firstLineChars="181"/>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根据新财建〔2018〕0044、喀地财建［2018］18号号文件要求，本项目资金248万元，其中财政资金248万元，其他资金0万元，资金到位248万元；资金到位率100%。</w:t>
      </w:r>
    </w:p>
    <w:p>
      <w:pPr>
        <w:spacing w:line="560" w:lineRule="exact"/>
        <w:ind w:firstLine="567" w:firstLineChars="18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（二）项目资金实际使用情况分析</w:t>
      </w:r>
    </w:p>
    <w:p>
      <w:pPr>
        <w:spacing w:line="560" w:lineRule="exact"/>
        <w:ind w:firstLine="480" w:firstLineChars="1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根据新财建〔2018〕0044、喀地财建［2018］18号资金的文件，到位资金</w:t>
      </w:r>
      <w:r>
        <w:rPr>
          <w:rFonts w:hint="eastAsia" w:ascii="仿宋_GB2312" w:hAnsi="仿宋" w:eastAsia="仿宋_GB2312" w:cs="仿宋"/>
          <w:sz w:val="32"/>
          <w:szCs w:val="32"/>
        </w:rPr>
        <w:t>248</w:t>
      </w:r>
      <w:r>
        <w:rPr>
          <w:rFonts w:hint="eastAsia" w:ascii="仿宋_GB2312" w:hAnsi="仿宋_GB2312" w:eastAsia="仿宋_GB2312" w:cs="仿宋_GB2312"/>
          <w:sz w:val="32"/>
          <w:szCs w:val="32"/>
        </w:rPr>
        <w:t>万元，本项目实际支付资金</w:t>
      </w:r>
      <w:r>
        <w:rPr>
          <w:rFonts w:hint="eastAsia" w:ascii="仿宋_GB2312" w:hAnsi="仿宋" w:eastAsia="仿宋_GB2312" w:cs="仿宋"/>
          <w:sz w:val="32"/>
          <w:szCs w:val="32"/>
        </w:rPr>
        <w:t>248</w:t>
      </w:r>
      <w:r>
        <w:rPr>
          <w:rFonts w:hint="eastAsia" w:ascii="仿宋_GB2312" w:hAnsi="仿宋_GB2312" w:eastAsia="仿宋_GB2312" w:cs="仿宋_GB2312"/>
          <w:sz w:val="32"/>
          <w:szCs w:val="32"/>
        </w:rPr>
        <w:t>万元，预算执行率100%，项目资金主要用于支付</w:t>
      </w:r>
      <w:r>
        <w:rPr>
          <w:rFonts w:hint="eastAsia" w:ascii="仿宋_GB2312" w:hAnsi="仿宋_GB2312" w:eastAsia="仿宋_GB2312" w:cs="仿宋_GB2312"/>
          <w:kern w:val="0"/>
          <w:sz w:val="32"/>
          <w:szCs w:val="32"/>
        </w:rPr>
        <w:t>其中费用主要用于项目地质勘查、图纸设计、招标代理费、测绘服务费、评审费和监理费万元、施工预付资金和进度款</w:t>
      </w:r>
      <w:r>
        <w:rPr>
          <w:rFonts w:hint="eastAsia" w:ascii="仿宋_GB2312" w:hAnsi="仿宋_GB2312" w:eastAsia="仿宋_GB2312" w:cs="仿宋_GB2312"/>
          <w:sz w:val="32"/>
          <w:szCs w:val="32"/>
        </w:rPr>
        <w:t>等建设项目支出事项，结余0万元。</w:t>
      </w:r>
    </w:p>
    <w:p>
      <w:pPr>
        <w:adjustRightInd w:val="0"/>
        <w:snapToGrid w:val="0"/>
        <w:spacing w:line="560" w:lineRule="exact"/>
        <w:ind w:firstLine="480" w:firstLineChars="15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根据中央和自治区项目资金管理办法的要求，我单位严格按照项目资金规定的专项资金支持的项目条件和范围要求，严格按照有关规定使用管理项目资金。</w:t>
      </w:r>
    </w:p>
    <w:p>
      <w:pPr>
        <w:spacing w:line="560" w:lineRule="exact"/>
        <w:ind w:firstLine="567" w:firstLineChars="18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（三）项目资金管理情况分析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工程项目资金管理办法和上级财政资金管理制度支付资金；资金支付由本单位分管领导、主管财务领导、财政等各级部门审批审核；资金的支付有完整的审批程序和手续符合制度要求；不存在截留、挤占、挪用、虚列支出等情况。</w:t>
      </w:r>
    </w:p>
    <w:p>
      <w:pPr>
        <w:spacing w:line="560" w:lineRule="exact"/>
        <w:ind w:firstLine="200"/>
        <w:rPr>
          <w:rStyle w:val="19"/>
          <w:rFonts w:ascii="黑体" w:hAnsi="黑体" w:eastAsia="黑体"/>
          <w:b w:val="0"/>
          <w:spacing w:val="-4"/>
          <w:sz w:val="32"/>
          <w:szCs w:val="32"/>
        </w:rPr>
      </w:pPr>
      <w:r>
        <w:rPr>
          <w:rStyle w:val="19"/>
          <w:rFonts w:hint="eastAsia" w:ascii="黑体" w:hAnsi="黑体" w:eastAsia="黑体"/>
          <w:spacing w:val="-4"/>
          <w:sz w:val="32"/>
          <w:szCs w:val="32"/>
        </w:rPr>
        <w:t>三、项目组织实施情况</w:t>
      </w:r>
    </w:p>
    <w:p>
      <w:pPr>
        <w:spacing w:line="560" w:lineRule="exact"/>
        <w:ind w:firstLine="567" w:firstLineChars="18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（一）项目组织情况分析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为保证项目质量和成本控制，我单位积极与政府采购</w:t>
      </w:r>
      <w:bookmarkStart w:id="0" w:name="_GoBack"/>
      <w:bookmarkEnd w:id="0"/>
      <w:r>
        <w:rPr>
          <w:rFonts w:hint="eastAsia" w:ascii="仿宋_GB2312" w:hAnsi="仿宋_GB2312" w:eastAsia="仿宋_GB2312" w:cs="仿宋_GB2312"/>
          <w:sz w:val="32"/>
          <w:szCs w:val="32"/>
        </w:rPr>
        <w:t>及发改等各单位对接，进行了咨询、询问工作，为保质保量完成工程建设项目提供了强有力的技术支撑，由于该项目属于工程类项目,通过</w:t>
      </w:r>
      <w:r>
        <w:rPr>
          <w:rFonts w:hint="eastAsia" w:ascii="仿宋_GB2312" w:eastAsia="仿宋_GB2312"/>
          <w:sz w:val="32"/>
          <w:szCs w:val="32"/>
        </w:rPr>
        <w:t>做可研性报告、立项、挂网招标、相关的环境评价、组织工程等环节后，组织中标施工方开展工程实施</w:t>
      </w:r>
      <w:r>
        <w:rPr>
          <w:rFonts w:hint="eastAsia" w:ascii="仿宋_GB2312" w:hAnsi="仿宋_GB2312" w:eastAsia="仿宋_GB2312" w:cs="仿宋_GB2312"/>
          <w:sz w:val="32"/>
          <w:szCs w:val="32"/>
        </w:rPr>
        <w:t>。实施过程均按照工程建设各项管理制度执行。本项目不存在调整情况</w:t>
      </w:r>
    </w:p>
    <w:p>
      <w:pPr>
        <w:spacing w:line="560" w:lineRule="exact"/>
        <w:ind w:firstLine="567" w:firstLineChars="18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（二）项目管理情况分析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过程中，我单位严格按照各项工程建设制度实施项目，保障项目的顺利实施。项目的实施遵守相关法律法规和业务管理规定，项目资料齐全并及时装订、归档。不定期对项目进度情况进行督导检查，对检查过程中发现的问题及时督促整改，确保了项目按时保质完成。</w:t>
      </w:r>
    </w:p>
    <w:p>
      <w:pPr>
        <w:spacing w:line="560" w:lineRule="exact"/>
        <w:ind w:firstLine="200"/>
        <w:rPr>
          <w:rStyle w:val="19"/>
          <w:rFonts w:ascii="黑体" w:hAnsi="黑体" w:eastAsia="黑体"/>
          <w:sz w:val="32"/>
          <w:szCs w:val="32"/>
        </w:rPr>
      </w:pPr>
      <w:r>
        <w:rPr>
          <w:rStyle w:val="19"/>
          <w:rFonts w:hint="eastAsia" w:ascii="黑体" w:hAnsi="黑体" w:eastAsia="黑体"/>
          <w:spacing w:val="-4"/>
          <w:sz w:val="32"/>
          <w:szCs w:val="32"/>
        </w:rPr>
        <w:t>四、项目绩效情况</w:t>
      </w:r>
    </w:p>
    <w:p>
      <w:pPr>
        <w:spacing w:line="560" w:lineRule="exact"/>
        <w:ind w:firstLine="567" w:firstLineChars="181"/>
        <w:rPr>
          <w:rFonts w:ascii="楷体_GB2312" w:hAnsi="楷体" w:eastAsia="楷体_GB2312"/>
          <w:b/>
          <w:spacing w:val="-4"/>
          <w:sz w:val="32"/>
          <w:szCs w:val="32"/>
        </w:rPr>
      </w:pPr>
      <w:r>
        <w:rPr>
          <w:rFonts w:hint="eastAsia" w:ascii="楷体_GB2312" w:hAnsi="楷体" w:eastAsia="楷体_GB2312"/>
          <w:b/>
          <w:spacing w:val="-4"/>
          <w:sz w:val="32"/>
          <w:szCs w:val="32"/>
        </w:rPr>
        <w:t>（一）项目绩效目标完成情况分析</w:t>
      </w:r>
    </w:p>
    <w:p>
      <w:pPr>
        <w:widowControl/>
        <w:spacing w:line="560" w:lineRule="exact"/>
        <w:ind w:firstLine="320" w:firstLineChars="1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本项目共设置一级指标3个，二级指标7个，三级指标13个，其中已完成三级指标13个，指标完成率为100%。根据年初设定的绩效目标，此项目自评得分为94分。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救灾物资储备库项目建设面积792.5平方米，救灾物资储备库项目新建数量1个，完成率100%。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救灾物资储备库项目将严格按工程项目验收质量指标进行验收，项目质量验收合格率100%，项目建设验收合格率100%。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救灾物资储备库项目为工程建设类项目，将严格按工程进度审核后实施，项目开工及时率100%，项目竣工及时率100%。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救灾物资储备库项目建设成本248万元，救灾物资储备库项目建建设造价3129元/㎡,完成率100%。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项目实施使形成有效的救灾物资储备体系，受益的困难群众人数达20000人，受益乡镇（场区）28个，</w:t>
      </w:r>
      <w:r>
        <w:rPr>
          <w:rFonts w:hint="eastAsia" w:ascii="仿宋_GB2312" w:hAnsi="新宋体" w:eastAsia="仿宋_GB2312" w:cs="新宋体"/>
          <w:sz w:val="32"/>
          <w:szCs w:val="32"/>
        </w:rPr>
        <w:t>有效加强我县防灾减灾能力建设。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 xml:space="preserve"> 项目使用年限50年</w:t>
      </w:r>
      <w:r>
        <w:rPr>
          <w:rFonts w:hint="eastAsia" w:ascii="仿宋_GB2312" w:hAnsi="仿宋_GB2312" w:eastAsia="仿宋_GB2312" w:cs="仿宋_GB2312"/>
          <w:sz w:val="32"/>
          <w:szCs w:val="32"/>
        </w:rPr>
        <w:t>。</w:t>
      </w:r>
    </w:p>
    <w:p>
      <w:pPr>
        <w:spacing w:line="560" w:lineRule="exact"/>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按计划完成项目实施，受益的困难群众满意度率超过90%，服务对象满意度指标完成。</w:t>
      </w:r>
    </w:p>
    <w:p>
      <w:pPr>
        <w:spacing w:line="560" w:lineRule="exact"/>
        <w:ind w:firstLine="567" w:firstLineChars="181"/>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2018年本项目绩效目标全部达成，不存在未完成原因分析。</w:t>
      </w:r>
    </w:p>
    <w:p>
      <w:pPr>
        <w:spacing w:line="560" w:lineRule="exact"/>
        <w:ind w:firstLine="200"/>
        <w:rPr>
          <w:rStyle w:val="19"/>
          <w:rFonts w:ascii="黑体" w:hAnsi="黑体" w:eastAsia="黑体"/>
          <w:b w:val="0"/>
          <w:spacing w:val="-4"/>
          <w:sz w:val="32"/>
          <w:szCs w:val="32"/>
        </w:rPr>
      </w:pPr>
      <w:r>
        <w:rPr>
          <w:rStyle w:val="19"/>
          <w:rFonts w:hint="eastAsia" w:ascii="黑体" w:hAnsi="黑体" w:eastAsia="黑体"/>
          <w:spacing w:val="-4"/>
          <w:sz w:val="32"/>
          <w:szCs w:val="32"/>
        </w:rPr>
        <w:t>五、其他需要说明的问题</w:t>
      </w:r>
    </w:p>
    <w:p>
      <w:pPr>
        <w:spacing w:line="560" w:lineRule="exact"/>
        <w:ind w:firstLine="567" w:firstLineChars="181"/>
        <w:rPr>
          <w:rFonts w:ascii="楷体_GB2312" w:hAnsi="楷体" w:eastAsia="楷体_GB2312"/>
          <w:b/>
          <w:spacing w:val="-4"/>
          <w:sz w:val="32"/>
          <w:szCs w:val="32"/>
        </w:rPr>
      </w:pPr>
      <w:r>
        <w:rPr>
          <w:rFonts w:hint="eastAsia" w:ascii="楷体_GB2312" w:hAnsi="楷体" w:eastAsia="楷体_GB2312"/>
          <w:b/>
          <w:spacing w:val="-4"/>
          <w:sz w:val="32"/>
          <w:szCs w:val="32"/>
        </w:rPr>
        <w:t>（一）后续工作计划</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新宋体" w:eastAsia="仿宋_GB2312" w:cs="新宋体"/>
          <w:bCs/>
          <w:sz w:val="32"/>
          <w:szCs w:val="32"/>
        </w:rPr>
        <w:t>按计划完成项目绩效目标，加强对项目资金的管理，加强项目档案的管理，项目完成后指定专人负责，制定运行方案，切实发挥该项目的作用。</w:t>
      </w:r>
      <w:r>
        <w:rPr>
          <w:rFonts w:hint="eastAsia" w:ascii="仿宋_GB2312" w:hAnsi="仿宋_GB2312" w:eastAsia="仿宋_GB2312" w:cs="仿宋_GB2312"/>
          <w:kern w:val="0"/>
          <w:sz w:val="32"/>
          <w:szCs w:val="32"/>
        </w:rPr>
        <w:t>建立项目管理制度建设。建立日常检查监督管理制度。</w:t>
      </w:r>
    </w:p>
    <w:p>
      <w:pPr>
        <w:spacing w:line="560" w:lineRule="exact"/>
        <w:ind w:firstLine="567" w:firstLineChars="181"/>
        <w:rPr>
          <w:rFonts w:ascii="楷体_GB2312" w:hAnsi="楷体" w:eastAsia="楷体_GB2312"/>
          <w:b/>
          <w:spacing w:val="-4"/>
          <w:sz w:val="32"/>
          <w:szCs w:val="32"/>
        </w:rPr>
      </w:pPr>
      <w:r>
        <w:rPr>
          <w:rFonts w:hint="eastAsia" w:ascii="楷体_GB2312" w:hAnsi="楷体" w:eastAsia="楷体_GB2312"/>
          <w:b/>
          <w:spacing w:val="-4"/>
          <w:sz w:val="32"/>
          <w:szCs w:val="32"/>
        </w:rPr>
        <w:t>（二）主要经验及做法、存在问题和建议</w:t>
      </w:r>
    </w:p>
    <w:p>
      <w:pPr>
        <w:spacing w:line="560" w:lineRule="exact"/>
        <w:ind w:left="181" w:leftChars="86" w:firstLine="480" w:firstLineChars="150"/>
        <w:jc w:val="left"/>
        <w:rPr>
          <w:rFonts w:ascii="仿宋_GB2312" w:hAnsi="新宋体" w:eastAsia="仿宋_GB2312" w:cs="新宋体"/>
          <w:bCs/>
          <w:sz w:val="32"/>
          <w:szCs w:val="32"/>
        </w:rPr>
      </w:pPr>
      <w:r>
        <w:rPr>
          <w:rFonts w:hint="eastAsia" w:ascii="仿宋_GB2312" w:hAnsi="新宋体" w:eastAsia="仿宋_GB2312" w:cs="新宋体"/>
          <w:bCs/>
          <w:sz w:val="32"/>
          <w:szCs w:val="32"/>
        </w:rPr>
        <w:t>通过预算绩效管理，总结了工作中的较好的经验，发现了工作中存在的不足，在今后工作中要在年初做好资金计划，按照工程项目进度及时拨付资金，使资金使用效益最大化，减少不必要的浪费，节约成本。在今后的工作中救灾物资储备库建设项目资金的使用按照政策标准，专款专用，做到政务公开，执行“阳光操作”，保证各项工作公开透明。</w:t>
      </w:r>
    </w:p>
    <w:p>
      <w:pPr>
        <w:spacing w:line="560" w:lineRule="exact"/>
        <w:ind w:firstLine="567" w:firstLineChars="181"/>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adjustRightInd w:val="0"/>
        <w:snapToGrid w:val="0"/>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无其他说明内容。</w:t>
      </w:r>
    </w:p>
    <w:p>
      <w:pPr>
        <w:spacing w:line="560" w:lineRule="exact"/>
        <w:ind w:firstLine="200"/>
        <w:rPr>
          <w:rStyle w:val="19"/>
          <w:rFonts w:ascii="黑体" w:hAnsi="黑体" w:eastAsia="黑体"/>
          <w:b w:val="0"/>
          <w:spacing w:val="-4"/>
          <w:sz w:val="32"/>
          <w:szCs w:val="32"/>
        </w:rPr>
      </w:pPr>
      <w:r>
        <w:rPr>
          <w:rStyle w:val="19"/>
          <w:rFonts w:hint="eastAsia" w:ascii="黑体" w:hAnsi="黑体" w:eastAsia="黑体"/>
          <w:spacing w:val="-4"/>
          <w:sz w:val="32"/>
          <w:szCs w:val="32"/>
        </w:rPr>
        <w:t>六、项目评价工作情况</w:t>
      </w:r>
    </w:p>
    <w:p>
      <w:pPr>
        <w:adjustRightInd w:val="0"/>
        <w:snapToGrid w:val="0"/>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本次评价通过文件研读、实地调研、数据分析等方式，做好救灾物资储备库建设项目政策的宣传，规范救灾物资储备库建设项目政策实施中的程序，合理确定标准，全面了解救灾物资储备库建设项目资金的使用效率和效果，项目管理过程规范，完成了预期绩效目标等。同时，通过开展自我评价来总结经验和教训，为我县救灾物资储备库建设项目工作在今后的开展提供参考建议。</w:t>
      </w:r>
    </w:p>
    <w:p>
      <w:pPr>
        <w:spacing w:line="560" w:lineRule="exact"/>
        <w:ind w:firstLine="200"/>
        <w:rPr>
          <w:rStyle w:val="19"/>
          <w:rFonts w:ascii="黑体" w:hAnsi="黑体" w:eastAsia="黑体"/>
          <w:b w:val="0"/>
          <w:spacing w:val="-4"/>
          <w:sz w:val="32"/>
          <w:szCs w:val="32"/>
        </w:rPr>
      </w:pPr>
      <w:r>
        <w:rPr>
          <w:rStyle w:val="19"/>
          <w:rFonts w:hint="eastAsia" w:ascii="黑体" w:hAnsi="黑体" w:eastAsia="黑体"/>
          <w:spacing w:val="-4"/>
          <w:sz w:val="32"/>
          <w:szCs w:val="32"/>
        </w:rPr>
        <w:t>七、附表</w:t>
      </w:r>
    </w:p>
    <w:p>
      <w:pPr>
        <w:spacing w:line="560" w:lineRule="exact"/>
        <w:ind w:firstLine="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《项目支出绩效目标自评表》</w:t>
      </w:r>
    </w:p>
    <w:p>
      <w:pPr>
        <w:spacing w:line="460" w:lineRule="exact"/>
        <w:ind w:firstLine="567"/>
        <w:rPr>
          <w:rStyle w:val="19"/>
          <w:rFonts w:ascii="仿宋" w:hAnsi="仿宋" w:eastAsia="仿宋"/>
          <w:b w:val="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32EBB"/>
    <w:rsid w:val="00056465"/>
    <w:rsid w:val="000E039B"/>
    <w:rsid w:val="00121AE4"/>
    <w:rsid w:val="00146AAD"/>
    <w:rsid w:val="00161054"/>
    <w:rsid w:val="001632B4"/>
    <w:rsid w:val="0016777C"/>
    <w:rsid w:val="00175910"/>
    <w:rsid w:val="001B3A40"/>
    <w:rsid w:val="001C116E"/>
    <w:rsid w:val="002441A9"/>
    <w:rsid w:val="00246BC2"/>
    <w:rsid w:val="00254F73"/>
    <w:rsid w:val="00262836"/>
    <w:rsid w:val="00324632"/>
    <w:rsid w:val="003613A5"/>
    <w:rsid w:val="00375D7E"/>
    <w:rsid w:val="003A1D22"/>
    <w:rsid w:val="003C5BF6"/>
    <w:rsid w:val="004366A8"/>
    <w:rsid w:val="00450478"/>
    <w:rsid w:val="004A03EB"/>
    <w:rsid w:val="004A7CC9"/>
    <w:rsid w:val="004D2A76"/>
    <w:rsid w:val="004D2F24"/>
    <w:rsid w:val="00500EC9"/>
    <w:rsid w:val="00502BA7"/>
    <w:rsid w:val="00505CE7"/>
    <w:rsid w:val="005162F1"/>
    <w:rsid w:val="00535153"/>
    <w:rsid w:val="00554F82"/>
    <w:rsid w:val="0056390D"/>
    <w:rsid w:val="005719B0"/>
    <w:rsid w:val="005D10D6"/>
    <w:rsid w:val="00731ADC"/>
    <w:rsid w:val="007A2E5C"/>
    <w:rsid w:val="007C05B5"/>
    <w:rsid w:val="00841E69"/>
    <w:rsid w:val="00854C4C"/>
    <w:rsid w:val="00855E3A"/>
    <w:rsid w:val="008A6F4C"/>
    <w:rsid w:val="008A7C9C"/>
    <w:rsid w:val="008C2267"/>
    <w:rsid w:val="00922CB9"/>
    <w:rsid w:val="0096318D"/>
    <w:rsid w:val="009A6847"/>
    <w:rsid w:val="009C44B1"/>
    <w:rsid w:val="009E5CD9"/>
    <w:rsid w:val="00A02A8B"/>
    <w:rsid w:val="00A10539"/>
    <w:rsid w:val="00A26421"/>
    <w:rsid w:val="00A4293B"/>
    <w:rsid w:val="00A64EB4"/>
    <w:rsid w:val="00A67D50"/>
    <w:rsid w:val="00A82B37"/>
    <w:rsid w:val="00A8691A"/>
    <w:rsid w:val="00AB210C"/>
    <w:rsid w:val="00AC1946"/>
    <w:rsid w:val="00B40063"/>
    <w:rsid w:val="00B41F61"/>
    <w:rsid w:val="00B860D1"/>
    <w:rsid w:val="00BA46E6"/>
    <w:rsid w:val="00C56C72"/>
    <w:rsid w:val="00C85E98"/>
    <w:rsid w:val="00CA6457"/>
    <w:rsid w:val="00CE6890"/>
    <w:rsid w:val="00D17F2E"/>
    <w:rsid w:val="00D30354"/>
    <w:rsid w:val="00DC28C9"/>
    <w:rsid w:val="00DF42A0"/>
    <w:rsid w:val="00DF47B1"/>
    <w:rsid w:val="00E57E3A"/>
    <w:rsid w:val="00E769FE"/>
    <w:rsid w:val="00EA2CBE"/>
    <w:rsid w:val="00ED55D1"/>
    <w:rsid w:val="00F1480F"/>
    <w:rsid w:val="00F32FEE"/>
    <w:rsid w:val="00F35BF1"/>
    <w:rsid w:val="00FB10BB"/>
    <w:rsid w:val="01C26316"/>
    <w:rsid w:val="0A590277"/>
    <w:rsid w:val="0E275477"/>
    <w:rsid w:val="11FE7BD5"/>
    <w:rsid w:val="12A75E44"/>
    <w:rsid w:val="12FA11C7"/>
    <w:rsid w:val="18592661"/>
    <w:rsid w:val="232738FB"/>
    <w:rsid w:val="314F5BA6"/>
    <w:rsid w:val="32EC5A66"/>
    <w:rsid w:val="3484185C"/>
    <w:rsid w:val="37243B9E"/>
    <w:rsid w:val="3AE46008"/>
    <w:rsid w:val="3E66095F"/>
    <w:rsid w:val="44186C69"/>
    <w:rsid w:val="45200686"/>
    <w:rsid w:val="4B424593"/>
    <w:rsid w:val="4E6579BD"/>
    <w:rsid w:val="5BFC5718"/>
    <w:rsid w:val="660F0157"/>
    <w:rsid w:val="67081010"/>
    <w:rsid w:val="68905F7A"/>
    <w:rsid w:val="68A72F26"/>
    <w:rsid w:val="6AD60C7A"/>
    <w:rsid w:val="76C8333A"/>
    <w:rsid w:val="7E3D16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01"/>
    <w:basedOn w:val="18"/>
    <w:qFormat/>
    <w:uiPriority w:val="0"/>
    <w:rPr>
      <w:rFonts w:hint="eastAsia" w:ascii="宋体" w:hAnsi="宋体" w:eastAsia="宋体" w:cs="宋体"/>
      <w:color w:val="000000"/>
      <w:sz w:val="16"/>
      <w:szCs w:val="16"/>
      <w:u w:val="none"/>
    </w:rPr>
  </w:style>
  <w:style w:type="character" w:customStyle="1" w:styleId="48">
    <w:name w:val="font31"/>
    <w:basedOn w:val="18"/>
    <w:qFormat/>
    <w:uiPriority w:val="0"/>
    <w:rPr>
      <w:rFonts w:hint="eastAsia" w:ascii="宋体" w:hAnsi="宋体" w:eastAsia="宋体" w:cs="宋体"/>
      <w:color w:val="000000"/>
      <w:sz w:val="24"/>
      <w:szCs w:val="24"/>
      <w:u w:val="none"/>
    </w:rPr>
  </w:style>
  <w:style w:type="character" w:customStyle="1" w:styleId="49">
    <w:name w:val="font11"/>
    <w:basedOn w:val="18"/>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429</Words>
  <Characters>2451</Characters>
  <Lines>20</Lines>
  <Paragraphs>5</Paragraphs>
  <TotalTime>0</TotalTime>
  <ScaleCrop>false</ScaleCrop>
  <LinksUpToDate>false</LinksUpToDate>
  <CharactersWithSpaces>2875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2025-02-12T10:22:54Z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