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bCs/>
          <w:szCs w:val="3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jc w:val="center"/>
        <w:rPr>
          <w:rFonts w:hint="eastAsia" w:ascii="黑体" w:hAnsi="黑体" w:eastAsia="黑体" w:cs="宋体"/>
          <w:b/>
          <w:sz w:val="44"/>
          <w:szCs w:val="44"/>
        </w:rPr>
      </w:pPr>
      <w:r>
        <w:rPr>
          <w:rFonts w:hint="eastAsia" w:ascii="黑体" w:hAnsi="黑体" w:eastAsia="黑体" w:cs="Arial"/>
          <w:b/>
          <w:sz w:val="44"/>
          <w:szCs w:val="44"/>
        </w:rPr>
        <w:t>新疆叶城县中央</w:t>
      </w:r>
      <w:r>
        <w:rPr>
          <w:rFonts w:hint="eastAsia" w:ascii="黑体" w:hAnsi="黑体" w:eastAsia="黑体" w:cs="宋体"/>
          <w:b/>
          <w:sz w:val="44"/>
          <w:szCs w:val="44"/>
        </w:rPr>
        <w:t>专项转移支付绩效自评</w:t>
      </w:r>
    </w:p>
    <w:p>
      <w:pPr>
        <w:jc w:val="center"/>
        <w:rPr>
          <w:rFonts w:ascii="黑体" w:hAnsi="黑体" w:eastAsia="黑体" w:cs="宋体"/>
          <w:b/>
          <w:sz w:val="44"/>
          <w:szCs w:val="44"/>
        </w:rPr>
      </w:pPr>
      <w:r>
        <w:rPr>
          <w:rFonts w:hint="eastAsia" w:ascii="黑体" w:hAnsi="黑体" w:eastAsia="黑体" w:cs="宋体"/>
          <w:b/>
          <w:sz w:val="44"/>
          <w:szCs w:val="44"/>
        </w:rPr>
        <w:t>报告</w:t>
      </w:r>
    </w:p>
    <w:p>
      <w:pPr>
        <w:spacing w:line="540" w:lineRule="exact"/>
        <w:jc w:val="center"/>
        <w:rPr>
          <w:rFonts w:ascii="黑体" w:hAnsi="黑体" w:eastAsia="黑体" w:cs="宋体"/>
          <w:kern w:val="0"/>
          <w:sz w:val="44"/>
          <w:szCs w:val="44"/>
        </w:rPr>
      </w:pPr>
      <w:r>
        <w:rPr>
          <w:rFonts w:hint="eastAsia" w:ascii="黑体" w:hAnsi="黑体" w:eastAsia="黑体" w:cs="宋体"/>
          <w:kern w:val="0"/>
          <w:sz w:val="44"/>
          <w:szCs w:val="44"/>
        </w:rPr>
        <w:t>（2018年度）</w:t>
      </w:r>
    </w:p>
    <w:p>
      <w:pPr>
        <w:spacing w:line="540" w:lineRule="exact"/>
        <w:jc w:val="center"/>
        <w:rPr>
          <w:rFonts w:hAnsi="宋体" w:cs="宋体"/>
          <w:kern w:val="0"/>
          <w:szCs w:val="30"/>
        </w:rPr>
      </w:pPr>
    </w:p>
    <w:p>
      <w:pPr>
        <w:spacing w:line="540" w:lineRule="exact"/>
        <w:rPr>
          <w:rFonts w:hAnsi="宋体" w:cs="宋体"/>
          <w:kern w:val="0"/>
          <w:szCs w:val="30"/>
        </w:rPr>
      </w:pPr>
    </w:p>
    <w:p>
      <w:pPr>
        <w:spacing w:line="540" w:lineRule="exact"/>
        <w:rPr>
          <w:rFonts w:hAnsi="宋体" w:cs="宋体"/>
          <w:kern w:val="0"/>
          <w:szCs w:val="30"/>
        </w:rPr>
      </w:pPr>
    </w:p>
    <w:p>
      <w:pPr>
        <w:spacing w:line="540" w:lineRule="exact"/>
        <w:rPr>
          <w:rFonts w:hAnsi="宋体" w:cs="宋体"/>
          <w:kern w:val="0"/>
          <w:szCs w:val="30"/>
        </w:rPr>
      </w:pPr>
    </w:p>
    <w:p>
      <w:pPr>
        <w:spacing w:line="540" w:lineRule="exact"/>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60" w:lineRule="exact"/>
        <w:ind w:firstLine="703"/>
        <w:jc w:val="left"/>
        <w:rPr>
          <w:rFonts w:hAnsi="宋体" w:cs="宋体"/>
          <w:kern w:val="0"/>
          <w:sz w:val="32"/>
          <w:szCs w:val="32"/>
        </w:rPr>
      </w:pPr>
    </w:p>
    <w:p>
      <w:pPr>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项目名称：</w:t>
      </w:r>
      <w:r>
        <w:rPr>
          <w:rFonts w:hint="eastAsia" w:ascii="仿宋_GB2312" w:hAnsi="仿宋_GB2312" w:eastAsia="仿宋_GB2312" w:cs="仿宋_GB2312"/>
          <w:sz w:val="32"/>
          <w:szCs w:val="32"/>
        </w:rPr>
        <w:t>城乡补助项目</w:t>
      </w:r>
    </w:p>
    <w:p>
      <w:pPr>
        <w:adjustRightInd w:val="0"/>
        <w:snapToGrid w:val="0"/>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实施单位（公章）：叶城县民政局</w:t>
      </w:r>
    </w:p>
    <w:p>
      <w:pPr>
        <w:adjustRightInd w:val="0"/>
        <w:snapToGrid w:val="0"/>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主管部门（公章）：叶城县民政局</w:t>
      </w:r>
    </w:p>
    <w:p>
      <w:pPr>
        <w:adjustRightInd w:val="0"/>
        <w:snapToGrid w:val="0"/>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项目负责人（签章）：马斌</w:t>
      </w:r>
    </w:p>
    <w:p>
      <w:pPr>
        <w:adjustRightInd w:val="0"/>
        <w:snapToGrid w:val="0"/>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填报时间：2019年3月15日</w:t>
      </w:r>
    </w:p>
    <w:p>
      <w:pPr>
        <w:adjustRightInd w:val="0"/>
        <w:snapToGrid w:val="0"/>
        <w:spacing w:line="600" w:lineRule="exact"/>
        <w:ind w:firstLine="640" w:firstLineChars="200"/>
        <w:rPr>
          <w:rFonts w:ascii="仿宋_GB2312" w:hAnsi="仿宋_GB2312" w:eastAsia="仿宋_GB2312" w:cs="仿宋_GB2312"/>
          <w:kern w:val="0"/>
          <w:sz w:val="32"/>
          <w:szCs w:val="32"/>
        </w:rPr>
      </w:pPr>
    </w:p>
    <w:p>
      <w:pPr>
        <w:spacing w:line="560" w:lineRule="exact"/>
        <w:ind w:firstLine="703"/>
        <w:jc w:val="left"/>
        <w:rPr>
          <w:rFonts w:hAnsi="宋体" w:cs="宋体"/>
          <w:kern w:val="0"/>
          <w:sz w:val="32"/>
          <w:szCs w:val="32"/>
        </w:rPr>
      </w:pPr>
    </w:p>
    <w:p>
      <w:pPr>
        <w:spacing w:line="540" w:lineRule="exact"/>
        <w:rPr>
          <w:rFonts w:ascii="华文中宋" w:hAnsi="华文中宋" w:eastAsia="华文中宋" w:cs="宋体"/>
          <w:b/>
          <w:kern w:val="0"/>
          <w:sz w:val="52"/>
          <w:szCs w:val="52"/>
        </w:rPr>
      </w:pPr>
    </w:p>
    <w:p>
      <w:pPr>
        <w:spacing w:line="560" w:lineRule="exact"/>
        <w:ind w:firstLine="640" w:firstLineChars="200"/>
        <w:rPr>
          <w:rFonts w:ascii="黑体" w:hAnsi="黑体" w:eastAsia="黑体"/>
          <w:bCs/>
          <w:sz w:val="32"/>
          <w:szCs w:val="32"/>
        </w:rPr>
      </w:pPr>
      <w:r>
        <w:rPr>
          <w:rFonts w:hint="eastAsia" w:ascii="黑体" w:hAnsi="黑体" w:eastAsia="黑体"/>
          <w:bCs/>
          <w:sz w:val="32"/>
          <w:szCs w:val="32"/>
        </w:rPr>
        <w:t>一、基本情况</w:t>
      </w:r>
    </w:p>
    <w:p>
      <w:pPr>
        <w:adjustRightInd w:val="0"/>
        <w:snapToGrid w:val="0"/>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（一）中央下达专项转移支付预算和绩效目标情况</w:t>
      </w:r>
    </w:p>
    <w:p>
      <w:pPr>
        <w:spacing w:line="560" w:lineRule="exact"/>
        <w:ind w:firstLine="640" w:firstLineChars="200"/>
        <w:rPr>
          <w:rFonts w:ascii="仿宋_GB2312" w:hAnsi="新宋体" w:eastAsia="仿宋_GB2312" w:cs="新宋体"/>
          <w:sz w:val="32"/>
          <w:szCs w:val="32"/>
        </w:rPr>
      </w:pPr>
      <w:r>
        <w:rPr>
          <w:rFonts w:hint="eastAsia" w:ascii="仿宋_GB2312" w:hAnsi="仿宋_GB2312" w:eastAsia="仿宋_GB2312" w:cs="仿宋_GB2312"/>
          <w:kern w:val="0"/>
          <w:sz w:val="32"/>
          <w:szCs w:val="32"/>
        </w:rPr>
        <w:t>中央下达2018年</w:t>
      </w:r>
      <w:r>
        <w:rPr>
          <w:rFonts w:hint="eastAsia" w:ascii="仿宋_GB2312" w:hAnsi="仿宋_GB2312" w:eastAsia="仿宋_GB2312" w:cs="仿宋_GB2312"/>
          <w:sz w:val="32"/>
          <w:szCs w:val="32"/>
        </w:rPr>
        <w:t>城乡补助项目</w:t>
      </w:r>
      <w:r>
        <w:rPr>
          <w:rFonts w:hint="eastAsia" w:ascii="仿宋_GB2312" w:hAnsi="仿宋_GB2312" w:eastAsia="仿宋_GB2312" w:cs="仿宋_GB2312"/>
          <w:kern w:val="0"/>
          <w:sz w:val="32"/>
          <w:szCs w:val="32"/>
        </w:rPr>
        <w:t>资金2843.93万元，</w:t>
      </w:r>
      <w:r>
        <w:rPr>
          <w:rFonts w:hint="eastAsia" w:ascii="仿宋_GB2312" w:hAnsi="仿宋_GB2312" w:eastAsia="仿宋_GB2312" w:cs="仿宋_GB2312"/>
          <w:sz w:val="32"/>
          <w:szCs w:val="32"/>
        </w:rPr>
        <w:t>城乡补助项目</w:t>
      </w:r>
      <w:r>
        <w:rPr>
          <w:rFonts w:hint="eastAsia" w:ascii="仿宋_GB2312" w:hAnsi="仿宋_GB2312" w:eastAsia="仿宋_GB2312" w:cs="仿宋_GB2312"/>
          <w:kern w:val="0"/>
          <w:sz w:val="32"/>
          <w:szCs w:val="32"/>
        </w:rPr>
        <w:t>资金病根用于</w:t>
      </w:r>
      <w:r>
        <w:rPr>
          <w:rFonts w:hint="eastAsia" w:ascii="仿宋_GB2312" w:hAnsi="新宋体" w:eastAsia="仿宋_GB2312" w:cs="新宋体"/>
          <w:sz w:val="32"/>
          <w:szCs w:val="32"/>
        </w:rPr>
        <w:t>对建档立卡贫困人口实施医疗补助748人次，困难群众资助参保人数41583人，对全县困难群众实施医疗补助6385人次，重点补助对象自负费用年度限额内住院补助比例为20%。城乡困难群众、城市低保中的“三无”人员和农村五保对象、孤儿、重度精神病参保资助标准240元/人。对城乡困难群众、城市“三无”人员和农村五保对象、孤儿、重度精神病住院治疗医疗比率94%。在保障好现有医疗对象的基础上，进一步完善贫困人口医疗政策，加强城乡医疗与基本医疗保险、大病保险的政策衔接，使贫困人口大病医治得到有效保障。</w:t>
      </w:r>
    </w:p>
    <w:p>
      <w:pPr>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（二）自治区内分解下达预算和绩效目标情况</w:t>
      </w:r>
    </w:p>
    <w:p>
      <w:pPr>
        <w:spacing w:line="560" w:lineRule="exact"/>
        <w:ind w:firstLine="640" w:firstLineChars="200"/>
        <w:rPr>
          <w:rFonts w:ascii="黑体" w:hAnsi="黑体" w:eastAsia="黑体"/>
          <w:bCs/>
          <w:sz w:val="32"/>
          <w:szCs w:val="32"/>
        </w:rPr>
      </w:pPr>
      <w:r>
        <w:rPr>
          <w:rFonts w:hint="eastAsia" w:ascii="黑体" w:hAnsi="黑体" w:eastAsia="黑体"/>
          <w:bCs/>
          <w:sz w:val="32"/>
          <w:szCs w:val="32"/>
        </w:rPr>
        <w:t>二、绩效自评工作开展情况</w:t>
      </w:r>
    </w:p>
    <w:p>
      <w:pPr>
        <w:spacing w:line="56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（一）前期准备</w:t>
      </w:r>
    </w:p>
    <w:p>
      <w:pPr>
        <w:spacing w:line="560" w:lineRule="exact"/>
        <w:ind w:left="496" w:leftChars="236"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做好项目计划、选对象，摸底补助人需求及相关资料的办理工作，资金到位后组织实施，对全县困难群众实施医疗补助人次6385人次，资助困难群众参保242119人次</w:t>
      </w:r>
    </w:p>
    <w:p>
      <w:pPr>
        <w:spacing w:line="56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（二）组织过程</w:t>
      </w:r>
    </w:p>
    <w:p>
      <w:pPr>
        <w:spacing w:line="560" w:lineRule="exact"/>
        <w:ind w:firstLine="640" w:firstLineChars="200"/>
        <w:rPr>
          <w:rFonts w:ascii="仿宋_GB2312" w:hAnsi="新宋体" w:eastAsia="仿宋_GB2312" w:cs="新宋体"/>
          <w:bCs/>
          <w:sz w:val="32"/>
          <w:szCs w:val="32"/>
        </w:rPr>
      </w:pPr>
      <w:bookmarkStart w:id="0" w:name="_GoBack"/>
      <w:bookmarkEnd w:id="0"/>
      <w:r>
        <w:rPr>
          <w:rFonts w:hint="eastAsia" w:ascii="仿宋_GB2312" w:hAnsi="新宋体" w:eastAsia="仿宋_GB2312" w:cs="新宋体"/>
          <w:bCs/>
          <w:sz w:val="32"/>
          <w:szCs w:val="32"/>
        </w:rPr>
        <w:t>经我局业务股室对符合享受待遇条件的业务进行初审、复核，汇总产生汇总表后，经财务人员复核、领导签字后，由我单位将汇总表拨县领导审批后从财政专户中将资金拨付医疗机构或直接发放到个人卡中。</w:t>
      </w:r>
    </w:p>
    <w:p>
      <w:pPr>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通过文件研读、实地调研、数据分析等方式，全面了解城乡医疗补助补助项目资金的使用效率和效果，项目管理过程规范，完成了预期绩效目标等。同时，通过开展自我评价来总结经验和教训，为城乡居民医疗补助补助项目今后的开展提供参考建议。</w:t>
      </w:r>
    </w:p>
    <w:p>
      <w:pPr>
        <w:spacing w:line="56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（三）分析评价</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资金到位之前做好项目计划、选对象，摸底补助人需求及相关资料的办理工作，资金到位后组织实施，确保项目如期实施。</w:t>
      </w:r>
    </w:p>
    <w:p>
      <w:pPr>
        <w:spacing w:line="560" w:lineRule="exact"/>
        <w:ind w:firstLine="643" w:firstLineChars="200"/>
        <w:rPr>
          <w:rFonts w:ascii="黑体" w:hAnsi="黑体" w:eastAsia="黑体"/>
          <w:b/>
          <w:bCs/>
          <w:sz w:val="32"/>
          <w:szCs w:val="32"/>
        </w:rPr>
      </w:pPr>
      <w:r>
        <w:rPr>
          <w:rFonts w:hint="eastAsia" w:ascii="黑体" w:hAnsi="黑体" w:eastAsia="黑体"/>
          <w:b/>
          <w:bCs/>
          <w:sz w:val="32"/>
          <w:szCs w:val="32"/>
        </w:rPr>
        <w:t>三、综合评价结论</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根据喀地财社[2018]88号、97号文件要求，本项目资金8460万元，其中财政资金</w:t>
      </w:r>
      <w:r>
        <w:rPr>
          <w:rFonts w:ascii="仿宋_GB2312" w:hAnsi="新宋体" w:eastAsia="仿宋_GB2312" w:cs="新宋体"/>
          <w:sz w:val="32"/>
          <w:szCs w:val="32"/>
        </w:rPr>
        <w:t>2843.93</w:t>
      </w:r>
      <w:r>
        <w:rPr>
          <w:rFonts w:hint="eastAsia" w:ascii="仿宋_GB2312" w:hAnsi="新宋体" w:eastAsia="仿宋_GB2312" w:cs="新宋体"/>
          <w:sz w:val="32"/>
          <w:szCs w:val="32"/>
        </w:rPr>
        <w:t>万元，其他资金0万元，资金到位</w:t>
      </w:r>
      <w:r>
        <w:rPr>
          <w:rFonts w:ascii="仿宋_GB2312" w:hAnsi="新宋体" w:eastAsia="仿宋_GB2312" w:cs="新宋体"/>
          <w:sz w:val="32"/>
          <w:szCs w:val="32"/>
        </w:rPr>
        <w:t>2843.93</w:t>
      </w:r>
      <w:r>
        <w:rPr>
          <w:rFonts w:hint="eastAsia" w:ascii="仿宋_GB2312" w:hAnsi="新宋体" w:eastAsia="仿宋_GB2312" w:cs="新宋体"/>
          <w:sz w:val="32"/>
          <w:szCs w:val="32"/>
        </w:rPr>
        <w:t>万元；资金到位率100%。</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项目资金主要用于支建档立卡贫困人口实施医疗补助748人次，困难群众资助参保人数41583人，对全县困难群众实施医疗补助6385人次，重点补助对象自负费用年度限额内住院补助比例为20%。城乡困难群众、城市低保中的“三无”人员和农村五保对象、孤儿、重度精神病参保资助标准240元/人。对城乡困难群众、城市“三无”人员和农村五保对象、孤儿、重度精神病住院治疗医疗比率94%等各项支出8460万元，结余 0万元。</w:t>
      </w:r>
    </w:p>
    <w:p>
      <w:pPr>
        <w:adjustRightInd w:val="0"/>
        <w:snapToGrid w:val="0"/>
        <w:spacing w:line="560" w:lineRule="exact"/>
        <w:ind w:firstLine="643" w:firstLineChars="200"/>
        <w:rPr>
          <w:rFonts w:ascii="黑体" w:hAnsi="黑体" w:eastAsia="黑体"/>
          <w:b/>
          <w:bCs/>
          <w:sz w:val="32"/>
          <w:szCs w:val="32"/>
        </w:rPr>
      </w:pPr>
      <w:r>
        <w:rPr>
          <w:rFonts w:hint="eastAsia" w:ascii="黑体" w:hAnsi="黑体" w:eastAsia="黑体"/>
          <w:b/>
          <w:bCs/>
          <w:sz w:val="32"/>
          <w:szCs w:val="32"/>
        </w:rPr>
        <w:t>四、绩效目标实现情况分析</w:t>
      </w:r>
    </w:p>
    <w:p>
      <w:pPr>
        <w:adjustRightInd w:val="0"/>
        <w:snapToGrid w:val="0"/>
        <w:spacing w:line="56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（一）项目资金情况分析</w:t>
      </w:r>
    </w:p>
    <w:p>
      <w:pPr>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1、项目资金到位情况分析：</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根据喀地财社[2018]88号、97号文件要求，本项目资金</w:t>
      </w:r>
      <w:r>
        <w:rPr>
          <w:rFonts w:ascii="仿宋_GB2312" w:hAnsi="新宋体" w:eastAsia="仿宋_GB2312" w:cs="新宋体"/>
          <w:sz w:val="32"/>
          <w:szCs w:val="32"/>
        </w:rPr>
        <w:t>2843.93</w:t>
      </w:r>
      <w:r>
        <w:rPr>
          <w:rFonts w:hint="eastAsia" w:ascii="仿宋_GB2312" w:hAnsi="新宋体" w:eastAsia="仿宋_GB2312" w:cs="新宋体"/>
          <w:sz w:val="32"/>
          <w:szCs w:val="32"/>
        </w:rPr>
        <w:t>万元，其中财政资金</w:t>
      </w:r>
      <w:r>
        <w:rPr>
          <w:rFonts w:ascii="仿宋_GB2312" w:hAnsi="新宋体" w:eastAsia="仿宋_GB2312" w:cs="新宋体"/>
          <w:sz w:val="32"/>
          <w:szCs w:val="32"/>
        </w:rPr>
        <w:t>2843.93</w:t>
      </w:r>
      <w:r>
        <w:rPr>
          <w:rFonts w:hint="eastAsia" w:ascii="仿宋_GB2312" w:hAnsi="新宋体" w:eastAsia="仿宋_GB2312" w:cs="新宋体"/>
          <w:sz w:val="32"/>
          <w:szCs w:val="32"/>
        </w:rPr>
        <w:t>万元，其他资金0万元，资金到位8460万元；资金到位率100%。</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黑体" w:eastAsia="仿宋_GB2312"/>
          <w:bCs/>
          <w:sz w:val="32"/>
          <w:szCs w:val="32"/>
        </w:rPr>
        <w:t>2、项目资金执行情况分析：</w:t>
      </w:r>
      <w:r>
        <w:rPr>
          <w:rFonts w:hint="eastAsia" w:ascii="仿宋_GB2312" w:hAnsi="仿宋_GB2312" w:eastAsia="仿宋_GB2312" w:cs="仿宋_GB2312"/>
          <w:kern w:val="0"/>
          <w:sz w:val="32"/>
          <w:szCs w:val="32"/>
        </w:rPr>
        <w:t>项目总投资</w:t>
      </w:r>
      <w:r>
        <w:rPr>
          <w:rFonts w:ascii="仿宋_GB2312" w:hAnsi="仿宋_GB2312" w:eastAsia="仿宋_GB2312" w:cs="仿宋_GB2312"/>
          <w:kern w:val="0"/>
          <w:sz w:val="32"/>
          <w:szCs w:val="32"/>
        </w:rPr>
        <w:t>2843.93</w:t>
      </w:r>
      <w:r>
        <w:rPr>
          <w:rFonts w:hint="eastAsia" w:ascii="仿宋_GB2312" w:hAnsi="仿宋_GB2312" w:eastAsia="仿宋_GB2312" w:cs="仿宋_GB2312"/>
          <w:kern w:val="0"/>
          <w:sz w:val="32"/>
          <w:szCs w:val="32"/>
        </w:rPr>
        <w:t>万元，城乡医疗补助补助资金主要用于</w:t>
      </w:r>
      <w:r>
        <w:rPr>
          <w:rFonts w:hint="eastAsia" w:ascii="仿宋_GB2312" w:hAnsi="新宋体" w:eastAsia="仿宋_GB2312" w:cs="新宋体"/>
          <w:sz w:val="32"/>
          <w:szCs w:val="32"/>
        </w:rPr>
        <w:t>支建档立卡贫困人口实施医疗补助748人次，困难群众资助参保人数41583人，对全县困难群众实施医疗补助6385人次，重点补助对象自负费用年度限额内住院补助比例为20%。城乡困难群众、城市低保中的“三无”人员和农村五保对象、孤儿、重度精神病参保资助标准240元/人。对城乡困难群众、城市“三无”人员和农村五保对象、孤儿、重度精神病住院治疗医疗比率94%等各项支出8460万元，结余 0万元。</w:t>
      </w:r>
    </w:p>
    <w:p>
      <w:pPr>
        <w:adjustRightInd w:val="0"/>
        <w:snapToGrid w:val="0"/>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_GB2312" w:eastAsia="仿宋_GB2312" w:cs="仿宋_GB2312"/>
          <w:kern w:val="0"/>
          <w:sz w:val="32"/>
          <w:szCs w:val="32"/>
        </w:rPr>
        <w:t>3、项目资金管理情况分析：</w:t>
      </w:r>
      <w:r>
        <w:rPr>
          <w:rFonts w:hint="eastAsia" w:ascii="仿宋_GB2312" w:hAnsi="仿宋" w:eastAsia="仿宋_GB2312" w:cs="仿宋"/>
          <w:kern w:val="0"/>
          <w:sz w:val="32"/>
          <w:szCs w:val="32"/>
          <w:u w:color="000000"/>
          <w:lang w:val="zh-TW"/>
        </w:rPr>
        <w:t>叶城县</w:t>
      </w:r>
      <w:r>
        <w:rPr>
          <w:rFonts w:hint="eastAsia" w:ascii="仿宋_GB2312" w:hAnsi="仿宋_GB2312" w:eastAsia="仿宋_GB2312" w:cs="仿宋_GB2312"/>
          <w:kern w:val="0"/>
          <w:sz w:val="32"/>
          <w:szCs w:val="32"/>
        </w:rPr>
        <w:t>城乡医疗补助补助</w:t>
      </w:r>
      <w:r>
        <w:rPr>
          <w:rFonts w:hint="eastAsia" w:ascii="仿宋_GB2312" w:hAnsi="仿宋" w:eastAsia="仿宋_GB2312" w:cs="仿宋"/>
          <w:kern w:val="0"/>
          <w:sz w:val="32"/>
          <w:szCs w:val="32"/>
          <w:u w:color="000000"/>
          <w:lang w:val="zh-TW"/>
        </w:rPr>
        <w:t>资金的使用按照政策标准，专款专用，张榜公示，做到政务公开，对补助人群补助政策、程序、对象等情况都进过深入摸底调查了解，</w:t>
      </w:r>
      <w:r>
        <w:rPr>
          <w:rFonts w:hint="eastAsia" w:ascii="仿宋_GB2312" w:hAnsi="仿宋_GB2312" w:eastAsia="仿宋_GB2312" w:cs="仿宋_GB2312"/>
          <w:kern w:val="0"/>
          <w:sz w:val="32"/>
          <w:szCs w:val="32"/>
        </w:rPr>
        <w:t>城乡医疗补助补助</w:t>
      </w:r>
      <w:r>
        <w:rPr>
          <w:rFonts w:hint="eastAsia" w:ascii="仿宋_GB2312" w:hAnsi="仿宋" w:eastAsia="仿宋_GB2312" w:cs="仿宋"/>
          <w:kern w:val="0"/>
          <w:sz w:val="32"/>
          <w:szCs w:val="32"/>
          <w:u w:color="000000"/>
          <w:lang w:val="zh-TW"/>
        </w:rPr>
        <w:t>补助工作置于民众的监督之下，执行“阳光操作、阳光惠残”，保证各项工作公开透明，残疾人事业发展补助资金管理规范，监管到位，使用效率较好，调查服务对象满意度情况，补助群众满意度98%。</w:t>
      </w:r>
    </w:p>
    <w:p>
      <w:pPr>
        <w:snapToGrid w:val="0"/>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（二）项目绩效指标完成情况分析</w:t>
      </w:r>
    </w:p>
    <w:p>
      <w:pPr>
        <w:widowControl/>
        <w:spacing w:line="560" w:lineRule="exact"/>
        <w:ind w:firstLine="640" w:firstLineChars="200"/>
        <w:rPr>
          <w:rFonts w:ascii="仿宋_GB2312" w:hAnsi="新宋体" w:eastAsia="仿宋_GB2312" w:cs="新宋体"/>
          <w:bCs/>
          <w:sz w:val="32"/>
          <w:szCs w:val="32"/>
        </w:rPr>
      </w:pPr>
      <w:r>
        <w:rPr>
          <w:rFonts w:hint="eastAsia" w:ascii="仿宋_GB2312" w:hAnsi="仿宋" w:eastAsia="仿宋_GB2312" w:cs="仿宋"/>
          <w:color w:val="000000"/>
          <w:kern w:val="0"/>
          <w:sz w:val="32"/>
          <w:szCs w:val="32"/>
        </w:rPr>
        <w:t>本</w:t>
      </w:r>
      <w:r>
        <w:rPr>
          <w:rFonts w:hint="eastAsia" w:ascii="仿宋_GB2312" w:hAnsi="新宋体" w:eastAsia="仿宋_GB2312" w:cs="新宋体"/>
          <w:bCs/>
          <w:color w:val="000000"/>
          <w:sz w:val="32"/>
          <w:szCs w:val="32"/>
        </w:rPr>
        <w:t>项</w:t>
      </w:r>
      <w:r>
        <w:rPr>
          <w:rFonts w:hint="eastAsia" w:ascii="仿宋_GB2312" w:hAnsi="新宋体" w:eastAsia="仿宋_GB2312" w:cs="新宋体"/>
          <w:bCs/>
          <w:sz w:val="32"/>
          <w:szCs w:val="32"/>
        </w:rPr>
        <w:t>目共设置一级指标3个，二级指标8个，三级指标14个，其中已完成三级指标14个，指标完成率为100%。根据年初设定的绩效目标，此项目自评得分为94分。</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1.产出指标完成情况分析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（1）项目完成数量</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建档立卡贫困人口实施医疗补助700人，困难群众资助参保人数41000人，全县困难群众实施医疗补助6385人，完成率100%。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（2）项目完成质量</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城乡补助实施及时率100%，完成率100%。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（3）项目实施进度</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“一站式”即时结算覆盖率超过80%，医疗补助对象覆盖范围超过95%，完成率100%。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（4）项目成本节约情况</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城乡困难群众、城市低保中的“三无”人员和农村五保对象、孤儿、重度精神病参保资助标准240元，城乡困难群众、城市“三无”人员和农村五保对象、孤儿、重度精神病住院治疗医疗比率超过95%，完成率100%.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2.效益指标完成情况分析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（1）项目实施的经济效益分析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项目实施减轻补助群众治病负担3120元</w:t>
      </w:r>
    </w:p>
    <w:p>
      <w:pPr>
        <w:numPr>
          <w:ilvl w:val="0"/>
          <w:numId w:val="1"/>
        </w:num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项目实施的社会效益分析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项目实施保障困难群众看病就医覆盖率达95%以上。</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（3）项目实施的生态效益分析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（4）项目实施的可持续影响分析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城乡居民医疗补助项目实施时限为1年</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3.满意度指标完成情况分析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按计划完成项目实施，已做满意度调查问卷，受益建档立卡贫困户和补助对象满意度达95%以上，服务对象满意度指标完成。</w:t>
      </w:r>
    </w:p>
    <w:p>
      <w:pPr>
        <w:spacing w:line="560" w:lineRule="exact"/>
        <w:ind w:firstLine="643" w:firstLineChars="200"/>
        <w:rPr>
          <w:rFonts w:ascii="黑体" w:hAnsi="黑体" w:eastAsia="黑体" w:cs="仿宋"/>
          <w:b/>
          <w:kern w:val="0"/>
          <w:sz w:val="32"/>
          <w:szCs w:val="32"/>
          <w:u w:color="000000"/>
          <w:lang w:val="zh-TW"/>
        </w:rPr>
      </w:pPr>
      <w:r>
        <w:rPr>
          <w:rFonts w:hint="eastAsia" w:ascii="黑体" w:hAnsi="黑体" w:eastAsia="黑体" w:cs="仿宋"/>
          <w:b/>
          <w:kern w:val="0"/>
          <w:sz w:val="32"/>
          <w:szCs w:val="32"/>
          <w:u w:color="000000"/>
          <w:lang w:val="zh-TW"/>
        </w:rPr>
        <w:t>五、绩效目标未完成原因和下一步改进措施</w:t>
      </w:r>
    </w:p>
    <w:p>
      <w:pPr>
        <w:adjustRightInd w:val="0"/>
        <w:snapToGrid w:val="0"/>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2018年本项目绩效目标全部达成，不存在未完成原因分析。</w:t>
      </w:r>
    </w:p>
    <w:p>
      <w:pPr>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是加强医疗补助资金使用的档案管理；二是在对城乡低保进行动态管理时及时更新低保数据网络信息，做好一站式服务的信息支持。三是城乡困难居民医疗补助经费专项资金严格执行财务管理规定，层层把关。今后我们将继续贯彻该规定，对各项资金进行规范化管理，提高财务综合管理水平。</w:t>
      </w:r>
    </w:p>
    <w:p>
      <w:pPr>
        <w:snapToGrid w:val="0"/>
        <w:spacing w:line="560" w:lineRule="exact"/>
        <w:ind w:firstLine="643" w:firstLineChars="200"/>
        <w:rPr>
          <w:rFonts w:ascii="黑体" w:hAnsi="黑体" w:eastAsia="黑体" w:cs="仿宋_GB2312"/>
          <w:b/>
          <w:kern w:val="0"/>
          <w:sz w:val="32"/>
          <w:szCs w:val="32"/>
        </w:rPr>
      </w:pPr>
      <w:r>
        <w:rPr>
          <w:rFonts w:hint="eastAsia" w:ascii="黑体" w:hAnsi="黑体" w:eastAsia="黑体" w:cs="仿宋_GB2312"/>
          <w:b/>
          <w:kern w:val="0"/>
          <w:sz w:val="32"/>
          <w:szCs w:val="32"/>
        </w:rPr>
        <w:t>六、绩效自评结果应用和公开情况</w:t>
      </w:r>
    </w:p>
    <w:p>
      <w:pPr>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cs="仿宋"/>
          <w:kern w:val="0"/>
          <w:sz w:val="32"/>
          <w:szCs w:val="32"/>
          <w:u w:color="000000"/>
          <w:lang w:val="zh-TW"/>
        </w:rPr>
        <w:t>绩效评价结果表明，</w:t>
      </w:r>
      <w:r>
        <w:rPr>
          <w:rFonts w:hint="eastAsia" w:ascii="仿宋_GB2312" w:hAnsi="仿宋_GB2312" w:eastAsia="仿宋_GB2312" w:cs="仿宋_GB2312"/>
          <w:kern w:val="0"/>
          <w:sz w:val="32"/>
          <w:szCs w:val="32"/>
        </w:rPr>
        <w:t>城乡居民医疗补助项目资金支出管理使用规范、效果明显，项目实施过程中，项目的实施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评价通过文件研读、实地调研、数据分析等方式，全面了解城乡居民医疗补助项目资金的使用效率和效果，项目管理过程是否规范，完成了预期绩效目标等。同时，通过开展自我评价来总结经验和教训，为城乡居民医疗补助助项目今后的开展提供参考建议。绩效自评结果根据上级要求时间公开</w:t>
      </w:r>
    </w:p>
    <w:p>
      <w:pPr>
        <w:adjustRightInd w:val="0"/>
        <w:snapToGrid w:val="0"/>
        <w:spacing w:line="560" w:lineRule="exact"/>
        <w:ind w:firstLine="640" w:firstLineChars="200"/>
        <w:rPr>
          <w:rFonts w:ascii="黑体" w:hAnsi="黑体" w:eastAsia="黑体" w:cs="仿宋"/>
          <w:kern w:val="0"/>
          <w:sz w:val="32"/>
          <w:szCs w:val="32"/>
          <w:u w:color="000000"/>
        </w:rPr>
      </w:pPr>
      <w:r>
        <w:rPr>
          <w:rFonts w:hint="eastAsia" w:ascii="黑体" w:hAnsi="黑体" w:eastAsia="黑体" w:cs="仿宋"/>
          <w:kern w:val="0"/>
          <w:sz w:val="32"/>
          <w:szCs w:val="32"/>
          <w:u w:color="000000"/>
        </w:rPr>
        <w:t>七、绩效自评工作的经验、问题和建议</w:t>
      </w:r>
    </w:p>
    <w:p>
      <w:pPr>
        <w:snapToGrid w:val="0"/>
        <w:spacing w:line="560" w:lineRule="exact"/>
        <w:ind w:firstLine="624" w:firstLineChars="200"/>
        <w:rPr>
          <w:rFonts w:ascii="仿宋_GB2312" w:hAnsi="仿宋_GB2312" w:eastAsia="仿宋_GB2312" w:cs="仿宋_GB2312"/>
          <w:kern w:val="0"/>
          <w:sz w:val="32"/>
          <w:szCs w:val="32"/>
        </w:rPr>
      </w:pPr>
      <w:r>
        <w:rPr>
          <w:rFonts w:hint="eastAsia" w:ascii="仿宋_GB2312" w:hAnsi="仿宋" w:eastAsia="仿宋_GB2312" w:cs="仿宋"/>
          <w:bCs/>
          <w:spacing w:val="-4"/>
          <w:sz w:val="32"/>
          <w:szCs w:val="32"/>
        </w:rPr>
        <w:t>1</w:t>
      </w:r>
      <w:r>
        <w:rPr>
          <w:rFonts w:hint="eastAsia" w:ascii="仿宋_GB2312" w:hAnsi="仿宋" w:eastAsia="仿宋_GB2312" w:cs="仿宋"/>
          <w:kern w:val="0"/>
          <w:sz w:val="32"/>
          <w:szCs w:val="32"/>
          <w:u w:color="000000"/>
          <w:lang w:val="zh-TW"/>
        </w:rPr>
        <w:t>、</w:t>
      </w:r>
      <w:r>
        <w:rPr>
          <w:rFonts w:hint="eastAsia" w:ascii="仿宋_GB2312" w:hAnsi="仿宋_GB2312" w:eastAsia="仿宋_GB2312" w:cs="仿宋_GB2312"/>
          <w:kern w:val="0"/>
          <w:sz w:val="32"/>
          <w:szCs w:val="32"/>
        </w:rPr>
        <w:t>主要经验及做法：叶城县城乡居民医疗补助资金的使用按照政策标准，专款专用，张榜公示，做到政务公开，对残疾人群众补助政策、程序、对象等情况都进过深入摸底调查了解，城乡居民医疗补助工作置于民众的监督之下，执行“阳光操作、阳光惠残”，保证各项工作公开透明，城乡居民医疗补助补助资金管理规范，监管到位，使用效率较好，调查服务对象满意度情况，补助群众满意度98%。</w:t>
      </w:r>
    </w:p>
    <w:p>
      <w:pPr>
        <w:snapToGrid w:val="0"/>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2、存在的问题</w:t>
      </w:r>
    </w:p>
    <w:p>
      <w:pPr>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城乡居民医疗补助补助项目，资金使用还需要进一步规范，项目档案资料需进一步完善，项目实施成效还需加强。</w:t>
      </w:r>
    </w:p>
    <w:p>
      <w:pPr>
        <w:snapToGrid w:val="0"/>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3、建议</w:t>
      </w:r>
    </w:p>
    <w:p>
      <w:pPr>
        <w:spacing w:line="560" w:lineRule="exact"/>
        <w:ind w:left="181" w:leftChars="86" w:firstLine="640" w:firstLineChars="200"/>
        <w:rPr>
          <w:rFonts w:ascii="仿宋_GB2312" w:hAnsi="新宋体" w:cs="新宋体"/>
          <w:bCs/>
          <w:sz w:val="32"/>
          <w:szCs w:val="32"/>
        </w:rPr>
      </w:pPr>
      <w:r>
        <w:rPr>
          <w:rFonts w:hint="eastAsia" w:ascii="仿宋_GB2312" w:hAnsi="新宋体" w:eastAsia="仿宋_GB2312" w:cs="新宋体"/>
          <w:bCs/>
          <w:sz w:val="32"/>
          <w:szCs w:val="32"/>
        </w:rPr>
        <w:t>通过预算绩效管理，总结了工作中的较好的经验，发现了工作中存在的不足，在今后工作中要在年初做好资金计划，按照项目进度及时拨付资金，使资金使用效益最大化，减少不必要的浪费，节约成本。从基层开始各村、社区把好入门关做好动态管理将问题的消灭在初审</w:t>
      </w:r>
      <w:r>
        <w:rPr>
          <w:rFonts w:hint="eastAsia" w:ascii="仿宋_GB2312" w:hAnsi="新宋体" w:cs="新宋体"/>
          <w:bCs/>
          <w:sz w:val="32"/>
          <w:szCs w:val="32"/>
        </w:rPr>
        <w:t>。</w:t>
      </w:r>
    </w:p>
    <w:p>
      <w:pPr>
        <w:adjustRightInd w:val="0"/>
        <w:snapToGrid w:val="0"/>
        <w:spacing w:line="560" w:lineRule="exact"/>
        <w:ind w:firstLine="640" w:firstLineChars="200"/>
        <w:rPr>
          <w:rFonts w:ascii="黑体" w:hAnsi="黑体" w:eastAsia="黑体" w:cs="仿宋"/>
          <w:kern w:val="0"/>
          <w:sz w:val="32"/>
          <w:szCs w:val="32"/>
          <w:u w:color="000000"/>
        </w:rPr>
      </w:pPr>
      <w:r>
        <w:rPr>
          <w:rFonts w:hint="eastAsia" w:ascii="黑体" w:hAnsi="黑体" w:eastAsia="黑体" w:cs="仿宋"/>
          <w:kern w:val="0"/>
          <w:sz w:val="32"/>
          <w:szCs w:val="32"/>
          <w:u w:color="000000"/>
        </w:rPr>
        <w:t>八、其他需要说明的问题</w:t>
      </w:r>
    </w:p>
    <w:p>
      <w:pPr>
        <w:snapToGrid w:val="0"/>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无其他说明内容</w:t>
      </w:r>
    </w:p>
    <w:p>
      <w:pPr>
        <w:spacing w:line="560" w:lineRule="exact"/>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九、附表</w:t>
      </w:r>
    </w:p>
    <w:p>
      <w:pPr>
        <w:spacing w:line="560" w:lineRule="exact"/>
        <w:ind w:firstLine="624" w:firstLineChars="200"/>
        <w:rPr>
          <w:rStyle w:val="17"/>
          <w:rFonts w:hint="eastAsia" w:ascii="仿宋_GB2312" w:hAnsi="仿宋" w:eastAsia="仿宋_GB2312"/>
          <w:b w:val="0"/>
          <w:spacing w:val="-4"/>
          <w:sz w:val="32"/>
          <w:szCs w:val="32"/>
        </w:rPr>
      </w:pPr>
      <w:r>
        <w:rPr>
          <w:rStyle w:val="17"/>
          <w:rFonts w:hint="eastAsia" w:ascii="仿宋_GB2312" w:hAnsi="仿宋" w:eastAsia="仿宋_GB2312"/>
          <w:b w:val="0"/>
          <w:spacing w:val="-4"/>
          <w:sz w:val="32"/>
          <w:szCs w:val="32"/>
        </w:rPr>
        <w:t>《中央对地方转移支付绩效自评表》</w:t>
      </w:r>
    </w:p>
    <w:p>
      <w:pPr>
        <w:adjustRightInd w:val="0"/>
        <w:snapToGrid w:val="0"/>
        <w:spacing w:line="360" w:lineRule="auto"/>
        <w:ind w:firstLine="640" w:firstLineChars="200"/>
        <w:rPr>
          <w:rFonts w:ascii="黑体" w:hAnsi="黑体" w:eastAsia="黑体" w:cs="仿宋"/>
          <w:kern w:val="0"/>
          <w:sz w:val="32"/>
          <w:szCs w:val="32"/>
          <w:u w:color="000000"/>
        </w:rPr>
      </w:pPr>
    </w:p>
    <w:p>
      <w:pPr>
        <w:adjustRightInd w:val="0"/>
        <w:snapToGrid w:val="0"/>
        <w:spacing w:line="360" w:lineRule="auto"/>
        <w:ind w:firstLine="640" w:firstLineChars="200"/>
        <w:rPr>
          <w:rFonts w:ascii="仿宋" w:hAnsi="仿宋" w:eastAsia="仿宋" w:cs="仿宋"/>
          <w:sz w:val="32"/>
          <w:szCs w:val="32"/>
        </w:rPr>
      </w:pPr>
    </w:p>
    <w:p>
      <w:pPr>
        <w:spacing w:line="360" w:lineRule="auto"/>
        <w:ind w:firstLine="200"/>
        <w:rPr>
          <w:rStyle w:val="17"/>
          <w:rFonts w:ascii="仿宋" w:hAnsi="仿宋" w:eastAsia="仿宋"/>
          <w:b w:val="0"/>
          <w:spacing w:val="-4"/>
          <w:sz w:val="32"/>
          <w:szCs w:val="32"/>
        </w:rPr>
      </w:pPr>
    </w:p>
    <w:p>
      <w:pPr>
        <w:spacing w:line="360" w:lineRule="auto"/>
        <w:ind w:firstLine="200"/>
        <w:jc w:val="center"/>
        <w:rPr>
          <w:rFonts w:ascii="华文中宋" w:hAnsi="华文中宋" w:eastAsia="华文中宋" w:cs="宋体"/>
          <w:b/>
          <w:kern w:val="0"/>
          <w:sz w:val="52"/>
          <w:szCs w:val="5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00FD2"/>
    <w:multiLevelType w:val="singleLevel"/>
    <w:tmpl w:val="0FE00FD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429FB"/>
    <w:rsid w:val="00050754"/>
    <w:rsid w:val="000A46FE"/>
    <w:rsid w:val="000D51E3"/>
    <w:rsid w:val="0017686D"/>
    <w:rsid w:val="001D3172"/>
    <w:rsid w:val="002A71CB"/>
    <w:rsid w:val="002B42D8"/>
    <w:rsid w:val="002D7DEB"/>
    <w:rsid w:val="003074AE"/>
    <w:rsid w:val="00313654"/>
    <w:rsid w:val="003E0B61"/>
    <w:rsid w:val="0045000C"/>
    <w:rsid w:val="00463C3F"/>
    <w:rsid w:val="004A4B5D"/>
    <w:rsid w:val="005162F1"/>
    <w:rsid w:val="00535153"/>
    <w:rsid w:val="005B028E"/>
    <w:rsid w:val="006B0264"/>
    <w:rsid w:val="00770177"/>
    <w:rsid w:val="007E31B3"/>
    <w:rsid w:val="00855E3A"/>
    <w:rsid w:val="00903892"/>
    <w:rsid w:val="00922CB9"/>
    <w:rsid w:val="00934ADA"/>
    <w:rsid w:val="009F00F9"/>
    <w:rsid w:val="00A1385B"/>
    <w:rsid w:val="00A26421"/>
    <w:rsid w:val="00A4293B"/>
    <w:rsid w:val="00AB26C4"/>
    <w:rsid w:val="00B41F61"/>
    <w:rsid w:val="00BD7A52"/>
    <w:rsid w:val="00C2128A"/>
    <w:rsid w:val="00C56C72"/>
    <w:rsid w:val="00C67C34"/>
    <w:rsid w:val="00CA3D41"/>
    <w:rsid w:val="00CA6457"/>
    <w:rsid w:val="00CB561D"/>
    <w:rsid w:val="00CB7970"/>
    <w:rsid w:val="00CF2377"/>
    <w:rsid w:val="00D17F2E"/>
    <w:rsid w:val="00D94FA6"/>
    <w:rsid w:val="00DD1A76"/>
    <w:rsid w:val="00E06E96"/>
    <w:rsid w:val="00E438EA"/>
    <w:rsid w:val="00E71F49"/>
    <w:rsid w:val="00E76086"/>
    <w:rsid w:val="00E769FE"/>
    <w:rsid w:val="00E851E4"/>
    <w:rsid w:val="00EA2CBE"/>
    <w:rsid w:val="00EC51DC"/>
    <w:rsid w:val="00F108BE"/>
    <w:rsid w:val="00F12642"/>
    <w:rsid w:val="00F31D63"/>
    <w:rsid w:val="00F32FEE"/>
    <w:rsid w:val="00F44752"/>
    <w:rsid w:val="00F91963"/>
    <w:rsid w:val="00FB2BAD"/>
    <w:rsid w:val="00FB5D56"/>
    <w:rsid w:val="09C441AA"/>
    <w:rsid w:val="0A29388D"/>
    <w:rsid w:val="0BA70D05"/>
    <w:rsid w:val="0BA74A45"/>
    <w:rsid w:val="0D0D7036"/>
    <w:rsid w:val="159F029F"/>
    <w:rsid w:val="15B1231A"/>
    <w:rsid w:val="1FEB147D"/>
    <w:rsid w:val="265E1D91"/>
    <w:rsid w:val="32A60A37"/>
    <w:rsid w:val="366661C7"/>
    <w:rsid w:val="3C9E4A9F"/>
    <w:rsid w:val="3E966830"/>
    <w:rsid w:val="45501A04"/>
    <w:rsid w:val="47355279"/>
    <w:rsid w:val="52B11B91"/>
    <w:rsid w:val="6B0B5833"/>
    <w:rsid w:val="6DDF06F2"/>
    <w:rsid w:val="6EB32237"/>
    <w:rsid w:val="77EB211D"/>
    <w:rsid w:val="78913FAD"/>
    <w:rsid w:val="7A633F19"/>
    <w:rsid w:val="7C801F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0"/>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2"/>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3"/>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4"/>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5"/>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6"/>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7"/>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11"/>
    <w:pPr>
      <w:widowControl/>
      <w:spacing w:after="60"/>
      <w:jc w:val="center"/>
      <w:outlineLvl w:val="1"/>
    </w:pPr>
    <w:rPr>
      <w:rFonts w:asciiTheme="majorHAnsi" w:hAnsiTheme="majorHAnsi" w:eastAsiaTheme="majorEastAsia"/>
      <w:kern w:val="0"/>
      <w:sz w:val="24"/>
    </w:rPr>
  </w:style>
  <w:style w:type="paragraph" w:styleId="14">
    <w:name w:val="Title"/>
    <w:basedOn w:val="1"/>
    <w:next w:val="1"/>
    <w:link w:val="28"/>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19">
    <w:name w:val="标题 1 Char"/>
    <w:basedOn w:val="16"/>
    <w:link w:val="2"/>
    <w:qFormat/>
    <w:uiPriority w:val="9"/>
    <w:rPr>
      <w:rFonts w:asciiTheme="majorHAnsi" w:hAnsiTheme="majorHAnsi" w:eastAsiaTheme="majorEastAsia"/>
      <w:b/>
      <w:bCs/>
      <w:kern w:val="32"/>
      <w:sz w:val="32"/>
      <w:szCs w:val="32"/>
    </w:rPr>
  </w:style>
  <w:style w:type="character" w:customStyle="1" w:styleId="20">
    <w:name w:val="标题 2 Char"/>
    <w:basedOn w:val="16"/>
    <w:link w:val="3"/>
    <w:semiHidden/>
    <w:qFormat/>
    <w:uiPriority w:val="9"/>
    <w:rPr>
      <w:rFonts w:asciiTheme="majorHAnsi" w:hAnsiTheme="majorHAnsi" w:eastAsiaTheme="majorEastAsia"/>
      <w:b/>
      <w:bCs/>
      <w:i/>
      <w:iCs/>
      <w:sz w:val="28"/>
      <w:szCs w:val="28"/>
    </w:rPr>
  </w:style>
  <w:style w:type="character" w:customStyle="1" w:styleId="21">
    <w:name w:val="标题 3 Char"/>
    <w:basedOn w:val="16"/>
    <w:link w:val="4"/>
    <w:semiHidden/>
    <w:qFormat/>
    <w:uiPriority w:val="9"/>
    <w:rPr>
      <w:rFonts w:asciiTheme="majorHAnsi" w:hAnsiTheme="majorHAnsi" w:eastAsiaTheme="majorEastAsia"/>
      <w:b/>
      <w:bCs/>
      <w:sz w:val="26"/>
      <w:szCs w:val="26"/>
    </w:rPr>
  </w:style>
  <w:style w:type="character" w:customStyle="1" w:styleId="22">
    <w:name w:val="标题 4 Char"/>
    <w:basedOn w:val="16"/>
    <w:link w:val="5"/>
    <w:semiHidden/>
    <w:qFormat/>
    <w:uiPriority w:val="9"/>
    <w:rPr>
      <w:b/>
      <w:bCs/>
      <w:sz w:val="28"/>
      <w:szCs w:val="28"/>
    </w:rPr>
  </w:style>
  <w:style w:type="character" w:customStyle="1" w:styleId="23">
    <w:name w:val="标题 5 Char"/>
    <w:basedOn w:val="16"/>
    <w:link w:val="6"/>
    <w:semiHidden/>
    <w:qFormat/>
    <w:uiPriority w:val="9"/>
    <w:rPr>
      <w:b/>
      <w:bCs/>
      <w:i/>
      <w:iCs/>
      <w:sz w:val="26"/>
      <w:szCs w:val="26"/>
    </w:rPr>
  </w:style>
  <w:style w:type="character" w:customStyle="1" w:styleId="24">
    <w:name w:val="标题 6 Char"/>
    <w:basedOn w:val="16"/>
    <w:link w:val="7"/>
    <w:semiHidden/>
    <w:qFormat/>
    <w:uiPriority w:val="9"/>
    <w:rPr>
      <w:b/>
      <w:bCs/>
    </w:rPr>
  </w:style>
  <w:style w:type="character" w:customStyle="1" w:styleId="25">
    <w:name w:val="标题 7 Char"/>
    <w:basedOn w:val="16"/>
    <w:link w:val="8"/>
    <w:semiHidden/>
    <w:qFormat/>
    <w:uiPriority w:val="9"/>
    <w:rPr>
      <w:sz w:val="24"/>
      <w:szCs w:val="24"/>
    </w:rPr>
  </w:style>
  <w:style w:type="character" w:customStyle="1" w:styleId="26">
    <w:name w:val="标题 8 Char"/>
    <w:basedOn w:val="16"/>
    <w:link w:val="9"/>
    <w:semiHidden/>
    <w:qFormat/>
    <w:uiPriority w:val="9"/>
    <w:rPr>
      <w:i/>
      <w:iCs/>
      <w:sz w:val="24"/>
      <w:szCs w:val="24"/>
    </w:rPr>
  </w:style>
  <w:style w:type="character" w:customStyle="1" w:styleId="27">
    <w:name w:val="标题 9 Char"/>
    <w:basedOn w:val="16"/>
    <w:link w:val="10"/>
    <w:semiHidden/>
    <w:qFormat/>
    <w:uiPriority w:val="9"/>
    <w:rPr>
      <w:rFonts w:asciiTheme="majorHAnsi" w:hAnsiTheme="majorHAnsi" w:eastAsiaTheme="majorEastAsia"/>
    </w:rPr>
  </w:style>
  <w:style w:type="character" w:customStyle="1" w:styleId="28">
    <w:name w:val="标题 Char"/>
    <w:basedOn w:val="16"/>
    <w:link w:val="14"/>
    <w:qFormat/>
    <w:uiPriority w:val="10"/>
    <w:rPr>
      <w:rFonts w:asciiTheme="majorHAnsi" w:hAnsiTheme="majorHAnsi" w:eastAsiaTheme="majorEastAsia"/>
      <w:b/>
      <w:bCs/>
      <w:kern w:val="28"/>
      <w:sz w:val="32"/>
      <w:szCs w:val="32"/>
    </w:rPr>
  </w:style>
  <w:style w:type="character" w:customStyle="1" w:styleId="29">
    <w:name w:val="副标题 Char"/>
    <w:basedOn w:val="16"/>
    <w:link w:val="13"/>
    <w:qFormat/>
    <w:uiPriority w:val="11"/>
    <w:rPr>
      <w:rFonts w:asciiTheme="majorHAnsi" w:hAnsiTheme="majorHAnsi" w:eastAsiaTheme="majorEastAsia"/>
      <w:sz w:val="24"/>
      <w:szCs w:val="24"/>
    </w:rPr>
  </w:style>
  <w:style w:type="paragraph" w:customStyle="1" w:styleId="30">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1">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2">
    <w:name w:val="引用1"/>
    <w:basedOn w:val="1"/>
    <w:next w:val="1"/>
    <w:link w:val="33"/>
    <w:qFormat/>
    <w:uiPriority w:val="29"/>
    <w:pPr>
      <w:widowControl/>
      <w:jc w:val="left"/>
    </w:pPr>
    <w:rPr>
      <w:rFonts w:asciiTheme="minorHAnsi" w:hAnsiTheme="minorHAnsi" w:eastAsiaTheme="minorEastAsia"/>
      <w:i/>
      <w:kern w:val="0"/>
      <w:sz w:val="24"/>
    </w:rPr>
  </w:style>
  <w:style w:type="character" w:customStyle="1" w:styleId="33">
    <w:name w:val="引用 Char"/>
    <w:basedOn w:val="16"/>
    <w:link w:val="32"/>
    <w:qFormat/>
    <w:uiPriority w:val="29"/>
    <w:rPr>
      <w:i/>
      <w:sz w:val="24"/>
      <w:szCs w:val="24"/>
    </w:rPr>
  </w:style>
  <w:style w:type="paragraph" w:customStyle="1" w:styleId="34">
    <w:name w:val="明显引用1"/>
    <w:basedOn w:val="1"/>
    <w:next w:val="1"/>
    <w:link w:val="35"/>
    <w:qFormat/>
    <w:uiPriority w:val="30"/>
    <w:pPr>
      <w:widowControl/>
      <w:ind w:left="720" w:right="720"/>
      <w:jc w:val="left"/>
    </w:pPr>
    <w:rPr>
      <w:rFonts w:asciiTheme="minorHAnsi" w:hAnsiTheme="minorHAnsi" w:eastAsiaTheme="minorEastAsia"/>
      <w:b/>
      <w:i/>
      <w:kern w:val="0"/>
      <w:sz w:val="24"/>
      <w:szCs w:val="22"/>
    </w:rPr>
  </w:style>
  <w:style w:type="character" w:customStyle="1" w:styleId="35">
    <w:name w:val="明显引用 Char"/>
    <w:basedOn w:val="16"/>
    <w:link w:val="34"/>
    <w:qFormat/>
    <w:uiPriority w:val="30"/>
    <w:rPr>
      <w:b/>
      <w:i/>
      <w:sz w:val="24"/>
    </w:rPr>
  </w:style>
  <w:style w:type="character" w:customStyle="1" w:styleId="36">
    <w:name w:val="不明显强调1"/>
    <w:qFormat/>
    <w:uiPriority w:val="19"/>
    <w:rPr>
      <w:i/>
      <w:color w:val="585858" w:themeColor="text1" w:themeTint="A6"/>
    </w:rPr>
  </w:style>
  <w:style w:type="character" w:customStyle="1" w:styleId="37">
    <w:name w:val="明显强调1"/>
    <w:basedOn w:val="16"/>
    <w:qFormat/>
    <w:uiPriority w:val="21"/>
    <w:rPr>
      <w:b/>
      <w:i/>
      <w:sz w:val="24"/>
      <w:szCs w:val="24"/>
      <w:u w:val="single"/>
    </w:rPr>
  </w:style>
  <w:style w:type="character" w:customStyle="1" w:styleId="38">
    <w:name w:val="不明显参考1"/>
    <w:basedOn w:val="16"/>
    <w:qFormat/>
    <w:uiPriority w:val="31"/>
    <w:rPr>
      <w:sz w:val="24"/>
      <w:szCs w:val="24"/>
      <w:u w:val="single"/>
    </w:rPr>
  </w:style>
  <w:style w:type="character" w:customStyle="1" w:styleId="39">
    <w:name w:val="明显参考1"/>
    <w:basedOn w:val="16"/>
    <w:qFormat/>
    <w:uiPriority w:val="32"/>
    <w:rPr>
      <w:b/>
      <w:sz w:val="24"/>
      <w:u w:val="single"/>
    </w:rPr>
  </w:style>
  <w:style w:type="character" w:customStyle="1" w:styleId="40">
    <w:name w:val="书籍标题1"/>
    <w:basedOn w:val="16"/>
    <w:qFormat/>
    <w:uiPriority w:val="33"/>
    <w:rPr>
      <w:rFonts w:asciiTheme="majorHAnsi" w:hAnsiTheme="majorHAnsi" w:eastAsiaTheme="majorEastAsia"/>
      <w:b/>
      <w:i/>
      <w:sz w:val="24"/>
      <w:szCs w:val="24"/>
    </w:rPr>
  </w:style>
  <w:style w:type="paragraph" w:customStyle="1" w:styleId="41">
    <w:name w:val="TOC 标题1"/>
    <w:basedOn w:val="2"/>
    <w:next w:val="1"/>
    <w:unhideWhenUsed/>
    <w:qFormat/>
    <w:uiPriority w:val="39"/>
    <w:pPr>
      <w:outlineLvl w:val="9"/>
    </w:pPr>
    <w:rPr>
      <w:lang w:eastAsia="en-US" w:bidi="en-US"/>
    </w:rPr>
  </w:style>
  <w:style w:type="character" w:customStyle="1" w:styleId="42">
    <w:name w:val="页眉 Char"/>
    <w:basedOn w:val="16"/>
    <w:link w:val="12"/>
    <w:qFormat/>
    <w:uiPriority w:val="99"/>
    <w:rPr>
      <w:rFonts w:ascii="Calibri" w:hAnsi="Calibri" w:eastAsia="宋体"/>
      <w:kern w:val="2"/>
      <w:sz w:val="18"/>
      <w:szCs w:val="18"/>
    </w:rPr>
  </w:style>
  <w:style w:type="character" w:customStyle="1" w:styleId="43">
    <w:name w:val="页脚 Char"/>
    <w:basedOn w:val="16"/>
    <w:link w:val="11"/>
    <w:qFormat/>
    <w:uiPriority w:val="99"/>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475</Words>
  <Characters>2711</Characters>
  <Lines>22</Lines>
  <Paragraphs>6</Paragraphs>
  <TotalTime>1</TotalTime>
  <ScaleCrop>false</ScaleCrop>
  <LinksUpToDate>false</LinksUpToDate>
  <CharactersWithSpaces>3180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2018-08-15T03:10:00Z</cp:lastPrinted>
  <dcterms:modified xsi:type="dcterms:W3CDTF">2021-07-12T15:17:24Z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