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第二次全国地名普查补助项目</w:t>
      </w:r>
      <w:bookmarkStart w:id="0" w:name="_GoBack"/>
      <w:bookmarkEnd w:id="0"/>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pStyle w:val="33"/>
        <w:numPr>
          <w:ilvl w:val="0"/>
          <w:numId w:val="1"/>
        </w:numPr>
        <w:spacing w:line="560" w:lineRule="exact"/>
        <w:ind w:left="0" w:firstLine="640" w:firstLineChars="200"/>
        <w:jc w:val="both"/>
        <w:rPr>
          <w:rFonts w:ascii="黑体" w:hAnsi="黑体" w:eastAsia="黑体" w:cs="黑体"/>
          <w:bCs/>
          <w:sz w:val="32"/>
          <w:szCs w:val="32"/>
        </w:rPr>
      </w:pPr>
      <w:r>
        <w:rPr>
          <w:rFonts w:hint="eastAsia" w:ascii="黑体" w:hAnsi="黑体" w:eastAsia="黑体" w:cs="黑体"/>
          <w:bCs/>
          <w:sz w:val="32"/>
          <w:szCs w:val="32"/>
          <w:lang w:eastAsia="zh-CN"/>
        </w:rPr>
        <w:t>项目概况</w:t>
      </w:r>
    </w:p>
    <w:p>
      <w:pPr>
        <w:spacing w:line="560" w:lineRule="exact"/>
        <w:ind w:firstLine="643" w:firstLineChars="200"/>
        <w:rPr>
          <w:rFonts w:ascii="楷体_GB2312" w:hAnsi="黑体" w:eastAsia="楷体_GB2312" w:cs="黑体"/>
          <w:b/>
          <w:bCs/>
          <w:sz w:val="32"/>
          <w:szCs w:val="32"/>
        </w:rPr>
      </w:pPr>
      <w:r>
        <w:rPr>
          <w:rFonts w:hint="eastAsia" w:ascii="楷体_GB2312" w:hAnsi="黑体" w:eastAsia="楷体_GB2312" w:cs="黑体"/>
          <w:b/>
          <w:bCs/>
          <w:sz w:val="32"/>
          <w:szCs w:val="32"/>
        </w:rPr>
        <w:t>（一）项目单位基本情况</w:t>
      </w:r>
    </w:p>
    <w:p>
      <w:pPr>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560" w:lineRule="exact"/>
        <w:ind w:firstLine="627" w:firstLineChars="200"/>
        <w:rPr>
          <w:rFonts w:ascii="仿宋_GB2312" w:hAnsi="仿宋_GB2312" w:eastAsia="仿宋_GB2312" w:cs="仿宋_GB2312"/>
          <w:bCs/>
          <w:kern w:val="0"/>
          <w:sz w:val="32"/>
          <w:szCs w:val="32"/>
        </w:rPr>
      </w:pPr>
      <w:r>
        <w:rPr>
          <w:rStyle w:val="19"/>
          <w:rFonts w:hint="eastAsia" w:ascii="楷体_GB2312" w:hAnsi="楷体" w:eastAsia="楷体_GB2312"/>
          <w:spacing w:val="-4"/>
          <w:sz w:val="32"/>
          <w:szCs w:val="32"/>
        </w:rPr>
        <w:t>（二）项目预算绩效目标设定情况</w:t>
      </w:r>
      <w:r>
        <w:rPr>
          <w:rFonts w:ascii="仿宋_GB2312" w:hAnsi="仿宋_GB2312" w:eastAsia="仿宋_GB2312" w:cs="仿宋_GB2312"/>
          <w:bCs/>
          <w:kern w:val="0"/>
          <w:sz w:val="32"/>
          <w:szCs w:val="32"/>
        </w:rPr>
        <w:tab/>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查清地名及相关属性信息,对有地无名的有地名作用的地理实体进行命名,对不规范地名进行标准化处理，设置标准规范的地名标志，建立、完善各级地名和区划数据库，加强地名信息化服务建设，建立地名普查档案，项目基本性质为业务开展类延续性项目。</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二、项目资金使用及管理情况</w:t>
      </w:r>
    </w:p>
    <w:p>
      <w:pPr>
        <w:spacing w:line="560" w:lineRule="exact"/>
        <w:ind w:firstLine="643" w:firstLineChars="200"/>
        <w:rPr>
          <w:rFonts w:ascii="楷体_GB2312" w:hAnsi="新宋体" w:eastAsia="楷体_GB2312" w:cs="新宋体"/>
          <w:b/>
          <w:sz w:val="32"/>
          <w:szCs w:val="32"/>
        </w:rPr>
      </w:pPr>
      <w:r>
        <w:rPr>
          <w:rFonts w:hint="eastAsia" w:ascii="楷体_GB2312" w:hAnsi="新宋体" w:eastAsia="楷体_GB2312" w:cs="新宋体"/>
          <w:b/>
          <w:sz w:val="32"/>
          <w:szCs w:val="32"/>
        </w:rPr>
        <w:t>（一）项目资金安排落实、总投入等情况分析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根据新财社〔2018〕108号、喀地财社［2018］72号文件要求，本项目资金15万元，其中财政资金15万元，其他资金0万元，资金到位15万元；资金到位率100%。</w:t>
      </w:r>
    </w:p>
    <w:p>
      <w:pPr>
        <w:spacing w:line="560" w:lineRule="exact"/>
        <w:ind w:firstLine="643" w:firstLineChars="200"/>
        <w:rPr>
          <w:rFonts w:ascii="楷体_GB2312" w:hAnsi="新宋体" w:eastAsia="楷体_GB2312" w:cs="新宋体"/>
          <w:b/>
          <w:sz w:val="32"/>
          <w:szCs w:val="32"/>
        </w:rPr>
      </w:pPr>
      <w:r>
        <w:rPr>
          <w:rFonts w:hint="eastAsia" w:ascii="楷体_GB2312" w:hAnsi="新宋体" w:eastAsia="楷体_GB2312" w:cs="新宋体"/>
          <w:b/>
          <w:sz w:val="32"/>
          <w:szCs w:val="32"/>
        </w:rPr>
        <w:t>（二）项目资金实际使用情况分析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根据新财社〔2018〕108号、喀地财社［2018］72号文件关于下达第二次全国地名普查补助项目文件，到位资金15万元，本项目实际支付资金15万元，预算执行率100%。项目资金主要用于</w:t>
      </w:r>
      <w:r>
        <w:rPr>
          <w:rFonts w:hint="eastAsia" w:ascii="仿宋_GB2312" w:hAnsi="仿宋_GB2312" w:eastAsia="仿宋_GB2312" w:cs="仿宋_GB2312"/>
          <w:kern w:val="0"/>
          <w:sz w:val="32"/>
          <w:szCs w:val="32"/>
        </w:rPr>
        <w:t>查清地名及相关属性信息，对不规范地名进行标准化处理，设置标准规范的地名标志，建立、完善各级地名和区划数据库，建立地名普查档案</w:t>
      </w:r>
      <w:r>
        <w:rPr>
          <w:rFonts w:hint="eastAsia" w:ascii="仿宋_GB2312" w:hAnsi="新宋体" w:eastAsia="仿宋_GB2312" w:cs="新宋体"/>
          <w:sz w:val="32"/>
          <w:szCs w:val="32"/>
        </w:rPr>
        <w:t>等各项支出15万元，结余 0万元。</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本项目资金严格按照第二次全国地名普查补助项目资金管理办法和地区财政资金管理制度支付资金；资金支付由本单位分管领导、主管财务领导、财政局等各级部门审批审核；资金的支付有完整的审批程序和手续符合制度要求；不存在截留、挤占、挪用、虚列支出等情况。</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三、项目组织实施情况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按照地名普查所需资金以及地名普查相关人员经费发放标准及购买办公用品发票支付费用。发票及发放表经领导审批后根据具体情况支付。</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spacing w:line="560" w:lineRule="exact"/>
        <w:ind w:left="181" w:leftChars="86"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项目实施过程中，我单位建立了《</w:t>
      </w:r>
      <w:r>
        <w:rPr>
          <w:rFonts w:hint="eastAsia" w:ascii="仿宋_GB2312" w:hAnsi="新宋体" w:eastAsia="仿宋_GB2312" w:cs="新宋体"/>
          <w:sz w:val="32"/>
          <w:szCs w:val="32"/>
        </w:rPr>
        <w:t>全国地名普查</w:t>
      </w:r>
      <w:r>
        <w:rPr>
          <w:rFonts w:hint="eastAsia" w:ascii="仿宋_GB2312" w:hAnsi="新宋体" w:eastAsia="仿宋_GB2312" w:cs="新宋体"/>
          <w:bCs/>
          <w:sz w:val="32"/>
          <w:szCs w:val="32"/>
        </w:rPr>
        <w:t>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7" w:firstLineChars="200"/>
        <w:rPr>
          <w:rStyle w:val="19"/>
          <w:rFonts w:ascii="黑体" w:hAnsi="黑体" w:eastAsia="黑体"/>
          <w:sz w:val="32"/>
          <w:szCs w:val="32"/>
        </w:rPr>
      </w:pPr>
      <w:r>
        <w:rPr>
          <w:rStyle w:val="19"/>
          <w:rFonts w:hint="eastAsia" w:ascii="黑体" w:hAnsi="黑体" w:eastAsia="黑体"/>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目共设置一级指标3个，二级指标7个，三级指标9个，其中已完成三级指标9个，指标完成率为100%。根据年初设定的绩效目标，此项目自评得分为96分。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开展地名普查人数3人，完成率100%。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建立地名普查档案完成率100%，对地名普查参加人员的培训100%，促进地名普查档案建立程度，完成率100%。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资金拨付及时率100%，</w:t>
      </w:r>
      <w:r>
        <w:rPr>
          <w:rFonts w:hint="eastAsia" w:ascii="仿宋_GB2312" w:hAnsi="新宋体" w:eastAsia="仿宋_GB2312" w:cs="新宋体"/>
          <w:sz w:val="32"/>
          <w:szCs w:val="32"/>
        </w:rPr>
        <w:t>第二次全国地名普查补助项目</w:t>
      </w:r>
      <w:r>
        <w:rPr>
          <w:rFonts w:hint="eastAsia" w:ascii="仿宋_GB2312" w:hAnsi="新宋体" w:eastAsia="仿宋_GB2312" w:cs="新宋体"/>
          <w:bCs/>
          <w:sz w:val="32"/>
          <w:szCs w:val="32"/>
        </w:rPr>
        <w:t>按照具体工作开展情况的进度进行，完成率100%。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 xml:space="preserve"> 地名普查经费金额15万元，人员培训经费标准1000元/人，完成率100%。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560" w:lineRule="exact"/>
        <w:ind w:left="556" w:leftChars="265"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w:t>
      </w:r>
      <w:r>
        <w:rPr>
          <w:rFonts w:hint="eastAsia" w:ascii="仿宋_GB2312" w:hAnsi="新宋体" w:eastAsia="仿宋_GB2312" w:cs="新宋体"/>
          <w:sz w:val="32"/>
          <w:szCs w:val="32"/>
        </w:rPr>
        <w:t>第二次全国地名普查项目具体实施，达到</w:t>
      </w:r>
      <w:r>
        <w:rPr>
          <w:rFonts w:hint="eastAsia" w:ascii="仿宋_GB2312" w:hAnsi="新宋体" w:eastAsia="仿宋_GB2312" w:cs="新宋体"/>
          <w:bCs/>
          <w:sz w:val="32"/>
          <w:szCs w:val="32"/>
        </w:rPr>
        <w:t>地名普查人员相对关技能的熟练程超过95%。</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新宋体" w:eastAsia="仿宋_GB2312" w:cs="新宋体"/>
          <w:bCs/>
          <w:sz w:val="32"/>
          <w:szCs w:val="32"/>
        </w:rPr>
        <w:t>项目实施年限1年。通过</w:t>
      </w:r>
      <w:r>
        <w:rPr>
          <w:rFonts w:hint="eastAsia" w:ascii="仿宋_GB2312" w:hAnsi="新宋体" w:eastAsia="仿宋_GB2312" w:cs="新宋体"/>
          <w:sz w:val="32"/>
          <w:szCs w:val="32"/>
        </w:rPr>
        <w:t>第二次全国地名普查项目具体实施</w:t>
      </w:r>
      <w:r>
        <w:rPr>
          <w:rFonts w:hint="eastAsia" w:ascii="仿宋_GB2312" w:hAnsi="仿宋_GB2312" w:eastAsia="仿宋_GB2312" w:cs="仿宋_GB2312"/>
          <w:kern w:val="0"/>
          <w:sz w:val="32"/>
          <w:szCs w:val="32"/>
        </w:rPr>
        <w:t>对不规范地名进行标准化处理，设置标准规范的地名标志，建立、完善各级地名和区划数据库</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按计划完成项目实施，已做满意度调查问卷，受益人员满意率超过90%，服务对象满意度指标完成。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2018年本项目绩效目标全部达成，不存在未完成原因分析。</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标准地名的使用，同时加快普查成果的开发应用，以方便人们日常生活和交往，更好地为经济社会发展服务，对新增加的地名及时录入，建立档案。对参加工作的人员及时的进行相关技能的培训，使之对地名普查工作能够做到百分百胜任。</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left="181" w:leftChars="86"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全国地名普查补助项目资金的使用按照政策标准，专款专用，做到政务公开，执行“阳光操作”，保证各项工作公开透明。从基层开始各村、社区把好入门关做好动态管理将问题的消灭在初审。</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新宋体" w:cs="新宋体"/>
          <w:bCs/>
          <w:sz w:val="32"/>
          <w:szCs w:val="32"/>
        </w:rPr>
      </w:pPr>
      <w:r>
        <w:rPr>
          <w:rFonts w:hint="eastAsia" w:ascii="仿宋_GB2312" w:hAnsi="新宋体" w:cs="新宋体"/>
          <w:bCs/>
          <w:sz w:val="32"/>
          <w:szCs w:val="32"/>
        </w:rPr>
        <w:t>无其他说明内容。</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六、项目评价工作情况</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各项全国地名普查补助项目政策的宣传，规范全国地名普查补助项目政策实施中的程序，合理确定标准，全面了解全国地名普查补助项目资金的使用效率和效果，项目管理过程规范，完成了预期绩效目标等。同时，通过开展自我评价来总结经验和教训，为我县全国地名普查补助项目工作在今后的开展提供参考建议。</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七、附表</w:t>
      </w:r>
    </w:p>
    <w:p>
      <w:pPr>
        <w:spacing w:line="56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ind w:firstLine="420" w:firstLineChars="200"/>
        <w:rPr>
          <w:rStyle w:val="19"/>
          <w:rFonts w:ascii="仿宋_GB2312" w:hAnsi="黑体" w:cs="黑体"/>
          <w:b w:val="0"/>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B6C9F"/>
    <w:multiLevelType w:val="multilevel"/>
    <w:tmpl w:val="729B6C9F"/>
    <w:lvl w:ilvl="0" w:tentative="0">
      <w:start w:val="1"/>
      <w:numFmt w:val="japaneseCounting"/>
      <w:lvlText w:val="%1、"/>
      <w:lvlJc w:val="left"/>
      <w:pPr>
        <w:ind w:left="880" w:hanging="720"/>
      </w:pPr>
      <w:rPr>
        <w:rFonts w:hint="default"/>
      </w:rPr>
    </w:lvl>
    <w:lvl w:ilvl="1" w:tentative="0">
      <w:start w:val="1"/>
      <w:numFmt w:val="lowerLetter"/>
      <w:lvlText w:val="%2)"/>
      <w:lvlJc w:val="left"/>
      <w:pPr>
        <w:ind w:left="1000" w:hanging="420"/>
      </w:pPr>
    </w:lvl>
    <w:lvl w:ilvl="2" w:tentative="0">
      <w:start w:val="1"/>
      <w:numFmt w:val="lowerRoman"/>
      <w:lvlText w:val="%3."/>
      <w:lvlJc w:val="right"/>
      <w:pPr>
        <w:ind w:left="1420" w:hanging="420"/>
      </w:pPr>
    </w:lvl>
    <w:lvl w:ilvl="3" w:tentative="0">
      <w:start w:val="1"/>
      <w:numFmt w:val="decimal"/>
      <w:lvlText w:val="%4."/>
      <w:lvlJc w:val="left"/>
      <w:pPr>
        <w:ind w:left="1840" w:hanging="420"/>
      </w:pPr>
    </w:lvl>
    <w:lvl w:ilvl="4" w:tentative="0">
      <w:start w:val="1"/>
      <w:numFmt w:val="lowerLetter"/>
      <w:lvlText w:val="%5)"/>
      <w:lvlJc w:val="left"/>
      <w:pPr>
        <w:ind w:left="2260" w:hanging="420"/>
      </w:pPr>
    </w:lvl>
    <w:lvl w:ilvl="5" w:tentative="0">
      <w:start w:val="1"/>
      <w:numFmt w:val="lowerRoman"/>
      <w:lvlText w:val="%6."/>
      <w:lvlJc w:val="right"/>
      <w:pPr>
        <w:ind w:left="2680" w:hanging="420"/>
      </w:pPr>
    </w:lvl>
    <w:lvl w:ilvl="6" w:tentative="0">
      <w:start w:val="1"/>
      <w:numFmt w:val="decimal"/>
      <w:lvlText w:val="%7."/>
      <w:lvlJc w:val="left"/>
      <w:pPr>
        <w:ind w:left="3100" w:hanging="420"/>
      </w:pPr>
    </w:lvl>
    <w:lvl w:ilvl="7" w:tentative="0">
      <w:start w:val="1"/>
      <w:numFmt w:val="lowerLetter"/>
      <w:lvlText w:val="%8)"/>
      <w:lvlJc w:val="left"/>
      <w:pPr>
        <w:ind w:left="3520" w:hanging="420"/>
      </w:pPr>
    </w:lvl>
    <w:lvl w:ilvl="8" w:tentative="0">
      <w:start w:val="1"/>
      <w:numFmt w:val="lowerRoman"/>
      <w:lvlText w:val="%9."/>
      <w:lvlJc w:val="right"/>
      <w:pPr>
        <w:ind w:left="3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04883"/>
    <w:rsid w:val="00006807"/>
    <w:rsid w:val="00054E29"/>
    <w:rsid w:val="00056465"/>
    <w:rsid w:val="00074E7C"/>
    <w:rsid w:val="000A0BAC"/>
    <w:rsid w:val="00121AE4"/>
    <w:rsid w:val="00146AAD"/>
    <w:rsid w:val="001B3A40"/>
    <w:rsid w:val="00213E8A"/>
    <w:rsid w:val="00222990"/>
    <w:rsid w:val="002609FF"/>
    <w:rsid w:val="0027798B"/>
    <w:rsid w:val="00286F5F"/>
    <w:rsid w:val="00290E00"/>
    <w:rsid w:val="002A04DC"/>
    <w:rsid w:val="002C4AF1"/>
    <w:rsid w:val="00352E06"/>
    <w:rsid w:val="00377C5E"/>
    <w:rsid w:val="003B4903"/>
    <w:rsid w:val="004349C7"/>
    <w:rsid w:val="004366A8"/>
    <w:rsid w:val="00473859"/>
    <w:rsid w:val="00502BA7"/>
    <w:rsid w:val="00506D5E"/>
    <w:rsid w:val="005162F1"/>
    <w:rsid w:val="00535153"/>
    <w:rsid w:val="00554F82"/>
    <w:rsid w:val="005635C8"/>
    <w:rsid w:val="0056390D"/>
    <w:rsid w:val="005719B0"/>
    <w:rsid w:val="005C48F4"/>
    <w:rsid w:val="005D10D6"/>
    <w:rsid w:val="0061575C"/>
    <w:rsid w:val="006A1977"/>
    <w:rsid w:val="007012E2"/>
    <w:rsid w:val="007637D5"/>
    <w:rsid w:val="007A1021"/>
    <w:rsid w:val="00855E3A"/>
    <w:rsid w:val="00922CB9"/>
    <w:rsid w:val="00930388"/>
    <w:rsid w:val="00951062"/>
    <w:rsid w:val="009A649A"/>
    <w:rsid w:val="009E5CD9"/>
    <w:rsid w:val="009E62D2"/>
    <w:rsid w:val="00A04C92"/>
    <w:rsid w:val="00A26421"/>
    <w:rsid w:val="00A4293B"/>
    <w:rsid w:val="00A67D50"/>
    <w:rsid w:val="00A70BA0"/>
    <w:rsid w:val="00A8691A"/>
    <w:rsid w:val="00AC1946"/>
    <w:rsid w:val="00AD6F1F"/>
    <w:rsid w:val="00B26FCA"/>
    <w:rsid w:val="00B40063"/>
    <w:rsid w:val="00B41F61"/>
    <w:rsid w:val="00BA46E6"/>
    <w:rsid w:val="00BD5100"/>
    <w:rsid w:val="00BE1DDD"/>
    <w:rsid w:val="00C56C72"/>
    <w:rsid w:val="00C87D80"/>
    <w:rsid w:val="00CA6457"/>
    <w:rsid w:val="00D17F2E"/>
    <w:rsid w:val="00D25B29"/>
    <w:rsid w:val="00D30354"/>
    <w:rsid w:val="00D51C57"/>
    <w:rsid w:val="00DB0657"/>
    <w:rsid w:val="00DF42A0"/>
    <w:rsid w:val="00E3335D"/>
    <w:rsid w:val="00E769FE"/>
    <w:rsid w:val="00E958CD"/>
    <w:rsid w:val="00EA2CBE"/>
    <w:rsid w:val="00F32FEE"/>
    <w:rsid w:val="00F4739D"/>
    <w:rsid w:val="00FB10BB"/>
    <w:rsid w:val="00FD6BF7"/>
    <w:rsid w:val="0A590277"/>
    <w:rsid w:val="0A741739"/>
    <w:rsid w:val="0D125AF3"/>
    <w:rsid w:val="0D7A3B88"/>
    <w:rsid w:val="0E275477"/>
    <w:rsid w:val="230663CE"/>
    <w:rsid w:val="257C022F"/>
    <w:rsid w:val="314F5BA6"/>
    <w:rsid w:val="34192E78"/>
    <w:rsid w:val="37243B9E"/>
    <w:rsid w:val="3A622D00"/>
    <w:rsid w:val="44186C69"/>
    <w:rsid w:val="467C09ED"/>
    <w:rsid w:val="472F2B76"/>
    <w:rsid w:val="4B424593"/>
    <w:rsid w:val="5BFC5718"/>
    <w:rsid w:val="67CF1DC9"/>
    <w:rsid w:val="6AA72A39"/>
    <w:rsid w:val="6EEF74BE"/>
    <w:rsid w:val="76C833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 w:type="character" w:customStyle="1" w:styleId="50">
    <w:name w:val="font41"/>
    <w:basedOn w:val="1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426</Words>
  <Characters>2433</Characters>
  <Lines>20</Lines>
  <Paragraphs>5</Paragraphs>
  <TotalTime>0</TotalTime>
  <ScaleCrop>false</ScaleCrop>
  <LinksUpToDate>false</LinksUpToDate>
  <CharactersWithSpaces>2854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2021-07-12T15:13:41Z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