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年度新疆喀什地区叶城县疾病预防控制部门决算公开说明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为人民身体健康提供预防保健疫情监测疾病预防与控制、卫生监督与监测、突发卫生事件处理、卫生宣传、卫生防疫培训与指导疫苗管理与接种、从业人员、学校健康宣传与体检、卫生知识咨询与指导。对从业人员进行</w:t>
      </w:r>
      <w:r>
        <w:rPr>
          <w:rFonts w:ascii="仿宋_GB2312" w:eastAsia="仿宋_GB2312" w:cs="仿宋_GB2312"/>
          <w:sz w:val="32"/>
          <w:szCs w:val="32"/>
        </w:rPr>
        <w:t>HIV</w:t>
      </w:r>
      <w:r>
        <w:rPr>
          <w:rFonts w:hint="eastAsia" w:ascii="仿宋_GB2312" w:eastAsia="仿宋_GB2312" w:cs="仿宋_GB2312"/>
          <w:sz w:val="32"/>
          <w:szCs w:val="32"/>
        </w:rPr>
        <w:t>监测。</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从决算单位构成看，新疆喀什地区叶城县疾病预防控制部门决算包括：新疆喀什地区叶城县疾病预防控制部门本级决算、所属单位决算等。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纳入新疆喀什地区叶城县疾病预防控制</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新疆喀什地区叶城县疾病预防控制</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553.43</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33.82</w:t>
      </w:r>
      <w:r>
        <w:rPr>
          <w:rFonts w:hint="eastAsia" w:ascii="仿宋_GB2312" w:eastAsia="仿宋_GB2312" w:cs="仿宋_GB2312"/>
          <w:sz w:val="32"/>
          <w:szCs w:val="32"/>
        </w:rPr>
        <w:t>万元，下降</w:t>
      </w:r>
      <w:r>
        <w:rPr>
          <w:rFonts w:ascii="仿宋_GB2312" w:eastAsia="仿宋_GB2312" w:cs="仿宋_GB2312"/>
          <w:sz w:val="32"/>
          <w:szCs w:val="32"/>
        </w:rPr>
        <w:t>5.76%</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同比上年本年人员工资无调资及补发工资收入，支出严格落实中央八项规定，压缩机关运行经费。</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553.43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33.82</w:t>
      </w:r>
      <w:r>
        <w:rPr>
          <w:rFonts w:hint="eastAsia" w:ascii="仿宋_GB2312" w:eastAsia="仿宋_GB2312" w:cs="仿宋_GB2312"/>
          <w:sz w:val="32"/>
          <w:szCs w:val="32"/>
        </w:rPr>
        <w:t>万元，下降</w:t>
      </w:r>
      <w:r>
        <w:rPr>
          <w:rFonts w:ascii="仿宋_GB2312" w:eastAsia="仿宋_GB2312" w:cs="仿宋_GB2312"/>
          <w:sz w:val="32"/>
          <w:szCs w:val="32"/>
        </w:rPr>
        <w:t>5.76%</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同比上年本年人员工资无调资及补发工资收入，支出严格落实中央八项规定，压缩机关运行经费；</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，与上年相比，减少0万元，降低0%，增加的主要原因是：</w:t>
      </w:r>
      <w:r>
        <w:rPr>
          <w:rFonts w:hint="eastAsia" w:ascii="仿宋_GB2312" w:eastAsia="仿宋_GB2312" w:cs="仿宋_GB2312"/>
          <w:color w:val="000000"/>
          <w:sz w:val="32"/>
          <w:szCs w:val="32"/>
        </w:rPr>
        <w:t>严格执行预算本单位无结余资金，与上年无变化。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553.43</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489.43</w:t>
      </w:r>
      <w:r>
        <w:rPr>
          <w:rFonts w:hint="eastAsia" w:ascii="仿宋_GB2312" w:eastAsia="仿宋_GB2312" w:cs="仿宋_GB2312"/>
          <w:color w:val="000000"/>
          <w:sz w:val="32"/>
          <w:szCs w:val="32"/>
        </w:rPr>
        <w:t>万元，占</w:t>
      </w:r>
      <w:r>
        <w:rPr>
          <w:rFonts w:ascii="仿宋_GB2312" w:eastAsia="仿宋_GB2312" w:cs="仿宋_GB2312"/>
          <w:sz w:val="32"/>
          <w:szCs w:val="32"/>
        </w:rPr>
        <w:t>88.44%</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64</w:t>
      </w:r>
      <w:r>
        <w:rPr>
          <w:rFonts w:hint="eastAsia" w:ascii="仿宋_GB2312" w:eastAsia="仿宋_GB2312" w:cs="仿宋_GB2312"/>
          <w:color w:val="000000"/>
          <w:sz w:val="32"/>
          <w:szCs w:val="32"/>
        </w:rPr>
        <w:t>万元，占</w:t>
      </w:r>
      <w:r>
        <w:rPr>
          <w:rFonts w:ascii="仿宋_GB2312" w:eastAsia="仿宋_GB2312" w:cs="仿宋_GB2312"/>
          <w:sz w:val="32"/>
          <w:szCs w:val="32"/>
        </w:rPr>
        <w:t>11.56%</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502.91</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553.43</w:t>
      </w:r>
      <w:r>
        <w:rPr>
          <w:rFonts w:hint="eastAsia" w:ascii="仿宋_GB2312" w:eastAsia="仿宋_GB2312" w:cs="仿宋_GB2312"/>
          <w:sz w:val="32"/>
          <w:szCs w:val="32"/>
        </w:rPr>
        <w:t>万元，预决算差异率</w:t>
      </w:r>
      <w:r>
        <w:rPr>
          <w:rFonts w:ascii="仿宋_GB2312" w:eastAsia="仿宋_GB2312" w:cs="仿宋_GB2312"/>
          <w:sz w:val="32"/>
          <w:szCs w:val="32"/>
        </w:rPr>
        <w:t>10.05%</w:t>
      </w:r>
      <w:r>
        <w:rPr>
          <w:rFonts w:hint="eastAsia" w:ascii="仿宋_GB2312" w:eastAsia="仿宋_GB2312" w:cs="仿宋_GB2312"/>
          <w:sz w:val="32"/>
          <w:szCs w:val="32"/>
        </w:rPr>
        <w:t>，差异主要原因是医疗卫生项目增加，上级专项补助在实际下达运程中存在不可预知性，资金到达后调整追加了预算。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553.43</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434.73</w:t>
      </w:r>
      <w:r>
        <w:rPr>
          <w:rFonts w:hint="eastAsia" w:ascii="仿宋_GB2312" w:eastAsia="仿宋_GB2312" w:cs="仿宋_GB2312"/>
          <w:color w:val="000000"/>
          <w:sz w:val="32"/>
          <w:szCs w:val="32"/>
        </w:rPr>
        <w:t>万元，占</w:t>
      </w:r>
      <w:r>
        <w:rPr>
          <w:rFonts w:ascii="仿宋_GB2312" w:eastAsia="仿宋_GB2312" w:cs="仿宋_GB2312"/>
          <w:sz w:val="32"/>
          <w:szCs w:val="32"/>
        </w:rPr>
        <w:t>78.55%</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118.71</w:t>
      </w:r>
      <w:r>
        <w:rPr>
          <w:rFonts w:hint="eastAsia" w:ascii="仿宋_GB2312" w:eastAsia="仿宋_GB2312" w:cs="仿宋_GB2312"/>
          <w:color w:val="000000"/>
          <w:sz w:val="32"/>
          <w:szCs w:val="32"/>
        </w:rPr>
        <w:t>万元，占</w:t>
      </w:r>
      <w:r>
        <w:rPr>
          <w:rFonts w:ascii="仿宋_GB2312" w:eastAsia="仿宋_GB2312" w:cs="仿宋_GB2312"/>
          <w:sz w:val="32"/>
          <w:szCs w:val="32"/>
        </w:rPr>
        <w:t>21.45%</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502.91</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553.43</w:t>
      </w:r>
      <w:r>
        <w:rPr>
          <w:rFonts w:hint="eastAsia" w:ascii="仿宋_GB2312" w:eastAsia="仿宋_GB2312" w:cs="仿宋_GB2312"/>
          <w:sz w:val="32"/>
          <w:szCs w:val="32"/>
        </w:rPr>
        <w:t>万元，预决算差异率</w:t>
      </w:r>
      <w:r>
        <w:rPr>
          <w:rFonts w:ascii="仿宋_GB2312" w:eastAsia="仿宋_GB2312" w:cs="仿宋_GB2312"/>
          <w:sz w:val="32"/>
          <w:szCs w:val="32"/>
        </w:rPr>
        <w:t>10.05%</w:t>
      </w:r>
      <w:r>
        <w:rPr>
          <w:rFonts w:hint="eastAsia" w:ascii="仿宋_GB2312" w:eastAsia="仿宋_GB2312" w:cs="仿宋_GB2312"/>
          <w:sz w:val="32"/>
          <w:szCs w:val="32"/>
        </w:rPr>
        <w:t>，差异主要原因是医疗卫生项目增加，上级专项补助在年初预算无法预知，资金到达后调整追加了预算。</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489.43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97.82</w:t>
      </w:r>
      <w:r>
        <w:rPr>
          <w:rFonts w:hint="eastAsia" w:ascii="仿宋_GB2312" w:eastAsia="仿宋_GB2312" w:cs="仿宋_GB2312"/>
          <w:sz w:val="32"/>
          <w:szCs w:val="32"/>
        </w:rPr>
        <w:t>万元，下降</w:t>
      </w:r>
      <w:r>
        <w:rPr>
          <w:rFonts w:ascii="仿宋_GB2312" w:eastAsia="仿宋_GB2312" w:cs="仿宋_GB2312"/>
          <w:sz w:val="32"/>
          <w:szCs w:val="32"/>
        </w:rPr>
        <w:t>16.66%</w:t>
      </w:r>
      <w:r>
        <w:rPr>
          <w:rFonts w:hint="eastAsia" w:ascii="仿宋_GB2312" w:eastAsia="仿宋_GB2312" w:cs="仿宋_GB2312"/>
          <w:sz w:val="32"/>
          <w:szCs w:val="32"/>
        </w:rPr>
        <w:t>，减少的主要原因是：同比上年本年人员工资无调资及补发工资收入支出严格落实中央八项规定，压缩机关运行经费。</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489.43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97.82</w:t>
      </w:r>
      <w:r>
        <w:rPr>
          <w:rFonts w:hint="eastAsia" w:ascii="仿宋_GB2312" w:eastAsia="仿宋_GB2312" w:cs="仿宋_GB2312"/>
          <w:sz w:val="32"/>
          <w:szCs w:val="32"/>
        </w:rPr>
        <w:t>万元，下降</w:t>
      </w:r>
      <w:r>
        <w:rPr>
          <w:rFonts w:ascii="仿宋_GB2312" w:eastAsia="仿宋_GB2312" w:cs="仿宋_GB2312"/>
          <w:sz w:val="32"/>
          <w:szCs w:val="32"/>
        </w:rPr>
        <w:t>16.66%</w:t>
      </w:r>
      <w:r>
        <w:rPr>
          <w:rFonts w:hint="eastAsia" w:ascii="仿宋_GB2312" w:eastAsia="仿宋_GB2312" w:cs="仿宋_GB2312"/>
          <w:sz w:val="32"/>
          <w:szCs w:val="32"/>
        </w:rPr>
        <w:t>，减少的主要原因是：同比上年本年人员工资无调资及补发工资收入支出严格落实中央八项规定，压缩机关运行经费。</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434.73</w:t>
      </w:r>
      <w:r>
        <w:rPr>
          <w:rFonts w:hint="eastAsia" w:ascii="仿宋_GB2312" w:eastAsia="仿宋_GB2312" w:cs="仿宋_GB2312"/>
          <w:color w:val="000000"/>
          <w:sz w:val="32"/>
          <w:szCs w:val="32"/>
        </w:rPr>
        <w:t>万元，项目支出</w:t>
      </w:r>
      <w:r>
        <w:rPr>
          <w:rFonts w:ascii="仿宋_GB2312" w:eastAsia="仿宋_GB2312" w:cs="仿宋_GB2312"/>
          <w:sz w:val="32"/>
          <w:szCs w:val="32"/>
        </w:rPr>
        <w:t>54.71</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，与上年相比，增加0万元，增长0%，增加的主要原因是本单位无财政拨款结转结余，与上年无变化。</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502.91</w:t>
      </w:r>
      <w:r>
        <w:rPr>
          <w:rFonts w:hint="eastAsia" w:ascii="仿宋_GB2312" w:eastAsia="仿宋_GB2312" w:cs="仿宋_GB2312"/>
          <w:color w:val="000000"/>
          <w:sz w:val="32"/>
          <w:szCs w:val="32"/>
        </w:rPr>
        <w:t>万元，决算数</w:t>
      </w:r>
      <w:r>
        <w:rPr>
          <w:rFonts w:ascii="仿宋_GB2312" w:eastAsia="仿宋_GB2312" w:cs="仿宋_GB2312"/>
          <w:sz w:val="32"/>
          <w:szCs w:val="32"/>
        </w:rPr>
        <w:t>489.43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-2.68%</w:t>
      </w:r>
      <w:r>
        <w:rPr>
          <w:rFonts w:hint="eastAsia" w:ascii="仿宋_GB2312" w:eastAsia="仿宋_GB2312" w:cs="仿宋_GB2312"/>
          <w:color w:val="000000"/>
          <w:sz w:val="32"/>
          <w:szCs w:val="32"/>
        </w:rPr>
        <w:t>，差异主要原因是医疗卫生项目增加，上级专项补助在年初预算无法预知，资金到达后调整追加了预算。</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502.91</w:t>
      </w:r>
      <w:r>
        <w:rPr>
          <w:rFonts w:hint="eastAsia" w:ascii="仿宋_GB2312" w:eastAsia="仿宋_GB2312" w:cs="仿宋_GB2312"/>
          <w:color w:val="000000"/>
          <w:sz w:val="32"/>
          <w:szCs w:val="32"/>
        </w:rPr>
        <w:t>万元，决算数</w:t>
      </w:r>
      <w:r>
        <w:rPr>
          <w:rFonts w:ascii="仿宋_GB2312" w:eastAsia="仿宋_GB2312" w:cs="仿宋_GB2312"/>
          <w:sz w:val="32"/>
          <w:szCs w:val="32"/>
        </w:rPr>
        <w:t>489.43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-2.68%</w:t>
      </w:r>
      <w:r>
        <w:rPr>
          <w:rFonts w:hint="eastAsia" w:ascii="仿宋_GB2312" w:eastAsia="仿宋_GB2312" w:cs="仿宋_GB2312"/>
          <w:color w:val="000000"/>
          <w:sz w:val="32"/>
          <w:szCs w:val="32"/>
        </w:rPr>
        <w:t>，差异主要原因是医疗卫生项目增加，上级专项补助在年初预算无法预知，资金到达后调整追加了预算。</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489.43</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97.82</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16.66%</w:t>
      </w:r>
      <w:r>
        <w:rPr>
          <w:rFonts w:hint="eastAsia" w:ascii="仿宋_GB2312" w:eastAsia="仿宋_GB2312" w:cs="仿宋_GB2312"/>
          <w:color w:val="000000"/>
          <w:sz w:val="32"/>
          <w:szCs w:val="32"/>
        </w:rPr>
        <w:t>，减少的主要原因是：同比上年本年人员工资无调资及补发工资收入支出严格落实中央八项规定，压缩机关运行经费。</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489.43</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97.82</w:t>
      </w:r>
      <w:r>
        <w:rPr>
          <w:rFonts w:hint="eastAsia" w:ascii="仿宋_GB2312" w:eastAsia="仿宋_GB2312" w:cs="仿宋_GB2312"/>
          <w:sz w:val="32"/>
          <w:szCs w:val="32"/>
        </w:rPr>
        <w:t>万元，下降</w:t>
      </w:r>
      <w:r>
        <w:rPr>
          <w:rFonts w:ascii="仿宋_GB2312" w:eastAsia="仿宋_GB2312" w:cs="仿宋_GB2312"/>
          <w:sz w:val="32"/>
          <w:szCs w:val="32"/>
        </w:rPr>
        <w:t>16.66%</w:t>
      </w:r>
      <w:r>
        <w:rPr>
          <w:rFonts w:hint="eastAsia" w:ascii="仿宋_GB2312" w:eastAsia="仿宋_GB2312" w:cs="仿宋_GB2312"/>
          <w:sz w:val="32"/>
          <w:szCs w:val="32"/>
        </w:rPr>
        <w:t>，减少的主要原因是：同比上年本年人员工资无调资及补发工资收入支出严格落实中央八项规定，压缩机关运行经费。</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医疗卫生与计生支出</w:t>
      </w:r>
      <w:r>
        <w:rPr>
          <w:rFonts w:ascii="仿宋_GB2312" w:eastAsia="仿宋_GB2312" w:cs="仿宋_GB2312"/>
          <w:sz w:val="32"/>
          <w:szCs w:val="32"/>
        </w:rPr>
        <w:t>422.56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66.88</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391.16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38.34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59.93</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502.91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489.43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-2.68%</w:t>
      </w:r>
      <w:r>
        <w:rPr>
          <w:rFonts w:hint="eastAsia" w:ascii="仿宋_GB2312" w:eastAsia="仿宋_GB2312" w:cs="仿宋_GB2312"/>
          <w:color w:val="000000"/>
          <w:sz w:val="32"/>
          <w:szCs w:val="32"/>
        </w:rPr>
        <w:t>，差异主要原因是同比上年本年人员工资无调资及补发工资收入支出严格落实中央八项规定，压缩机关运行经费。</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502.91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489.43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-2.68%</w:t>
      </w:r>
      <w:r>
        <w:rPr>
          <w:rFonts w:hint="eastAsia" w:ascii="仿宋_GB2312" w:eastAsia="仿宋_GB2312" w:cs="仿宋_GB2312"/>
          <w:color w:val="000000"/>
          <w:sz w:val="32"/>
          <w:szCs w:val="32"/>
        </w:rPr>
        <w:t>，差异主要原因是同比上年本年人员工资无调资及补发工资收入支出严格落实中央八项规定，压缩机关运行经费。</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，与上年相比减少0万元，降低0%。主要原因是：</w:t>
      </w:r>
      <w:r>
        <w:rPr>
          <w:rFonts w:ascii="仿宋_GB2312" w:eastAsia="仿宋_GB2312" w:cs="仿宋_GB2312"/>
          <w:sz w:val="32"/>
          <w:szCs w:val="32"/>
        </w:rPr>
        <w:t>20</w:t>
      </w:r>
      <w:r>
        <w:rPr>
          <w:rFonts w:hint="eastAsia" w:ascii="仿宋_GB2312" w:eastAsia="仿宋_GB2312" w:cs="仿宋_GB2312"/>
          <w:sz w:val="32"/>
          <w:szCs w:val="32"/>
        </w:rPr>
        <w:t>18年本单位无政府性基金预算财政拨款收入。</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，与上年相比减少0万元，降低0%，主要原因是：</w:t>
      </w:r>
      <w:r>
        <w:rPr>
          <w:rFonts w:ascii="仿宋_GB2312" w:eastAsia="仿宋_GB2312" w:cs="仿宋_GB2312"/>
          <w:sz w:val="32"/>
          <w:szCs w:val="32"/>
        </w:rPr>
        <w:t>20</w:t>
      </w:r>
      <w:r>
        <w:rPr>
          <w:rFonts w:hint="eastAsia" w:ascii="仿宋_GB2312" w:eastAsia="仿宋_GB2312" w:cs="仿宋_GB2312"/>
          <w:sz w:val="32"/>
          <w:szCs w:val="32"/>
        </w:rPr>
        <w:t>18年本单位无政府性基金预算支出。</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ascii="仿宋_GB2312" w:eastAsia="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。与上年相比，增0万元、增长0%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color w:val="000000"/>
          <w:sz w:val="32"/>
          <w:szCs w:val="32"/>
        </w:rPr>
        <w:t>2.61</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0.39</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13%</w:t>
      </w:r>
      <w:r>
        <w:rPr>
          <w:rFonts w:hint="eastAsia" w:ascii="仿宋_GB2312" w:eastAsia="仿宋_GB2312" w:cs="仿宋_GB2312"/>
          <w:color w:val="000000"/>
          <w:sz w:val="32"/>
          <w:szCs w:val="32"/>
        </w:rPr>
        <w:t>，减少的主要原因是：认真贯彻落实中央和自治区厉行节约的各项规定，严格控制和降低行政运行成本，大力压缩“三公”经费支出规模单位严把车辆管控关，严格遵守公务车辆配置标准和管理制度，减少使用高耗油车辆，严禁公车私用、严把监督检查关，对接待费严格控制，减少一切不必要的公务接待开支。</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，与上年相比减少0万元、降低0%，主要原因是：单位今年无出国考察、培训等安排，与上年一致；</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color w:val="000000"/>
          <w:sz w:val="32"/>
          <w:szCs w:val="32"/>
        </w:rPr>
        <w:t>2.61</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，与上年相比，减少</w:t>
      </w:r>
      <w:r>
        <w:rPr>
          <w:rFonts w:ascii="仿宋_GB2312" w:eastAsia="仿宋_GB2312" w:cs="仿宋_GB2312"/>
          <w:color w:val="000000"/>
          <w:sz w:val="32"/>
          <w:szCs w:val="32"/>
        </w:rPr>
        <w:t>0.39</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13%</w:t>
      </w:r>
      <w:r>
        <w:rPr>
          <w:rFonts w:hint="eastAsia" w:ascii="仿宋_GB2312" w:eastAsia="仿宋_GB2312" w:cs="仿宋_GB2312"/>
          <w:color w:val="000000"/>
          <w:sz w:val="32"/>
          <w:szCs w:val="32"/>
        </w:rPr>
        <w:t>，减少的主要原因是：落实中央八项规定，压减公务用车购置及运行维护费支出；</w:t>
      </w:r>
      <w:bookmarkEnd w:id="61"/>
      <w:bookmarkStart w:id="62" w:name="OLE_LINK32"/>
      <w:bookmarkStart w:id="63" w:name="OLE_LINK77"/>
      <w:bookmarkStart w:id="64" w:name="OLE_LINK78"/>
      <w:r>
        <w:rPr>
          <w:rFonts w:hint="eastAsia" w:ascii="仿宋_GB2312" w:eastAsia="仿宋_GB2312" w:cs="仿宋_GB2312"/>
          <w:color w:val="000000"/>
          <w:sz w:val="32"/>
          <w:szCs w:val="32"/>
        </w:rPr>
        <w:t>公务接待费支出</w:t>
      </w:r>
      <w:bookmarkEnd w:id="62"/>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，与上年相比减少0万元，降低0%，主要原因是：单位严把监督检查关，对接待费严格控制，减少一切不必要的公务接待开支，与上年一致。</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s="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万元。新疆喀什地区叶城县疾病预防控制单位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color w:val="000000"/>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开支内容包括：本单位今年无出国考察、培训等安排，与上年一致。</w:t>
      </w:r>
      <w:bookmarkEnd w:id="65"/>
      <w:bookmarkEnd w:id="66"/>
      <w:bookmarkEnd w:id="72"/>
    </w:p>
    <w:p>
      <w:pPr>
        <w:spacing w:line="540" w:lineRule="exact"/>
        <w:ind w:firstLine="640" w:firstLineChars="200"/>
        <w:rPr>
          <w:rFonts w:ascii="仿宋_GB2312" w:eastAsia="仿宋_GB2312" w:cs="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color w:val="000000"/>
          <w:sz w:val="32"/>
          <w:szCs w:val="32"/>
        </w:rPr>
        <w:t>2.61</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color w:val="000000"/>
          <w:sz w:val="32"/>
          <w:szCs w:val="32"/>
        </w:rPr>
        <w:t>2.61</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。主要用于公务用车购置及运行维护费</w:t>
      </w:r>
      <w:r>
        <w:rPr>
          <w:rFonts w:ascii="仿宋_GB2312" w:eastAsia="仿宋_GB2312" w:cs="仿宋_GB2312"/>
          <w:color w:val="000000"/>
          <w:sz w:val="32"/>
          <w:szCs w:val="32"/>
        </w:rPr>
        <w:t>2.61</w:t>
      </w:r>
      <w:r>
        <w:rPr>
          <w:rFonts w:hint="eastAsia" w:ascii="仿宋_GB2312" w:eastAsia="仿宋_GB2312" w:cs="仿宋_GB2312"/>
          <w:color w:val="000000"/>
          <w:sz w:val="32"/>
          <w:szCs w:val="32"/>
        </w:rPr>
        <w:t>万元主要用于汽车油料、维护费、车辆保险费等日常车辆运行及维护费用。</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辆，保有量为</w:t>
      </w:r>
      <w:r>
        <w:rPr>
          <w:rFonts w:ascii="仿宋_GB2312" w:eastAsia="仿宋_GB2312" w:cs="仿宋_GB2312"/>
          <w:color w:val="000000"/>
          <w:sz w:val="32"/>
          <w:szCs w:val="32"/>
        </w:rPr>
        <w:t>3</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s="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万元，主要是本单位无此项支出，与上年一致。</w:t>
      </w:r>
      <w:bookmarkEnd w:id="78"/>
      <w:bookmarkStart w:id="79" w:name="OLE_LINK84"/>
      <w:r>
        <w:rPr>
          <w:rFonts w:hint="eastAsia" w:ascii="仿宋_GB2312" w:eastAsia="仿宋_GB2312" w:cs="仿宋_GB2312"/>
          <w:color w:val="000000"/>
          <w:sz w:val="32"/>
          <w:szCs w:val="32"/>
        </w:rPr>
        <w:t>新疆喀什地区叶城县疾病预防控制单位国内公务接待</w:t>
      </w:r>
      <w:r>
        <w:rPr>
          <w:rFonts w:ascii="仿宋_GB2312" w:eastAsia="仿宋_GB2312" w:cs="仿宋_GB2312"/>
          <w:color w:val="000000"/>
          <w:sz w:val="32"/>
          <w:szCs w:val="32"/>
        </w:rPr>
        <w:t>0</w:t>
      </w:r>
      <w:r>
        <w:rPr>
          <w:rFonts w:hint="eastAsia" w:ascii="仿宋_GB2312" w:eastAsia="仿宋_GB2312" w:cs="仿宋_GB2312"/>
          <w:color w:val="000000"/>
          <w:sz w:val="32"/>
          <w:szCs w:val="32"/>
        </w:rPr>
        <w:t>批次，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eastAsia="仿宋_GB2312" w:cs="仿宋_GB2312"/>
          <w:color w:val="00000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2.61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2.61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落认真贯彻落实中央和自治区厉行节约的各项规定，严格控制和降低行政运行成本，大力压缩“三公”经费支出规模单位严把车辆管控关，严格遵守公务车辆配置标准和管理制度，减少使用高耗油车辆，严禁公车私用、严把监督检查关，对接待费严格控制，减少一切不必要的公务接待开支。</w:t>
      </w:r>
      <w:bookmarkEnd w:id="80"/>
      <w:bookmarkStart w:id="81" w:name="OLE_LINK86"/>
      <w:bookmarkStart w:id="82" w:name="OLE_LINK87"/>
      <w:r>
        <w:rPr>
          <w:rFonts w:hint="eastAsia" w:ascii="仿宋_GB2312" w:eastAsia="仿宋_GB2312" w:cs="仿宋_GB2312"/>
          <w:color w:val="000000"/>
          <w:sz w:val="32"/>
          <w:szCs w:val="32"/>
        </w:rPr>
        <w:t>其中：因公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，差异主要原因是本单位今年无出国考察、培训等安排，与上年一致；</w:t>
      </w:r>
      <w:bookmarkEnd w:id="81"/>
      <w:bookmarkEnd w:id="82"/>
      <w:bookmarkStart w:id="83" w:name="OLE_LINK89"/>
      <w:bookmarkStart w:id="84" w:name="OLE_LINK88"/>
      <w:r>
        <w:rPr>
          <w:rFonts w:hint="eastAsia" w:ascii="仿宋_GB2312" w:eastAsia="仿宋_GB2312" w:cs="仿宋_GB2312"/>
          <w:color w:val="000000"/>
          <w:sz w:val="32"/>
          <w:szCs w:val="32"/>
        </w:rPr>
        <w:t>公务用车购置预算数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，差异主要原因是严把车辆管控关，严格遵守公务车辆配置标准,无公务用车购置费，与上年一致；</w:t>
      </w:r>
      <w:bookmarkEnd w:id="83"/>
      <w:bookmarkEnd w:id="84"/>
      <w:bookmarkStart w:id="85" w:name="OLE_LINK90"/>
      <w:r>
        <w:rPr>
          <w:rFonts w:hint="eastAsia" w:ascii="仿宋_GB2312" w:eastAsia="仿宋_GB2312" w:cs="仿宋_GB2312"/>
          <w:color w:val="000000"/>
          <w:sz w:val="32"/>
          <w:szCs w:val="32"/>
        </w:rPr>
        <w:t>公务用车运行费预算数</w:t>
      </w:r>
      <w:r>
        <w:rPr>
          <w:rFonts w:ascii="仿宋_GB2312" w:eastAsia="仿宋_GB2312" w:cs="仿宋_GB2312"/>
          <w:color w:val="000000"/>
          <w:sz w:val="32"/>
          <w:szCs w:val="32"/>
        </w:rPr>
        <w:t>2.61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2.61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，差异主要原因是单位严把车辆管控关，严格遵守公务车辆配置标准和管理制度，减少使用高耗油车辆，严禁公车私用；</w:t>
      </w:r>
      <w:bookmarkEnd w:id="85"/>
      <w:bookmarkStart w:id="86" w:name="OLE_LINK91"/>
      <w:r>
        <w:rPr>
          <w:rFonts w:hint="eastAsia" w:ascii="仿宋_GB2312" w:eastAsia="仿宋_GB2312" w:cs="仿宋_GB2312"/>
          <w:color w:val="000000"/>
          <w:sz w:val="32"/>
          <w:szCs w:val="32"/>
        </w:rPr>
        <w:t>公务接待费预算数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单位严把监督检查关，对接待费严格控制，减少一切不必要的公务接待开支，与上年一致。</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新疆喀什地区叶城县疾病预防控制日常公用经费</w:t>
      </w:r>
      <w:r>
        <w:rPr>
          <w:rFonts w:ascii="仿宋_GB2312" w:eastAsia="仿宋_GB2312" w:cs="仿宋_GB2312"/>
          <w:color w:val="000000"/>
          <w:sz w:val="32"/>
          <w:szCs w:val="32"/>
        </w:rPr>
        <w:t>9.56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5.9</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38.16%</w:t>
      </w:r>
      <w:r>
        <w:rPr>
          <w:rFonts w:hint="eastAsia" w:ascii="仿宋_GB2312" w:eastAsia="仿宋_GB2312" w:cs="仿宋_GB2312"/>
          <w:color w:val="000000"/>
          <w:sz w:val="32"/>
          <w:szCs w:val="32"/>
        </w:rPr>
        <w:t>，减少的主要原因是：落实中央八项规定，压减机关运行经费支出。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40.29</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39.88</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0.41</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3</w:t>
      </w:r>
      <w:r>
        <w:rPr>
          <w:rFonts w:hint="eastAsia" w:ascii="仿宋_GB2312" w:eastAsia="仿宋_GB2312" w:cs="仿宋_GB2312"/>
          <w:color w:val="000000"/>
          <w:sz w:val="32"/>
          <w:szCs w:val="32"/>
        </w:rPr>
        <w:t>辆，价值</w:t>
      </w:r>
      <w:r>
        <w:rPr>
          <w:rFonts w:ascii="仿宋_GB2312" w:eastAsia="仿宋_GB2312" w:cs="仿宋_GB2312"/>
          <w:sz w:val="32"/>
          <w:szCs w:val="32"/>
        </w:rPr>
        <w:t>51.49</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3</w:t>
      </w:r>
      <w:r>
        <w:rPr>
          <w:rFonts w:hint="eastAsia" w:ascii="仿宋_GB2312" w:eastAsia="仿宋_GB2312" w:cs="仿宋_GB2312"/>
          <w:color w:val="000000"/>
          <w:sz w:val="32"/>
          <w:szCs w:val="32"/>
        </w:rPr>
        <w:t>辆，其他用车主要是：一般公务用车</w:t>
      </w:r>
      <w:r>
        <w:rPr>
          <w:rFonts w:ascii="仿宋_GB2312" w:eastAsia="仿宋_GB2312" w:cs="仿宋_GB2312"/>
          <w:color w:val="000000"/>
          <w:sz w:val="32"/>
          <w:szCs w:val="32"/>
        </w:rPr>
        <w:t>3</w:t>
      </w:r>
      <w:r>
        <w:rPr>
          <w:rFonts w:hint="eastAsia" w:ascii="仿宋_GB2312" w:eastAsia="仿宋_GB2312" w:cs="仿宋_GB2312"/>
          <w:color w:val="000000"/>
          <w:sz w:val="32"/>
          <w:szCs w:val="32"/>
        </w:rPr>
        <w:t>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2</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cs="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新疆喀什地区叶城县疾病预防</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年度部门预算总额为</w:t>
      </w:r>
      <w:r>
        <w:rPr>
          <w:rFonts w:ascii="仿宋_GB2312" w:eastAsia="仿宋_GB2312" w:cs="仿宋_GB2312"/>
          <w:color w:val="000000"/>
          <w:sz w:val="32"/>
          <w:szCs w:val="32"/>
        </w:rPr>
        <w:t>118.71</w:t>
      </w:r>
      <w:r>
        <w:rPr>
          <w:rFonts w:hint="eastAsia" w:ascii="仿宋_GB2312" w:eastAsia="仿宋_GB2312" w:cs="仿宋_GB2312"/>
          <w:color w:val="000000"/>
          <w:sz w:val="32"/>
          <w:szCs w:val="32"/>
        </w:rPr>
        <w:t>万元，执行金额为</w:t>
      </w:r>
      <w:r>
        <w:rPr>
          <w:rFonts w:ascii="仿宋_GB2312" w:eastAsia="仿宋_GB2312" w:cs="仿宋_GB2312"/>
          <w:color w:val="000000"/>
          <w:sz w:val="32"/>
          <w:szCs w:val="32"/>
        </w:rPr>
        <w:t>118.71</w:t>
      </w:r>
      <w:r>
        <w:rPr>
          <w:rFonts w:hint="eastAsia" w:ascii="仿宋_GB2312" w:eastAsia="仿宋_GB2312" w:cs="仿宋_GB2312"/>
          <w:color w:val="000000"/>
          <w:sz w:val="32"/>
          <w:szCs w:val="32"/>
        </w:rPr>
        <w:t>万元，预算执行率为</w:t>
      </w:r>
      <w:r>
        <w:rPr>
          <w:rFonts w:ascii="仿宋_GB2312" w:eastAsia="仿宋_GB2312" w:cs="仿宋_GB2312"/>
          <w:color w:val="000000"/>
          <w:sz w:val="32"/>
          <w:szCs w:val="32"/>
        </w:rPr>
        <w:t>100%</w:t>
      </w:r>
      <w:r>
        <w:rPr>
          <w:rFonts w:hint="eastAsia" w:ascii="仿宋_GB2312" w:eastAsia="仿宋_GB2312" w:cs="仿宋_GB2312"/>
          <w:color w:val="000000"/>
          <w:sz w:val="32"/>
          <w:szCs w:val="32"/>
        </w:rPr>
        <w:t>。本次自评共涉及项目数</w:t>
      </w:r>
      <w:r>
        <w:rPr>
          <w:rFonts w:ascii="仿宋_GB2312" w:eastAsia="仿宋_GB2312" w:cs="仿宋_GB2312"/>
          <w:color w:val="000000"/>
          <w:sz w:val="32"/>
          <w:szCs w:val="32"/>
        </w:rPr>
        <w:t>3</w:t>
      </w:r>
      <w:r>
        <w:rPr>
          <w:rFonts w:hint="eastAsia" w:ascii="仿宋_GB2312" w:eastAsia="仿宋_GB2312" w:cs="仿宋_GB2312"/>
          <w:color w:val="000000"/>
          <w:sz w:val="32"/>
          <w:szCs w:val="32"/>
        </w:rPr>
        <w:t>个，其中已完成项目</w:t>
      </w:r>
      <w:r>
        <w:rPr>
          <w:rFonts w:ascii="仿宋_GB2312" w:eastAsia="仿宋_GB2312" w:cs="仿宋_GB2312"/>
          <w:color w:val="000000"/>
          <w:sz w:val="32"/>
          <w:szCs w:val="32"/>
        </w:rPr>
        <w:t>3</w:t>
      </w:r>
      <w:r>
        <w:rPr>
          <w:rFonts w:hint="eastAsia" w:ascii="仿宋_GB2312" w:eastAsia="仿宋_GB2312" w:cs="仿宋_GB2312"/>
          <w:color w:val="000000"/>
          <w:sz w:val="32"/>
          <w:szCs w:val="32"/>
        </w:rPr>
        <w:t>个、未完成项目</w:t>
      </w:r>
      <w:r>
        <w:rPr>
          <w:rFonts w:ascii="仿宋_GB2312" w:eastAsia="仿宋_GB2312" w:cs="仿宋_GB2312"/>
          <w:color w:val="000000"/>
          <w:sz w:val="32"/>
          <w:szCs w:val="32"/>
        </w:rPr>
        <w:t>0</w:t>
      </w:r>
      <w:r>
        <w:rPr>
          <w:rFonts w:hint="eastAsia" w:ascii="仿宋_GB2312" w:eastAsia="仿宋_GB2312" w:cs="仿宋_GB2312"/>
          <w:color w:val="000000"/>
          <w:sz w:val="32"/>
          <w:szCs w:val="32"/>
        </w:rPr>
        <w:t>个，项目总体完成率为</w:t>
      </w:r>
      <w:r>
        <w:rPr>
          <w:rFonts w:ascii="仿宋_GB2312" w:eastAsia="仿宋_GB2312" w:cs="仿宋_GB2312"/>
          <w:color w:val="000000"/>
          <w:sz w:val="32"/>
          <w:szCs w:val="32"/>
        </w:rPr>
        <w:t>100%</w:t>
      </w:r>
      <w:r>
        <w:rPr>
          <w:rFonts w:hint="eastAsia" w:ascii="仿宋_GB2312" w:eastAsia="仿宋_GB2312" w:cs="仿宋_GB2312"/>
          <w:color w:val="000000"/>
          <w:sz w:val="32"/>
          <w:szCs w:val="32"/>
        </w:rPr>
        <w:t>，各项目支出管理过程较为规范，预期绩效目标完成情况良好。通过本次自评全面总结了项目实施过程中的经验及不足，为</w:t>
      </w:r>
      <w:r>
        <w:rPr>
          <w:rFonts w:ascii="仿宋_GB2312" w:eastAsia="仿宋_GB2312" w:cs="仿宋_GB2312"/>
          <w:color w:val="000000"/>
          <w:sz w:val="32"/>
          <w:szCs w:val="32"/>
        </w:rPr>
        <w:t>2019</w:t>
      </w:r>
      <w:r>
        <w:rPr>
          <w:rFonts w:hint="eastAsia" w:ascii="仿宋_GB2312" w:eastAsia="仿宋_GB2312" w:cs="仿宋_GB2312"/>
          <w:color w:val="000000"/>
          <w:sz w:val="32"/>
          <w:szCs w:val="32"/>
        </w:rPr>
        <w:t>年度预算绩效管理工作开展奠定基础。</w:t>
      </w:r>
    </w:p>
    <w:p>
      <w:pPr>
        <w:spacing w:line="560" w:lineRule="exact"/>
        <w:ind w:firstLine="640" w:firstLineChars="200"/>
        <w:rPr>
          <w:rFonts w:ascii="仿宋_GB2312" w:eastAsia="仿宋_GB2312" w:cs="仿宋_GB2312"/>
          <w:color w:val="000000"/>
          <w:sz w:val="32"/>
          <w:szCs w:val="32"/>
        </w:rPr>
      </w:pPr>
      <w:r>
        <w:rPr>
          <w:rFonts w:ascii="仿宋_GB2312" w:eastAsia="仿宋_GB2312" w:cs="仿宋_GB2312"/>
          <w:color w:val="000000"/>
          <w:sz w:val="32"/>
          <w:szCs w:val="32"/>
        </w:rPr>
        <w:t>1</w:t>
      </w:r>
      <w:r>
        <w:rPr>
          <w:rFonts w:hint="eastAsia" w:ascii="仿宋_GB2312" w:eastAsia="仿宋_GB2312" w:cs="仿宋_GB2312"/>
          <w:color w:val="000000"/>
          <w:sz w:val="32"/>
          <w:szCs w:val="32"/>
        </w:rPr>
        <w:t>、社会补助项目绩效自评综述：根据年初设定的绩效目标，该项目绩效自评得分为</w:t>
      </w:r>
      <w:r>
        <w:rPr>
          <w:rFonts w:ascii="仿宋_GB2312" w:eastAsia="仿宋_GB2312" w:cs="仿宋_GB2312"/>
          <w:color w:val="000000"/>
          <w:sz w:val="32"/>
          <w:szCs w:val="32"/>
        </w:rPr>
        <w:t>96</w:t>
      </w:r>
      <w:r>
        <w:rPr>
          <w:rFonts w:hint="eastAsia" w:ascii="仿宋_GB2312" w:eastAsia="仿宋_GB2312" w:cs="仿宋_GB2312"/>
          <w:color w:val="000000"/>
          <w:sz w:val="32"/>
          <w:szCs w:val="32"/>
        </w:rPr>
        <w:t>分。项目全年预算数为</w:t>
      </w:r>
      <w:r>
        <w:rPr>
          <w:rFonts w:ascii="仿宋_GB2312" w:eastAsia="仿宋_GB2312" w:cs="仿宋_GB2312"/>
          <w:color w:val="000000"/>
          <w:sz w:val="32"/>
          <w:szCs w:val="32"/>
        </w:rPr>
        <w:t>25.93</w:t>
      </w:r>
      <w:r>
        <w:rPr>
          <w:rFonts w:hint="eastAsia" w:ascii="仿宋_GB2312" w:eastAsia="仿宋_GB2312" w:cs="仿宋_GB2312"/>
          <w:color w:val="000000"/>
          <w:sz w:val="32"/>
          <w:szCs w:val="32"/>
        </w:rPr>
        <w:t>万元，执行数为</w:t>
      </w:r>
      <w:r>
        <w:rPr>
          <w:rFonts w:ascii="仿宋_GB2312" w:eastAsia="仿宋_GB2312" w:cs="仿宋_GB2312"/>
          <w:color w:val="000000"/>
          <w:sz w:val="32"/>
          <w:szCs w:val="32"/>
        </w:rPr>
        <w:t>25.93</w:t>
      </w:r>
      <w:r>
        <w:rPr>
          <w:rFonts w:hint="eastAsia" w:ascii="仿宋_GB2312" w:eastAsia="仿宋_GB2312" w:cs="仿宋_GB2312"/>
          <w:color w:val="000000"/>
          <w:sz w:val="32"/>
          <w:szCs w:val="32"/>
        </w:rPr>
        <w:t>万元，完成预算的</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。主要产出和效果： 1.产出指标完成情况分析（1）项目完成数量：发放城市最低生活保障金人数84人，发放农村最低生活保障金人数18人，发放城乡医疗补助人数102人，截至2018年绩效自评时,该项目年度设定的预期目标全部完成,完成率为100%。（2）项目完成质量：社会救助补助保障率100%，根据项目实施完成后的结果来看,我单位严格规范项目资执行情况，高质量完成项目建设，完成率为100%。（3）项目实施进度：最低生活保障金发放及时率100%，城乡医疗补助发放及时率100%，我单位严格把控资金与项目实施进度相统一的原则,项目完成进度良好,当年完成率为100%。（4）项目成本节约情况：城市最低生活保障金标准2149元/人/年，农村最低生活保障金标准3744元/人/年，城乡医疗补助标准167元/人/年，我单位在执行该类项目时,严格控制成本在预算之内,坚决杜绝资金浪费现象的产生,效果良好。2.效益指标完成情况分析（1）项目实施的经济效益分析：项目实施减轻农村低保、特困人员等困难群众生活负担4000元/年/人。（2）项目实施的社会效益分析：项目实施使艾滋病人员享受社会救助保障率率达到95%，提高政策宣传群众知晓率达到95%。（3）项目实施的生态效益分析：无（4）项目实施的可持续影响分析：社会救助项目持续实施时限为1年。3.满意度指标完成情况分析：按计划完成项目实施，享受社会救助补助人员满意度达95%，服务对象满意度指标完成。发现的问题及原因：还存在未将符合条件的艾滋病患者家庭、患者本人全额纳入社会补助项目范畴。下一步改进措施：</w:t>
      </w: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加大工作力度将符合条件的艾滋病患者家庭、患者本人全额纳入社会补助项目范畴。</w:t>
      </w:r>
    </w:p>
    <w:p>
      <w:pPr>
        <w:spacing w:line="540" w:lineRule="exact"/>
        <w:ind w:left="-1" w:right="-1" w:firstLine="646"/>
        <w:jc w:val="left"/>
      </w:pPr>
      <w:r>
        <w:rPr>
          <w:rFonts w:ascii="仿宋_GB2312" w:eastAsia="仿宋_GB2312" w:cs="仿宋_GB2312"/>
          <w:color w:val="000000"/>
          <w:sz w:val="32"/>
          <w:szCs w:val="32"/>
        </w:rPr>
        <w:t>2</w:t>
      </w:r>
      <w:r>
        <w:rPr>
          <w:rFonts w:hint="eastAsia" w:ascii="仿宋_GB2312" w:eastAsia="仿宋_GB2312" w:cs="仿宋_GB2312"/>
          <w:color w:val="000000"/>
          <w:sz w:val="32"/>
          <w:szCs w:val="32"/>
        </w:rPr>
        <w:t>、</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年重大公共卫生服务资金项目绩效自评综述：根据年初设定的绩效目标，该项目绩效自评得分为</w:t>
      </w:r>
      <w:r>
        <w:rPr>
          <w:rFonts w:ascii="仿宋_GB2312" w:eastAsia="仿宋_GB2312" w:cs="仿宋_GB2312"/>
          <w:color w:val="000000"/>
          <w:sz w:val="32"/>
          <w:szCs w:val="32"/>
        </w:rPr>
        <w:t>9</w:t>
      </w:r>
      <w:r>
        <w:rPr>
          <w:rFonts w:hint="eastAsia" w:ascii="仿宋_GB2312" w:eastAsia="仿宋_GB2312" w:cs="仿宋_GB2312"/>
          <w:color w:val="000000"/>
          <w:sz w:val="32"/>
          <w:szCs w:val="32"/>
        </w:rPr>
        <w:t>6分。项目全年预算数为</w:t>
      </w:r>
      <w:r>
        <w:rPr>
          <w:rFonts w:ascii="仿宋_GB2312" w:eastAsia="仿宋_GB2312" w:cs="仿宋_GB2312"/>
          <w:color w:val="000000"/>
          <w:sz w:val="32"/>
          <w:szCs w:val="32"/>
        </w:rPr>
        <w:t>28.78</w:t>
      </w:r>
      <w:r>
        <w:rPr>
          <w:rFonts w:hint="eastAsia" w:ascii="仿宋_GB2312" w:eastAsia="仿宋_GB2312" w:cs="仿宋_GB2312"/>
          <w:color w:val="000000"/>
          <w:sz w:val="32"/>
          <w:szCs w:val="32"/>
        </w:rPr>
        <w:t>万元，执行数为</w:t>
      </w:r>
      <w:r>
        <w:rPr>
          <w:rFonts w:ascii="仿宋_GB2312" w:eastAsia="仿宋_GB2312" w:cs="仿宋_GB2312"/>
          <w:color w:val="000000"/>
          <w:sz w:val="32"/>
          <w:szCs w:val="32"/>
        </w:rPr>
        <w:t>28.78</w:t>
      </w:r>
      <w:r>
        <w:rPr>
          <w:rFonts w:hint="eastAsia" w:ascii="仿宋_GB2312" w:eastAsia="仿宋_GB2312" w:cs="仿宋_GB2312"/>
          <w:color w:val="000000"/>
          <w:sz w:val="32"/>
          <w:szCs w:val="32"/>
        </w:rPr>
        <w:t>万元，完成预算的</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。主要产出和效果：</w:t>
      </w: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1.产出指标完成情况分析（1）项目完成数量：结核病防治项目人数45000人，计划免疫项目0-6岁儿童人数89662人，截至2018年绩效自评时,该项目年度设定的预期目标全部完成,完成率为100%。（2）项目完成质量：结核病防治及时处置率100%，艾滋病免费筛查项目检测率达90%，0-6岁以下疫苗项目接种率达90%，完成率100%。我单位严格以高标准严要求开展该项工作，完成设定的目标。（3）项目实施进度：疾病防治工作资金拨付及时率达96%。（4）项目成本节约情况：结核病防治人均补助标准3.5元/人，艾滋病防治人均补助标准1.5元/人，计划免疫项目人均补助标准1元/人，完成率100%。2.效益指标完成情况分析（1）项目实施的经济效益分析:项目实施使用病预防筛查率达到了100%。（2）项目实施的社会效益分析:项目实施为全县人民提供疾病防治保障率达到90%。（3）项目实施的生态效益分析:无。（4）项目实施的可持续影响分析：开展疾病预防专项工作时限为1年。3.满意度指标完成情况分析：按计划完成项目实施，已做满意度调查问卷，结核病患者满意度达95%，服务对象满意度指标完成。</w:t>
      </w:r>
      <w:r>
        <w:rPr>
          <w:rFonts w:hint="eastAsia" w:ascii="仿宋_GB2312" w:hAnsi="仿宋_GB2312" w:eastAsia="仿宋_GB2312" w:cs="仿宋_GB2312"/>
          <w:sz w:val="32"/>
          <w:szCs w:val="32"/>
        </w:rPr>
        <w:t>发现的问题及原因：评价基础数据收集、资料来源和依据等佐证材料情况，项目现场勘验检查核实性不能达到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准确。下一步改进措施：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加大评价基础数据收集、资料来源和依据等佐证材料情况，项目现场勘验检查核实性力度</w:t>
      </w:r>
    </w:p>
    <w:p>
      <w:pPr>
        <w:spacing w:line="560" w:lineRule="exact"/>
        <w:ind w:firstLine="640" w:firstLineChars="200"/>
        <w:rPr>
          <w:rFonts w:ascii="仿宋_GB2312" w:eastAsia="仿宋_GB2312" w:cs="仿宋_GB2312"/>
          <w:color w:val="000000"/>
          <w:sz w:val="32"/>
          <w:szCs w:val="32"/>
        </w:rPr>
      </w:pPr>
      <w:r>
        <w:rPr>
          <w:rFonts w:ascii="仿宋_GB2312" w:eastAsia="仿宋_GB2312" w:cs="仿宋_GB2312"/>
          <w:color w:val="000000"/>
          <w:sz w:val="32"/>
          <w:szCs w:val="32"/>
        </w:rPr>
        <w:t>3</w:t>
      </w:r>
      <w:r>
        <w:rPr>
          <w:rFonts w:hint="eastAsia" w:ascii="仿宋_GB2312" w:eastAsia="仿宋_GB2312" w:cs="仿宋_GB2312"/>
          <w:color w:val="000000"/>
          <w:sz w:val="32"/>
          <w:szCs w:val="32"/>
        </w:rPr>
        <w:t>、上海援叶结核病防治项目绩效自评综述：根据年初设定的绩效目标，该项目绩效自评得分为</w:t>
      </w:r>
      <w:r>
        <w:rPr>
          <w:rFonts w:ascii="仿宋_GB2312" w:eastAsia="仿宋_GB2312" w:cs="仿宋_GB2312"/>
          <w:color w:val="000000"/>
          <w:sz w:val="32"/>
          <w:szCs w:val="32"/>
        </w:rPr>
        <w:t>9</w:t>
      </w:r>
      <w:r>
        <w:rPr>
          <w:rFonts w:hint="eastAsia" w:ascii="仿宋_GB2312" w:eastAsia="仿宋_GB2312" w:cs="仿宋_GB2312"/>
          <w:color w:val="000000"/>
          <w:sz w:val="32"/>
          <w:szCs w:val="32"/>
        </w:rPr>
        <w:t>6分。项目全年预算数为</w:t>
      </w:r>
      <w:r>
        <w:rPr>
          <w:rFonts w:ascii="仿宋_GB2312" w:eastAsia="仿宋_GB2312" w:cs="仿宋_GB2312"/>
          <w:color w:val="000000"/>
          <w:sz w:val="32"/>
          <w:szCs w:val="32"/>
        </w:rPr>
        <w:t>64</w:t>
      </w:r>
      <w:r>
        <w:rPr>
          <w:rFonts w:hint="eastAsia" w:ascii="仿宋_GB2312" w:eastAsia="仿宋_GB2312" w:cs="仿宋_GB2312"/>
          <w:color w:val="000000"/>
          <w:sz w:val="32"/>
          <w:szCs w:val="32"/>
        </w:rPr>
        <w:t>万元，执行数为</w:t>
      </w:r>
      <w:r>
        <w:rPr>
          <w:rFonts w:ascii="仿宋_GB2312" w:eastAsia="仿宋_GB2312" w:cs="仿宋_GB2312"/>
          <w:color w:val="000000"/>
          <w:sz w:val="32"/>
          <w:szCs w:val="32"/>
        </w:rPr>
        <w:t>64</w:t>
      </w:r>
      <w:r>
        <w:rPr>
          <w:rFonts w:hint="eastAsia" w:ascii="仿宋_GB2312" w:eastAsia="仿宋_GB2312" w:cs="仿宋_GB2312"/>
          <w:color w:val="000000"/>
          <w:sz w:val="32"/>
          <w:szCs w:val="32"/>
        </w:rPr>
        <w:t>万元，完成预算的</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。主要产出和效果： 1.产出指标完成情况分析（1）项目完成数量：结核病防治营养早餐人数1280人，救助补助对象住院费二次补偿人数228人，投放消毒柜160个，截至2018年绩效自评时,该项目年度设定的预期目标全部完成,完成率为100%。（2）项目完成质量：结核病防治营养早餐按时发放率100%，服药点的消毒柜投放率100%，根据项目实施完成后的结果来看,我单位严格以高质量的项目完成情况来执行,完成率为100%。（3）项目实施进度：资金拨付及时率100%，根据年初单位制定的实施方案,严格把控资金与项目实施进度相统一的原则,项目完成进度良好,当年完成率为100%。（4）项目成本节约情况：营养早餐人均标准1.5元，救助对象住院费二次补偿人均标准1500元/人/年，消毒柜成本390元，我单位在执行该类项目时,严格控制成本在预算之内,坚决杜绝资金浪费现象的产生,从项目实施结果中反映效果良好。2.效益指标完成情况分析（1）项目实施的经济效益分析：项目实施减轻结核病患者经济负担450元/人。（2）项目实施的社会效益分析：项目实施结核病患者救助制度公平、公正、规范实施率达到100%。（3）项目实施的生态效益分析：无。（4）项目实施的可持续影响分析：结核病防治项目持续实施时限为1年。3.满意度指标完成情况分析：按计划完成项目实施，结核病患者满意度达96%，服务对象满意度指标完成。发现的问题及原因：对确保设施设备的正常运转维护保养上还需要加强，提高对设施设备的后续管理。下一步改进措施：</w:t>
      </w: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强化预算单位对固定资产的维护管理，提高设备使用效率。</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cs="仿宋_GB2312"/>
          <w:color w:val="000000"/>
          <w:sz w:val="32"/>
          <w:szCs w:val="32"/>
        </w:rPr>
      </w:pPr>
      <w:r>
        <w:rPr>
          <w:rFonts w:hint="eastAsia" w:ascii="仿宋_GB2312" w:eastAsia="仿宋_GB2312" w:cs="仿宋_GB2312"/>
          <w:color w:val="000000"/>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w:t>
      </w:r>
      <w:bookmarkStart w:id="92" w:name="_GoBack"/>
      <w:bookmarkEnd w:id="92"/>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（项）指：其他基层医疗卫生机构支出。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（项）指：城乡医疗。</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（项）指：其他社会福利支出。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（项）指：疾病预防控制机构。</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（项）指：农村最低生活保障金支出。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（项）指：其他社会保障和就业支出。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（项）指：重大公共卫生专项。</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（项）指：城市最低生活保障金支出。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headerReference r:id="rId3" w:type="default"/>
          <w:footerReference r:id="rId4"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- 13 -</w:t>
    </w:r>
    <w:r>
      <w:rPr>
        <w:rStyle w:val="10"/>
        <w:rFonts w:ascii="宋体" w:hAnsi="宋体" w:eastAsia="宋体" w:cs="宋体"/>
        <w:sz w:val="28"/>
        <w:szCs w:val="28"/>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72956"/>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6745"/>
    <w:rsid w:val="000E73E7"/>
    <w:rsid w:val="000E75AE"/>
    <w:rsid w:val="0010072E"/>
    <w:rsid w:val="00101D4F"/>
    <w:rsid w:val="0010481F"/>
    <w:rsid w:val="001128DE"/>
    <w:rsid w:val="00113241"/>
    <w:rsid w:val="0012066C"/>
    <w:rsid w:val="001230A4"/>
    <w:rsid w:val="00123283"/>
    <w:rsid w:val="00124713"/>
    <w:rsid w:val="00124A31"/>
    <w:rsid w:val="00124B40"/>
    <w:rsid w:val="00133488"/>
    <w:rsid w:val="00133516"/>
    <w:rsid w:val="00137B91"/>
    <w:rsid w:val="00142400"/>
    <w:rsid w:val="00150BEF"/>
    <w:rsid w:val="00151A95"/>
    <w:rsid w:val="00152E44"/>
    <w:rsid w:val="00157F86"/>
    <w:rsid w:val="00164EBC"/>
    <w:rsid w:val="001669CC"/>
    <w:rsid w:val="00166DAB"/>
    <w:rsid w:val="00166E4B"/>
    <w:rsid w:val="00167DB8"/>
    <w:rsid w:val="00170C1A"/>
    <w:rsid w:val="00171B68"/>
    <w:rsid w:val="0017274A"/>
    <w:rsid w:val="00173DD7"/>
    <w:rsid w:val="00177527"/>
    <w:rsid w:val="00184AA3"/>
    <w:rsid w:val="00187F39"/>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0FC"/>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7665B"/>
    <w:rsid w:val="00282470"/>
    <w:rsid w:val="00287D59"/>
    <w:rsid w:val="00295B34"/>
    <w:rsid w:val="0029700A"/>
    <w:rsid w:val="002A7E48"/>
    <w:rsid w:val="002B1DA2"/>
    <w:rsid w:val="002B557B"/>
    <w:rsid w:val="002B5D8E"/>
    <w:rsid w:val="002C0FB9"/>
    <w:rsid w:val="002C4530"/>
    <w:rsid w:val="002D2B8C"/>
    <w:rsid w:val="002D34C1"/>
    <w:rsid w:val="002D76FA"/>
    <w:rsid w:val="002E189D"/>
    <w:rsid w:val="002E18D1"/>
    <w:rsid w:val="002E2805"/>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4DD"/>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350"/>
    <w:rsid w:val="00405E6D"/>
    <w:rsid w:val="00411C55"/>
    <w:rsid w:val="00415648"/>
    <w:rsid w:val="00415BCE"/>
    <w:rsid w:val="0042015D"/>
    <w:rsid w:val="00420829"/>
    <w:rsid w:val="0042215C"/>
    <w:rsid w:val="00425950"/>
    <w:rsid w:val="00430B78"/>
    <w:rsid w:val="00441209"/>
    <w:rsid w:val="00443568"/>
    <w:rsid w:val="00444981"/>
    <w:rsid w:val="0045026B"/>
    <w:rsid w:val="004558AB"/>
    <w:rsid w:val="00457729"/>
    <w:rsid w:val="0047598D"/>
    <w:rsid w:val="004802CE"/>
    <w:rsid w:val="00486973"/>
    <w:rsid w:val="00486DB6"/>
    <w:rsid w:val="00487D16"/>
    <w:rsid w:val="004957F5"/>
    <w:rsid w:val="00496B6C"/>
    <w:rsid w:val="004976A5"/>
    <w:rsid w:val="004A0034"/>
    <w:rsid w:val="004A02D4"/>
    <w:rsid w:val="004A0690"/>
    <w:rsid w:val="004A2CA4"/>
    <w:rsid w:val="004A5D19"/>
    <w:rsid w:val="004A7A7B"/>
    <w:rsid w:val="004B1CEA"/>
    <w:rsid w:val="004B401D"/>
    <w:rsid w:val="004B58A1"/>
    <w:rsid w:val="004B7BB8"/>
    <w:rsid w:val="004C351C"/>
    <w:rsid w:val="004C5BB4"/>
    <w:rsid w:val="004C7372"/>
    <w:rsid w:val="004D508F"/>
    <w:rsid w:val="004D5F0E"/>
    <w:rsid w:val="004D6793"/>
    <w:rsid w:val="004D7DE9"/>
    <w:rsid w:val="004E15B7"/>
    <w:rsid w:val="004E5557"/>
    <w:rsid w:val="004E59E1"/>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2CB9"/>
    <w:rsid w:val="00567FB5"/>
    <w:rsid w:val="005770C3"/>
    <w:rsid w:val="00577753"/>
    <w:rsid w:val="00581AD2"/>
    <w:rsid w:val="005857A0"/>
    <w:rsid w:val="00592D42"/>
    <w:rsid w:val="005A5B02"/>
    <w:rsid w:val="005B3245"/>
    <w:rsid w:val="005B6754"/>
    <w:rsid w:val="005B75C0"/>
    <w:rsid w:val="005C3143"/>
    <w:rsid w:val="005D311B"/>
    <w:rsid w:val="005D61D8"/>
    <w:rsid w:val="005E192E"/>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632B"/>
    <w:rsid w:val="00627F36"/>
    <w:rsid w:val="006304D1"/>
    <w:rsid w:val="00631DA8"/>
    <w:rsid w:val="0063431E"/>
    <w:rsid w:val="00645C30"/>
    <w:rsid w:val="00653690"/>
    <w:rsid w:val="006544EB"/>
    <w:rsid w:val="0065497B"/>
    <w:rsid w:val="00654E41"/>
    <w:rsid w:val="006636CC"/>
    <w:rsid w:val="0067149A"/>
    <w:rsid w:val="0069278A"/>
    <w:rsid w:val="006A1C84"/>
    <w:rsid w:val="006A745B"/>
    <w:rsid w:val="006A78F4"/>
    <w:rsid w:val="006B0F85"/>
    <w:rsid w:val="006B4B06"/>
    <w:rsid w:val="006B4D0D"/>
    <w:rsid w:val="006B60E5"/>
    <w:rsid w:val="006B636C"/>
    <w:rsid w:val="006C1DED"/>
    <w:rsid w:val="006C3692"/>
    <w:rsid w:val="006C4AE7"/>
    <w:rsid w:val="006D0B78"/>
    <w:rsid w:val="006D45B7"/>
    <w:rsid w:val="006D62B0"/>
    <w:rsid w:val="006E3CA6"/>
    <w:rsid w:val="006F14EB"/>
    <w:rsid w:val="006F5BD8"/>
    <w:rsid w:val="007015B6"/>
    <w:rsid w:val="00701EC2"/>
    <w:rsid w:val="007021BE"/>
    <w:rsid w:val="00706C32"/>
    <w:rsid w:val="007106B4"/>
    <w:rsid w:val="007214A9"/>
    <w:rsid w:val="007214DF"/>
    <w:rsid w:val="00721E49"/>
    <w:rsid w:val="007220B1"/>
    <w:rsid w:val="007302C1"/>
    <w:rsid w:val="0073120F"/>
    <w:rsid w:val="007314F0"/>
    <w:rsid w:val="0074240E"/>
    <w:rsid w:val="00742FA1"/>
    <w:rsid w:val="007476BA"/>
    <w:rsid w:val="00750798"/>
    <w:rsid w:val="00752BCF"/>
    <w:rsid w:val="00761CB8"/>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CC9"/>
    <w:rsid w:val="007C5E7D"/>
    <w:rsid w:val="007C6F26"/>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07D07"/>
    <w:rsid w:val="00910E73"/>
    <w:rsid w:val="009110DE"/>
    <w:rsid w:val="009131C4"/>
    <w:rsid w:val="00913B22"/>
    <w:rsid w:val="00914BA4"/>
    <w:rsid w:val="00920C0A"/>
    <w:rsid w:val="00920E2A"/>
    <w:rsid w:val="00922EA0"/>
    <w:rsid w:val="009240D6"/>
    <w:rsid w:val="00924A08"/>
    <w:rsid w:val="009256ED"/>
    <w:rsid w:val="00925821"/>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9F17C2"/>
    <w:rsid w:val="00A0017F"/>
    <w:rsid w:val="00A037A6"/>
    <w:rsid w:val="00A11A5F"/>
    <w:rsid w:val="00A11F40"/>
    <w:rsid w:val="00A13D3F"/>
    <w:rsid w:val="00A273DB"/>
    <w:rsid w:val="00A3080D"/>
    <w:rsid w:val="00A30EB7"/>
    <w:rsid w:val="00A319DA"/>
    <w:rsid w:val="00A31D7F"/>
    <w:rsid w:val="00A338C6"/>
    <w:rsid w:val="00A408E3"/>
    <w:rsid w:val="00A425CE"/>
    <w:rsid w:val="00A44660"/>
    <w:rsid w:val="00A55F77"/>
    <w:rsid w:val="00A72457"/>
    <w:rsid w:val="00A7682E"/>
    <w:rsid w:val="00A86966"/>
    <w:rsid w:val="00A872D8"/>
    <w:rsid w:val="00A912CC"/>
    <w:rsid w:val="00A970D1"/>
    <w:rsid w:val="00A97420"/>
    <w:rsid w:val="00AA57AE"/>
    <w:rsid w:val="00AA5934"/>
    <w:rsid w:val="00AB0AFB"/>
    <w:rsid w:val="00AC002C"/>
    <w:rsid w:val="00AC1DD9"/>
    <w:rsid w:val="00AC4218"/>
    <w:rsid w:val="00AD3489"/>
    <w:rsid w:val="00AD3E2D"/>
    <w:rsid w:val="00AD4BAF"/>
    <w:rsid w:val="00AD51DD"/>
    <w:rsid w:val="00AE5C1B"/>
    <w:rsid w:val="00AE79D8"/>
    <w:rsid w:val="00AE7BAC"/>
    <w:rsid w:val="00AF09FB"/>
    <w:rsid w:val="00B00C16"/>
    <w:rsid w:val="00B03B3E"/>
    <w:rsid w:val="00B046A4"/>
    <w:rsid w:val="00B06382"/>
    <w:rsid w:val="00B0733F"/>
    <w:rsid w:val="00B10701"/>
    <w:rsid w:val="00B146E7"/>
    <w:rsid w:val="00B14907"/>
    <w:rsid w:val="00B30B86"/>
    <w:rsid w:val="00B32A4F"/>
    <w:rsid w:val="00B358E2"/>
    <w:rsid w:val="00B40CB6"/>
    <w:rsid w:val="00B50AD6"/>
    <w:rsid w:val="00B51AB3"/>
    <w:rsid w:val="00B5337C"/>
    <w:rsid w:val="00B5340F"/>
    <w:rsid w:val="00B611F7"/>
    <w:rsid w:val="00B62573"/>
    <w:rsid w:val="00B66BD3"/>
    <w:rsid w:val="00B6765D"/>
    <w:rsid w:val="00B717C5"/>
    <w:rsid w:val="00B75463"/>
    <w:rsid w:val="00B83117"/>
    <w:rsid w:val="00B90F21"/>
    <w:rsid w:val="00B93445"/>
    <w:rsid w:val="00B94F7E"/>
    <w:rsid w:val="00B95F83"/>
    <w:rsid w:val="00B965C5"/>
    <w:rsid w:val="00B96E34"/>
    <w:rsid w:val="00B9729A"/>
    <w:rsid w:val="00BB0177"/>
    <w:rsid w:val="00BB3630"/>
    <w:rsid w:val="00BB3A31"/>
    <w:rsid w:val="00BB59CC"/>
    <w:rsid w:val="00BC2D65"/>
    <w:rsid w:val="00BD0FCE"/>
    <w:rsid w:val="00BD1F2C"/>
    <w:rsid w:val="00BD2BBE"/>
    <w:rsid w:val="00BD7EF8"/>
    <w:rsid w:val="00BE0FEE"/>
    <w:rsid w:val="00BE1920"/>
    <w:rsid w:val="00BE4817"/>
    <w:rsid w:val="00BE721C"/>
    <w:rsid w:val="00BF0DC7"/>
    <w:rsid w:val="00BF1F54"/>
    <w:rsid w:val="00C034A7"/>
    <w:rsid w:val="00C04782"/>
    <w:rsid w:val="00C04F2D"/>
    <w:rsid w:val="00C238F0"/>
    <w:rsid w:val="00C25CC6"/>
    <w:rsid w:val="00C31297"/>
    <w:rsid w:val="00C61A9B"/>
    <w:rsid w:val="00C732F1"/>
    <w:rsid w:val="00C8565C"/>
    <w:rsid w:val="00C86BCB"/>
    <w:rsid w:val="00C92227"/>
    <w:rsid w:val="00C93809"/>
    <w:rsid w:val="00CA40B6"/>
    <w:rsid w:val="00CB0287"/>
    <w:rsid w:val="00CB11AE"/>
    <w:rsid w:val="00CB2CF7"/>
    <w:rsid w:val="00CC1506"/>
    <w:rsid w:val="00CC176A"/>
    <w:rsid w:val="00CC1B4E"/>
    <w:rsid w:val="00CC3731"/>
    <w:rsid w:val="00CC4506"/>
    <w:rsid w:val="00CC4F04"/>
    <w:rsid w:val="00CD4E4C"/>
    <w:rsid w:val="00CD723D"/>
    <w:rsid w:val="00CE1BBB"/>
    <w:rsid w:val="00CE6C60"/>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4EB1"/>
    <w:rsid w:val="00D85A61"/>
    <w:rsid w:val="00D92C82"/>
    <w:rsid w:val="00DA1E10"/>
    <w:rsid w:val="00DA463D"/>
    <w:rsid w:val="00DA5B64"/>
    <w:rsid w:val="00DB2B00"/>
    <w:rsid w:val="00DB45E7"/>
    <w:rsid w:val="00DC19E1"/>
    <w:rsid w:val="00DC25CF"/>
    <w:rsid w:val="00DC646E"/>
    <w:rsid w:val="00DC65F7"/>
    <w:rsid w:val="00DF32E5"/>
    <w:rsid w:val="00DF3EFD"/>
    <w:rsid w:val="00DF5FB5"/>
    <w:rsid w:val="00E07FDF"/>
    <w:rsid w:val="00E14EDE"/>
    <w:rsid w:val="00E1577E"/>
    <w:rsid w:val="00E242B2"/>
    <w:rsid w:val="00E27F09"/>
    <w:rsid w:val="00E31696"/>
    <w:rsid w:val="00E32B60"/>
    <w:rsid w:val="00E33E4C"/>
    <w:rsid w:val="00E43380"/>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0C96"/>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41495"/>
    <w:rsid w:val="00F50BA2"/>
    <w:rsid w:val="00F54E8F"/>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29FC"/>
    <w:rsid w:val="00FC6C17"/>
    <w:rsid w:val="00FE0094"/>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4A24E4"/>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8450121"/>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397874"/>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qFormat/>
    <w:uiPriority w:val="99"/>
    <w:rPr>
      <w:b/>
      <w:bCs/>
    </w:rPr>
  </w:style>
  <w:style w:type="character" w:styleId="9">
    <w:name w:val="Strong"/>
    <w:basedOn w:val="8"/>
    <w:qFormat/>
    <w:locked/>
    <w:uiPriority w:val="0"/>
    <w:rPr>
      <w:b/>
      <w:bCs/>
    </w:rPr>
  </w:style>
  <w:style w:type="character" w:styleId="10">
    <w:name w:val="page number"/>
    <w:basedOn w:val="8"/>
    <w:qFormat/>
    <w:uiPriority w:val="99"/>
  </w:style>
  <w:style w:type="character" w:styleId="11">
    <w:name w:val="annotation reference"/>
    <w:basedOn w:val="8"/>
    <w:semiHidden/>
    <w:qFormat/>
    <w:uiPriority w:val="99"/>
    <w:rPr>
      <w:sz w:val="21"/>
      <w:szCs w:val="21"/>
    </w:rPr>
  </w:style>
  <w:style w:type="character" w:customStyle="1" w:styleId="12">
    <w:name w:val="批注文字 Char"/>
    <w:basedOn w:val="8"/>
    <w:link w:val="2"/>
    <w:semiHidden/>
    <w:locked/>
    <w:uiPriority w:val="99"/>
    <w:rPr>
      <w:rFonts w:ascii="Times New Roman" w:hAnsi="Times New Roman" w:eastAsia="宋体" w:cs="Times New Roman"/>
      <w:sz w:val="24"/>
      <w:szCs w:val="24"/>
    </w:rPr>
  </w:style>
  <w:style w:type="character" w:customStyle="1" w:styleId="13">
    <w:name w:val="批注框文本 Char"/>
    <w:basedOn w:val="8"/>
    <w:link w:val="3"/>
    <w:semiHidden/>
    <w:locked/>
    <w:uiPriority w:val="99"/>
    <w:rPr>
      <w:rFonts w:ascii="Times New Roman" w:hAnsi="Times New Roman" w:eastAsia="宋体" w:cs="Times New Roman"/>
      <w:sz w:val="18"/>
      <w:szCs w:val="18"/>
    </w:rPr>
  </w:style>
  <w:style w:type="character" w:customStyle="1" w:styleId="14">
    <w:name w:val="页脚 Char"/>
    <w:basedOn w:val="8"/>
    <w:link w:val="4"/>
    <w:locked/>
    <w:uiPriority w:val="99"/>
    <w:rPr>
      <w:rFonts w:ascii="Times New Roman" w:hAnsi="Times New Roman" w:eastAsia="黑体" w:cs="Times New Roman"/>
      <w:snapToGrid w:val="0"/>
      <w:kern w:val="0"/>
      <w:sz w:val="18"/>
      <w:szCs w:val="18"/>
    </w:rPr>
  </w:style>
  <w:style w:type="character" w:customStyle="1" w:styleId="15">
    <w:name w:val="页眉 Char"/>
    <w:basedOn w:val="8"/>
    <w:link w:val="5"/>
    <w:qFormat/>
    <w:locked/>
    <w:uiPriority w:val="99"/>
    <w:rPr>
      <w:rFonts w:ascii="Times New Roman" w:hAnsi="Times New Roman" w:eastAsia="宋体" w:cs="Times New Roman"/>
      <w:sz w:val="18"/>
      <w:szCs w:val="18"/>
    </w:rPr>
  </w:style>
  <w:style w:type="character" w:customStyle="1" w:styleId="16">
    <w:name w:val="批注主题 Char"/>
    <w:basedOn w:val="12"/>
    <w:link w:val="6"/>
    <w:semiHidden/>
    <w:qFormat/>
    <w:locked/>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17</Pages>
  <Words>1284</Words>
  <Characters>7319</Characters>
  <Lines>60</Lines>
  <Paragraphs>17</Paragraphs>
  <TotalTime>0</TotalTime>
  <ScaleCrop>false</ScaleCrop>
  <LinksUpToDate>false</LinksUpToDate>
  <CharactersWithSpaces>8586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2025-02-12T10:20:53Z</dcterms:modified>
  <cp:revision>844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