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line="700" w:lineRule="exact"/>
        <w:jc w:val="center"/>
        <w:rPr>
          <w:rFonts w:ascii="Times New Roman" w:hAnsi="宋体" w:eastAsia="仿宋_GB2312" w:cs="宋体"/>
          <w:kern w:val="0"/>
          <w:sz w:val="36"/>
          <w:szCs w:val="36"/>
        </w:rPr>
      </w:pPr>
      <w:r>
        <w:rPr>
          <w:rFonts w:hint="eastAsia" w:ascii="方正小标宋简体" w:eastAsia="方正小标宋简体"/>
          <w:sz w:val="44"/>
          <w:szCs w:val="44"/>
        </w:rPr>
        <w:t>喀什地区叶城县人社局就业补助资金</w:t>
      </w: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line="700" w:lineRule="exact"/>
        <w:rPr>
          <w:rFonts w:ascii="Times New Roman" w:hAnsi="宋体" w:eastAsia="仿宋_GB2312" w:cs="宋体"/>
          <w:kern w:val="0"/>
          <w:sz w:val="36"/>
          <w:szCs w:val="36"/>
        </w:rPr>
      </w:pPr>
      <w:r>
        <w:rPr>
          <w:rFonts w:hint="eastAsia" w:ascii="仿宋_GB2312" w:hAnsi="仿宋" w:eastAsia="仿宋_GB2312" w:cs="Times New Roman"/>
          <w:spacing w:val="-2"/>
          <w:sz w:val="36"/>
          <w:szCs w:val="36"/>
        </w:rPr>
        <w:t xml:space="preserve">     项目名称：</w:t>
      </w:r>
      <w:r>
        <w:rPr>
          <w:rFonts w:hint="eastAsia" w:ascii="Times New Roman" w:hAnsi="宋体" w:eastAsia="仿宋_GB2312" w:cs="宋体"/>
          <w:kern w:val="0"/>
          <w:sz w:val="36"/>
          <w:szCs w:val="36"/>
        </w:rPr>
        <w:t>就业补助资金项目</w:t>
      </w:r>
    </w:p>
    <w:p>
      <w:pPr>
        <w:spacing w:line="700" w:lineRule="exact"/>
        <w:jc w:val="center"/>
        <w:rPr>
          <w:rFonts w:ascii="Times New Roman" w:hAnsi="宋体" w:eastAsia="仿宋_GB2312" w:cs="宋体"/>
          <w:kern w:val="0"/>
          <w:sz w:val="36"/>
          <w:szCs w:val="36"/>
        </w:rPr>
      </w:pPr>
      <w:r>
        <w:rPr>
          <w:rFonts w:hint="eastAsia" w:ascii="仿宋_GB2312" w:hAnsi="仿宋" w:eastAsia="仿宋_GB2312" w:cs="Times New Roman"/>
          <w:spacing w:val="-2"/>
          <w:sz w:val="36"/>
          <w:szCs w:val="36"/>
        </w:rPr>
        <w:t>实施单位：</w:t>
      </w:r>
      <w:r>
        <w:rPr>
          <w:rFonts w:hint="eastAsia" w:ascii="Times New Roman" w:hAnsi="宋体" w:eastAsia="仿宋_GB2312" w:cs="宋体"/>
          <w:kern w:val="0"/>
          <w:sz w:val="36"/>
          <w:szCs w:val="36"/>
        </w:rPr>
        <w:t>叶城县人力资源和社会保障局</w:t>
      </w:r>
    </w:p>
    <w:p>
      <w:pPr>
        <w:spacing w:line="700" w:lineRule="exact"/>
        <w:jc w:val="center"/>
        <w:rPr>
          <w:rFonts w:ascii="Times New Roman" w:hAnsi="宋体" w:eastAsia="仿宋_GB2312" w:cs="宋体"/>
          <w:kern w:val="0"/>
          <w:sz w:val="36"/>
          <w:szCs w:val="36"/>
        </w:rPr>
      </w:pPr>
      <w:r>
        <w:rPr>
          <w:rFonts w:hint="eastAsia" w:ascii="仿宋_GB2312" w:hAnsi="仿宋" w:eastAsia="仿宋_GB2312" w:cs="Times New Roman"/>
          <w:spacing w:val="-2"/>
          <w:sz w:val="36"/>
          <w:szCs w:val="36"/>
        </w:rPr>
        <w:t>评价部门：</w:t>
      </w:r>
      <w:r>
        <w:rPr>
          <w:rFonts w:hint="eastAsia" w:ascii="Times New Roman" w:hAnsi="宋体" w:eastAsia="仿宋_GB2312" w:cs="宋体"/>
          <w:kern w:val="0"/>
          <w:sz w:val="36"/>
          <w:szCs w:val="36"/>
        </w:rPr>
        <w:t>叶城县人力资源和社会保障局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pStyle w:val="23"/>
        <w:numPr>
          <w:ilvl w:val="0"/>
          <w:numId w:val="2"/>
        </w:numPr>
        <w:ind w:firstLineChars="0"/>
        <w:rPr>
          <w:lang w:bidi="ar"/>
        </w:rPr>
      </w:pPr>
      <w:r>
        <w:rPr>
          <w:rFonts w:hint="eastAsia"/>
          <w:lang w:bidi="ar"/>
        </w:rPr>
        <w:t>基本情况</w:t>
      </w:r>
    </w:p>
    <w:p>
      <w:pPr>
        <w:pStyle w:val="25"/>
        <w:ind w:left="0" w:firstLine="643" w:firstLineChars="200"/>
        <w:rPr>
          <w:lang w:bidi="ar"/>
        </w:rPr>
      </w:pPr>
      <w:bookmarkStart w:id="0" w:name="_Toc26401549"/>
      <w:r>
        <w:rPr>
          <w:rFonts w:hint="eastAsia"/>
          <w:lang w:bidi="ar"/>
        </w:rPr>
        <w:t>项目概况</w:t>
      </w:r>
      <w:bookmarkEnd w:id="0"/>
    </w:p>
    <w:p>
      <w:pPr>
        <w:pStyle w:val="19"/>
        <w:spacing w:line="560" w:lineRule="exact"/>
        <w:ind w:firstLine="640"/>
        <w:rPr>
          <w:rFonts w:ascii="仿宋_GB2312" w:hAnsi="仿宋" w:eastAsia="仿宋_GB2312" w:cs="宋体"/>
          <w:sz w:val="32"/>
          <w:szCs w:val="32"/>
          <w:lang w:bidi="ar"/>
        </w:rPr>
      </w:pPr>
      <w:r>
        <w:rPr>
          <w:rFonts w:hint="eastAsia" w:ascii="仿宋_GB2312" w:hAnsi="仿宋" w:eastAsia="仿宋_GB2312" w:cs="宋体"/>
          <w:sz w:val="32"/>
          <w:szCs w:val="32"/>
          <w:lang w:bidi="ar"/>
        </w:rPr>
        <w:t>1、项目背景及立项依据</w:t>
      </w:r>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本项目属于补贴类项目，该项目根据新材社【2018】241号政策性文件及就业资金拨付文件规定范围进行实施支付，无需立项，旨在贯彻落实中央和自治区各项促进就业政策。</w:t>
      </w:r>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2、项目主要内容及实施情况</w:t>
      </w:r>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该项目政策性较强，有明确的支出范围及上级下达就业任务，我单位根据本县就业工作开展实际情况进行了充分调研，无需另行制定实施方案，项目实施过程中严格按照实施方案进行实施并及时进行监督管理，项目实施后对于需要进行鉴定的及时申请，有地区选派鉴定所对相关人员进行及时鉴定。</w:t>
      </w:r>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3、项目负责人为孙锦，主要职责为组织实施本单位预算绩效项目；项目具体负责人：楚燕、窦娟、古丽米热，主要职责为负责就业政策的把握、资料的审批；资金拨付责任人：胡冬梅，主要职责为负责各项就业资金的拨付。</w:t>
      </w:r>
    </w:p>
    <w:p>
      <w:pPr>
        <w:pStyle w:val="25"/>
        <w:spacing w:before="0" w:after="0" w:line="560" w:lineRule="exact"/>
        <w:ind w:left="0" w:firstLine="643" w:firstLineChars="200"/>
        <w:rPr>
          <w:lang w:bidi="ar"/>
        </w:rPr>
      </w:pPr>
      <w:bookmarkStart w:id="1" w:name="_Toc26401550"/>
      <w:r>
        <w:rPr>
          <w:rFonts w:hint="eastAsia"/>
          <w:lang w:bidi="ar"/>
        </w:rPr>
        <w:t>资金</w:t>
      </w:r>
      <w:bookmarkEnd w:id="1"/>
      <w:r>
        <w:rPr>
          <w:rFonts w:hint="eastAsia"/>
          <w:lang w:bidi="ar"/>
        </w:rPr>
        <w:t>投入和使用情况</w:t>
      </w:r>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本项目总投资</w:t>
      </w:r>
      <w:r>
        <w:rPr>
          <w:rFonts w:hint="eastAsia" w:ascii="仿宋_GB2312" w:hAnsi="仿宋" w:eastAsia="仿宋_GB2312" w:cs="宋体"/>
          <w:sz w:val="32"/>
          <w:szCs w:val="32"/>
          <w:lang w:eastAsia="zh-CN" w:bidi="ar"/>
        </w:rPr>
        <w:t>3871.07</w:t>
      </w:r>
      <w:r>
        <w:rPr>
          <w:rFonts w:hint="eastAsia" w:ascii="仿宋_GB2312" w:hAnsi="仿宋" w:eastAsia="仿宋_GB2312" w:cs="宋体"/>
          <w:sz w:val="32"/>
          <w:szCs w:val="32"/>
          <w:lang w:bidi="ar"/>
        </w:rPr>
        <w:t>元，资金来源为中央专项资金3464.3</w:t>
      </w:r>
      <w:r>
        <w:rPr>
          <w:rFonts w:hint="eastAsia" w:ascii="仿宋_GB2312" w:hAnsi="仿宋" w:eastAsia="仿宋_GB2312" w:cs="宋体"/>
          <w:sz w:val="32"/>
          <w:szCs w:val="32"/>
          <w:lang w:val="en-US" w:eastAsia="zh-CN" w:bidi="ar"/>
        </w:rPr>
        <w:t>7</w:t>
      </w:r>
      <w:r>
        <w:rPr>
          <w:rFonts w:hint="eastAsia" w:ascii="仿宋_GB2312" w:hAnsi="仿宋" w:eastAsia="仿宋_GB2312" w:cs="宋体"/>
          <w:sz w:val="32"/>
          <w:szCs w:val="32"/>
          <w:lang w:bidi="ar"/>
        </w:rPr>
        <w:t>万元、自治区专项资金406.702万元。</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就业补助项目资金的使用范围：根据新财社【2018】241号文件精神，该资金主要用于职业培训补贴、</w:t>
      </w:r>
      <w:r>
        <w:rPr>
          <w:rFonts w:hint="eastAsia" w:ascii="仿宋_GB2312" w:hAnsi="仿宋" w:eastAsia="仿宋_GB2312" w:cs="宋体"/>
          <w:sz w:val="32"/>
          <w:szCs w:val="32"/>
          <w:lang w:eastAsia="zh-CN" w:bidi="ar"/>
        </w:rPr>
        <w:t>就业技能</w:t>
      </w:r>
      <w:r>
        <w:rPr>
          <w:rFonts w:hint="eastAsia" w:ascii="仿宋_GB2312" w:hAnsi="仿宋" w:eastAsia="仿宋_GB2312" w:cs="宋体"/>
          <w:sz w:val="32"/>
          <w:szCs w:val="32"/>
          <w:lang w:bidi="ar"/>
        </w:rPr>
        <w:t>鉴定补贴、社会保险补贴、公益性岗位补贴、岗位补贴等支出。单位制定了就业补助项目资金管理办法，按照新财社【2018】241号就业资金管理办法及具体资金拨付文件精神进行使用。</w:t>
      </w:r>
    </w:p>
    <w:p>
      <w:pPr>
        <w:pStyle w:val="25"/>
        <w:spacing w:before="0" w:after="0" w:line="560" w:lineRule="exact"/>
        <w:ind w:left="0" w:firstLine="643" w:firstLineChars="200"/>
        <w:rPr>
          <w:lang w:bidi="ar"/>
        </w:rPr>
      </w:pPr>
      <w:bookmarkStart w:id="2" w:name="_Toc26401551"/>
      <w:r>
        <w:rPr>
          <w:rFonts w:hint="eastAsia"/>
          <w:lang w:bidi="ar"/>
        </w:rPr>
        <w:t>绩效目标</w:t>
      </w:r>
      <w:bookmarkEnd w:id="2"/>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总体目标为：用于保障中央和自治区各项促进就业政策的贯彻落实。</w:t>
      </w:r>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阶段性目标为：</w:t>
      </w:r>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我局根据地区下达2019年就业任务，开展如下补贴:技能培训补贴人数30829人，享受技能鉴定补贴20472人，享受求职创业补贴98人，享受社保补贴人数924人，享受技能鉴定补贴人数20472人等就业补助项目。通过开展各类就业补贴，减轻企业资金循环压力,有效促进本地富余劳动力就业、服务民生。</w:t>
      </w:r>
    </w:p>
    <w:p>
      <w:pPr>
        <w:pStyle w:val="23"/>
        <w:numPr>
          <w:ilvl w:val="0"/>
          <w:numId w:val="2"/>
        </w:numPr>
        <w:spacing w:before="0" w:after="0" w:line="560" w:lineRule="exact"/>
        <w:ind w:left="0" w:firstLine="643"/>
        <w:rPr>
          <w:lang w:bidi="ar"/>
        </w:rPr>
      </w:pPr>
      <w:bookmarkStart w:id="3" w:name="_Toc26401552"/>
      <w:r>
        <w:rPr>
          <w:rFonts w:hint="eastAsia"/>
          <w:lang w:bidi="ar"/>
        </w:rPr>
        <w:t>评价工作简述</w:t>
      </w:r>
      <w:bookmarkEnd w:id="3"/>
    </w:p>
    <w:p>
      <w:pPr>
        <w:pStyle w:val="25"/>
        <w:numPr>
          <w:ilvl w:val="0"/>
          <w:numId w:val="3"/>
        </w:numPr>
        <w:spacing w:before="0" w:after="0" w:line="560" w:lineRule="exact"/>
        <w:ind w:left="0" w:firstLine="643" w:firstLineChars="200"/>
        <w:rPr>
          <w:lang w:bidi="ar"/>
        </w:rPr>
      </w:pPr>
      <w:bookmarkStart w:id="4" w:name="_Toc26401553"/>
      <w:r>
        <w:rPr>
          <w:rFonts w:hint="eastAsia"/>
          <w:lang w:bidi="ar"/>
        </w:rPr>
        <w:t>评价目的</w:t>
      </w:r>
      <w:bookmarkEnd w:id="4"/>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财政部《项目支出绩效评价管理办法》（财预〔2020〕10号）和自治区财政厅《自治区财政支出绩效评价管理暂行办法》（新财预〔2018〕189号）等相关政策文件与规定，旨在评价就业补助资金项目实施前期、过程及效果，评价财政预算资金使用的效率及效益。</w:t>
      </w:r>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项目为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pStyle w:val="25"/>
        <w:numPr>
          <w:ilvl w:val="0"/>
          <w:numId w:val="3"/>
        </w:numPr>
        <w:spacing w:before="0" w:after="0" w:line="560" w:lineRule="exact"/>
        <w:ind w:left="0" w:firstLine="643" w:firstLineChars="200"/>
        <w:rPr>
          <w:lang w:bidi="ar"/>
        </w:rPr>
      </w:pPr>
      <w:r>
        <w:rPr>
          <w:rFonts w:hint="eastAsia"/>
          <w:lang w:bidi="ar"/>
        </w:rPr>
        <w:t>本次绩效评价的对象及范围</w:t>
      </w:r>
      <w:bookmarkStart w:id="5" w:name="_Toc26401554"/>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本次评价对象为2019年就业资金补助项目，2019年根据地区分解就业任务安排就业补助资金3871.07万元，主要用于开展职业培训补贴、</w:t>
      </w:r>
      <w:r>
        <w:rPr>
          <w:rFonts w:hint="eastAsia" w:ascii="仿宋_GB2312" w:hAnsi="仿宋" w:eastAsia="仿宋_GB2312" w:cs="宋体"/>
          <w:sz w:val="32"/>
          <w:szCs w:val="32"/>
          <w:lang w:eastAsia="zh-CN" w:bidi="ar"/>
        </w:rPr>
        <w:t>就业技能</w:t>
      </w:r>
      <w:r>
        <w:rPr>
          <w:rFonts w:hint="eastAsia" w:ascii="仿宋_GB2312" w:hAnsi="仿宋" w:eastAsia="仿宋_GB2312" w:cs="宋体"/>
          <w:sz w:val="32"/>
          <w:szCs w:val="32"/>
          <w:lang w:bidi="ar"/>
        </w:rPr>
        <w:t>鉴定补贴、社会保险补贴、公益性岗位补贴、岗位补贴等。2019年开展技能培训补贴人数30829人，享受技能鉴定补贴20472人，享受求职创业补贴98人，享受社保补贴人数924人，享受技能鉴定补贴人数20472人等，通过开展各类就业补贴，减轻企业资金循环压力,有效促进本地富余劳动力就业、服务民生。</w:t>
      </w:r>
    </w:p>
    <w:p>
      <w:pPr>
        <w:pStyle w:val="25"/>
        <w:numPr>
          <w:ilvl w:val="0"/>
          <w:numId w:val="3"/>
        </w:numPr>
        <w:spacing w:before="0" w:after="0" w:line="560" w:lineRule="exact"/>
        <w:ind w:left="0" w:firstLine="643" w:firstLineChars="200"/>
        <w:rPr>
          <w:lang w:bidi="ar"/>
        </w:rPr>
      </w:pPr>
      <w:r>
        <w:rPr>
          <w:rFonts w:hint="eastAsia"/>
          <w:lang w:bidi="ar"/>
        </w:rPr>
        <w:t>绩效评价原则</w:t>
      </w:r>
      <w:bookmarkEnd w:id="5"/>
    </w:p>
    <w:p>
      <w:pPr>
        <w:spacing w:line="56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5"/>
        <w:keepNext w:val="0"/>
        <w:keepLines w:val="0"/>
        <w:numPr>
          <w:ilvl w:val="1"/>
          <w:numId w:val="4"/>
        </w:numPr>
        <w:spacing w:before="0" w:after="0" w:line="560" w:lineRule="exact"/>
        <w:ind w:left="0" w:firstLine="640" w:firstLineChars="200"/>
        <w:rPr>
          <w:rFonts w:hint="eastAsia" w:ascii="仿宋_GB2312" w:hAnsi="仿宋" w:eastAsia="仿宋_GB2312" w:cs="宋体"/>
          <w:b w:val="0"/>
          <w:bCs w:val="0"/>
          <w:kern w:val="2"/>
          <w:sz w:val="32"/>
          <w:szCs w:val="32"/>
          <w:lang w:val="en-US" w:eastAsia="zh-CN" w:bidi="ar"/>
        </w:rPr>
      </w:pPr>
      <w:r>
        <w:rPr>
          <w:rFonts w:hint="eastAsia" w:hAnsi="仿宋" w:cs="宋体"/>
          <w:b w:val="0"/>
          <w:lang w:bidi="ar"/>
        </w:rPr>
        <w:t>科</w:t>
      </w:r>
      <w:r>
        <w:rPr>
          <w:rFonts w:hint="eastAsia" w:ascii="仿宋_GB2312" w:hAnsi="仿宋" w:eastAsia="仿宋_GB2312" w:cs="宋体"/>
          <w:b w:val="0"/>
          <w:bCs w:val="0"/>
          <w:kern w:val="2"/>
          <w:sz w:val="32"/>
          <w:szCs w:val="32"/>
          <w:lang w:val="en-US" w:eastAsia="zh-CN" w:bidi="ar"/>
        </w:rPr>
        <w:t>学公正。绩效评价应当运用科学合理的方法，按照规范的程序，对项目绩效进行客观、公正的反映。</w:t>
      </w:r>
    </w:p>
    <w:p>
      <w:pPr>
        <w:pStyle w:val="25"/>
        <w:keepNext w:val="0"/>
        <w:keepLines w:val="0"/>
        <w:numPr>
          <w:ilvl w:val="1"/>
          <w:numId w:val="4"/>
        </w:numPr>
        <w:spacing w:before="0" w:after="0" w:line="560" w:lineRule="exact"/>
        <w:ind w:left="0" w:firstLine="640" w:firstLineChars="200"/>
        <w:rPr>
          <w:rFonts w:hAnsi="仿宋" w:cs="宋体"/>
          <w:b w:val="0"/>
          <w:lang w:bidi="ar"/>
        </w:rPr>
      </w:pPr>
      <w:r>
        <w:rPr>
          <w:rFonts w:hint="eastAsia" w:hAnsi="仿宋" w:cs="宋体"/>
          <w:b w:val="0"/>
          <w:lang w:bidi="ar"/>
        </w:rPr>
        <w:t>统筹</w:t>
      </w:r>
      <w:r>
        <w:rPr>
          <w:rFonts w:hint="eastAsia" w:ascii="仿宋_GB2312" w:hAnsi="仿宋" w:eastAsia="仿宋_GB2312" w:cs="宋体"/>
          <w:b w:val="0"/>
          <w:bCs w:val="0"/>
          <w:kern w:val="2"/>
          <w:sz w:val="32"/>
          <w:szCs w:val="32"/>
          <w:lang w:val="en-US" w:eastAsia="zh-CN" w:bidi="ar"/>
        </w:rPr>
        <w:t>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4"/>
        </w:numPr>
        <w:spacing w:before="0" w:after="0" w:line="560" w:lineRule="exact"/>
        <w:ind w:left="0" w:firstLine="640" w:firstLineChars="200"/>
        <w:rPr>
          <w:rFonts w:hint="eastAsia" w:ascii="仿宋_GB2312" w:hAnsi="仿宋" w:eastAsia="仿宋_GB2312" w:cs="宋体"/>
          <w:b w:val="0"/>
          <w:bCs w:val="0"/>
          <w:kern w:val="2"/>
          <w:sz w:val="32"/>
          <w:szCs w:val="32"/>
          <w:lang w:val="en-US" w:eastAsia="zh-CN" w:bidi="ar"/>
        </w:rPr>
      </w:pPr>
      <w:r>
        <w:rPr>
          <w:rFonts w:hint="eastAsia" w:hAnsi="仿宋" w:cs="宋体"/>
          <w:b w:val="0"/>
          <w:lang w:bidi="ar"/>
        </w:rPr>
        <w:t>激</w:t>
      </w:r>
      <w:r>
        <w:rPr>
          <w:rFonts w:hint="eastAsia" w:ascii="仿宋_GB2312" w:hAnsi="仿宋" w:eastAsia="仿宋_GB2312" w:cs="宋体"/>
          <w:b w:val="0"/>
          <w:bCs w:val="0"/>
          <w:kern w:val="2"/>
          <w:sz w:val="32"/>
          <w:szCs w:val="32"/>
          <w:lang w:val="en-US" w:eastAsia="zh-CN" w:bidi="ar"/>
        </w:rPr>
        <w:t>励约束。绩效评价结果应与预算安排、政策调整、改进管理实质性挂钩，体现奖优罚劣和激励相容导向，有效要安排、低效要压减、无效要问责。</w:t>
      </w:r>
    </w:p>
    <w:p>
      <w:pPr>
        <w:pStyle w:val="25"/>
        <w:keepNext w:val="0"/>
        <w:keepLines w:val="0"/>
        <w:numPr>
          <w:ilvl w:val="1"/>
          <w:numId w:val="4"/>
        </w:numPr>
        <w:spacing w:before="0" w:after="0" w:line="560" w:lineRule="exact"/>
        <w:ind w:left="0" w:firstLine="640" w:firstLineChars="200"/>
        <w:rPr>
          <w:b w:val="0"/>
          <w:lang w:bidi="ar"/>
        </w:rPr>
      </w:pPr>
      <w:r>
        <w:rPr>
          <w:rFonts w:hint="eastAsia" w:hAnsi="仿宋" w:cs="宋体"/>
          <w:b w:val="0"/>
          <w:lang w:bidi="ar"/>
        </w:rPr>
        <w:t>公开透明。绩效评价结果应依法依规公开，并自觉接受社会监督。</w:t>
      </w:r>
    </w:p>
    <w:p>
      <w:pPr>
        <w:pStyle w:val="25"/>
        <w:keepNext w:val="0"/>
        <w:keepLines w:val="0"/>
        <w:numPr>
          <w:ilvl w:val="0"/>
          <w:numId w:val="0"/>
        </w:numPr>
        <w:spacing w:before="0" w:after="0" w:line="560" w:lineRule="exact"/>
        <w:ind w:left="420" w:leftChars="200"/>
        <w:rPr>
          <w:rFonts w:hAnsi="仿宋" w:cs="宋体"/>
          <w:b w:val="0"/>
          <w:lang w:bidi="ar"/>
        </w:rPr>
      </w:pPr>
      <w:r>
        <w:rPr>
          <w:rFonts w:hint="eastAsia"/>
          <w:b w:val="0"/>
          <w:lang w:bidi="ar"/>
        </w:rPr>
        <w:t>绩效评价体系</w:t>
      </w:r>
      <w:r>
        <w:rPr>
          <w:rFonts w:hint="eastAsia" w:hAnsi="仿宋" w:cs="宋体"/>
          <w:b w:val="0"/>
          <w:lang w:bidi="ar"/>
        </w:rPr>
        <w:t>根据以上原则,绩效评价应遵循如下要求:</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hAnsi="仿宋" w:cs="宋体"/>
          <w:b w:val="0"/>
          <w:lang w:bidi="ar"/>
        </w:rPr>
        <w:t>（1）在数</w:t>
      </w:r>
      <w:r>
        <w:rPr>
          <w:rFonts w:hint="eastAsia"/>
          <w:b w:val="0"/>
          <w:lang w:bidi="ar"/>
        </w:rPr>
        <w:t>据采集时,采取客观数据,主管部门审查、社会中介组织复查,与问卷调查相结合的形式,以保证各项指标的真实性。</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hAnsi="仿宋" w:cs="宋体"/>
          <w:b w:val="0"/>
          <w:lang w:bidi="ar"/>
        </w:rPr>
        <w:t>(2)保</w:t>
      </w:r>
      <w:r>
        <w:rPr>
          <w:rFonts w:hint="eastAsia"/>
          <w:b w:val="0"/>
          <w:lang w:bidi="ar"/>
        </w:rPr>
        <w:t>证评价结果的真实性、公正性,提高评价报告的公信力。</w:t>
      </w:r>
    </w:p>
    <w:p>
      <w:pPr>
        <w:pStyle w:val="25"/>
        <w:keepNext w:val="0"/>
        <w:keepLines w:val="0"/>
        <w:numPr>
          <w:ilvl w:val="0"/>
          <w:numId w:val="0"/>
        </w:numPr>
        <w:spacing w:before="0" w:after="0" w:line="560" w:lineRule="exact"/>
        <w:ind w:firstLine="640" w:firstLineChars="200"/>
        <w:rPr>
          <w:rFonts w:hAnsi="仿宋" w:cs="宋体"/>
          <w:b w:val="0"/>
          <w:lang w:bidi="ar"/>
        </w:rPr>
      </w:pPr>
      <w:r>
        <w:rPr>
          <w:rFonts w:hint="eastAsia" w:hAnsi="仿宋" w:cs="宋体"/>
          <w:b w:val="0"/>
          <w:lang w:bidi="ar"/>
        </w:rPr>
        <w:t>(3)</w:t>
      </w:r>
      <w:r>
        <w:rPr>
          <w:rFonts w:hint="eastAsia" w:hAnsi="仿宋" w:cs="宋体"/>
          <w:b w:val="0"/>
          <w:lang w:val="en-US" w:eastAsia="zh-CN" w:bidi="ar"/>
        </w:rPr>
        <w:t>绩效</w:t>
      </w:r>
      <w:r>
        <w:rPr>
          <w:rFonts w:hint="eastAsia"/>
          <w:b w:val="0"/>
          <w:lang w:bidi="ar"/>
        </w:rPr>
        <w:t>评价报告应当简明扼要,除了对绩效评价的过程、结果描述外,还应总结经验,指出问题,并就共性问题提出可操作性改进建议。</w:t>
      </w:r>
    </w:p>
    <w:p>
      <w:pPr>
        <w:spacing w:line="560" w:lineRule="exact"/>
        <w:ind w:firstLine="643" w:firstLineChars="20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（四）本项目绩效评价体系</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b w:val="0"/>
          <w:lang w:bidi="ar"/>
        </w:rPr>
        <w:t>遵循“科学性、规范性、客观性和公正性”的绩效评价原则,根据财政部制定的《项目支出绩效评价共性指标体系框架》,结合就业补助资金项目特性、叶城县人社局实际情况,本项目按照财预﹝2020﹞10号文件制定评价指标体系。</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b w:val="0"/>
          <w:lang w:bidi="ar"/>
        </w:rPr>
        <w:t>我单位选取共性指标：</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b w:val="0"/>
          <w:lang w:bidi="ar"/>
        </w:rPr>
        <w:t>决策中一级指标1个，二级指标2个（绩效目标，资金投入），三级指标3个（绩效目标合理性 、绩效指标明确性 、预算编制科学性）</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b w:val="0"/>
          <w:lang w:bidi="ar"/>
        </w:rPr>
        <w:t>过程指标中二级指标2个（资金管理、组织实施），三级指标5个（资金到位率、预算执行率、资金使用合规性、管理制度健全性、制度执行有效性 ）。</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b w:val="0"/>
          <w:lang w:bidi="ar"/>
        </w:rPr>
        <w:t>资金到位率100%、预算完成率100%,单位本年度预算完成数与预算数的比率1∶1。项目预算资金按照计划执行，用以反映或考核项目预算执行情况。本项目属于补贴类项目，无需立项，项目实施过程符合新财社【2018】241号及具体资金拨付文件精神。绩效目标合理明确,目标依据是地区下达2019年就业任务，符合客观实际。</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b w:val="0"/>
          <w:lang w:bidi="ar"/>
        </w:rPr>
        <w:t>产出指标二级指标3个（产出质量、产出质量、产出时效），三级指标4个（实际完成率、质量达标率、完成及时性、成本节约率）。</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b w:val="0"/>
          <w:lang w:bidi="ar"/>
        </w:rPr>
        <w:t>产出指标二级指标3个（产出质量、产出质量、产出时效），三级指标4个（实际完成率、质量达标率、完成及时性、成本节约率）。</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b w:val="0"/>
          <w:lang w:bidi="ar"/>
        </w:rPr>
        <w:t>本年度开展技能培训补贴人数30829人，享受技能鉴定补贴20472人，享受求职创业补贴98人，享受社保补贴人数924人，享受技能鉴定补贴人数20472人等。补贴发放准确率及补贴在规定时间内支付到位率均在95%以上。通过以上补贴项目的实施减轻了企业缴纳社保的负担，保持城镇失业率≤4%，保证就业工作有序开展。</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b w:val="0"/>
          <w:lang w:bidi="ar"/>
        </w:rPr>
        <w:t>组织实施:管理制度健全性,单位为加强预算管理、规范财务行为而制定的管理制度健全完整。预决算信息公开,单位已按照政府信息公开的有关规定公开相关预决算信息。</w:t>
      </w:r>
    </w:p>
    <w:p>
      <w:pPr>
        <w:pStyle w:val="25"/>
        <w:keepNext w:val="0"/>
        <w:keepLines w:val="0"/>
        <w:numPr>
          <w:ilvl w:val="0"/>
          <w:numId w:val="3"/>
        </w:numPr>
        <w:spacing w:before="0" w:after="0" w:line="560" w:lineRule="exact"/>
        <w:ind w:left="0" w:firstLine="643" w:firstLineChars="200"/>
        <w:rPr>
          <w:lang w:bidi="ar"/>
        </w:rPr>
      </w:pPr>
      <w:bookmarkStart w:id="6" w:name="_Toc26401555"/>
      <w:r>
        <w:rPr>
          <w:rFonts w:hint="eastAsia"/>
          <w:lang w:bidi="ar"/>
        </w:rPr>
        <w:t>绩效评价方法</w:t>
      </w:r>
      <w:bookmarkEnd w:id="6"/>
    </w:p>
    <w:p>
      <w:pPr>
        <w:spacing w:line="560" w:lineRule="exact"/>
        <w:ind w:firstLine="640" w:firstLineChars="200"/>
        <w:rPr>
          <w:rFonts w:ascii="仿宋_GB2312" w:hAnsi="仿宋" w:eastAsia="仿宋_GB2312" w:cs="宋体"/>
          <w:sz w:val="32"/>
          <w:szCs w:val="32"/>
          <w:lang w:bidi="ar"/>
        </w:rPr>
      </w:pPr>
      <w:r>
        <w:rPr>
          <w:rFonts w:hint="eastAsia" w:ascii="仿宋_GB2312" w:eastAsia="仿宋_GB2312" w:cs="Times New Roman" w:hAnsiTheme="majorHAnsi"/>
          <w:b w:val="0"/>
          <w:bCs/>
          <w:kern w:val="2"/>
          <w:sz w:val="32"/>
          <w:szCs w:val="32"/>
          <w:lang w:val="en-US" w:eastAsia="zh-CN" w:bidi="ar"/>
        </w:rPr>
        <w:t>本次绩效评价方法的选用坚持简便有效的原则采用目标比较法。</w:t>
      </w:r>
    </w:p>
    <w:p>
      <w:pPr>
        <w:pStyle w:val="25"/>
        <w:keepNext w:val="0"/>
        <w:keepLines w:val="0"/>
        <w:numPr>
          <w:ilvl w:val="0"/>
          <w:numId w:val="0"/>
        </w:numPr>
        <w:spacing w:before="0" w:after="0" w:line="560" w:lineRule="exact"/>
        <w:ind w:firstLine="640" w:firstLineChars="200"/>
        <w:rPr>
          <w:rFonts w:hint="eastAsia"/>
          <w:b w:val="0"/>
          <w:lang w:bidi="ar"/>
        </w:rPr>
      </w:pPr>
      <w:r>
        <w:rPr>
          <w:rFonts w:hint="eastAsia"/>
          <w:b w:val="0"/>
          <w:lang w:bidi="ar"/>
        </w:rPr>
        <w:t>目标比较法:</w:t>
      </w:r>
      <w:r>
        <w:rPr>
          <w:rFonts w:hint="eastAsia" w:hAnsi="仿宋" w:cs="宋体"/>
          <w:b w:val="0"/>
          <w:lang w:eastAsia="zh-CN" w:bidi="ar"/>
        </w:rPr>
        <w:t>为了进一步规范和加强财政专项资金的管理，切实提高项目资金使用效益，强化财政资金的管理，根据项目资金文件要求，结合我</w:t>
      </w:r>
      <w:r>
        <w:rPr>
          <w:rFonts w:hint="eastAsia" w:hAnsi="仿宋" w:cs="宋体"/>
          <w:b w:val="0"/>
          <w:lang w:val="en-US" w:eastAsia="zh-CN" w:bidi="ar"/>
        </w:rPr>
        <w:t>单位</w:t>
      </w:r>
      <w:r>
        <w:rPr>
          <w:rFonts w:hint="eastAsia" w:hAnsi="仿宋" w:cs="宋体"/>
          <w:b w:val="0"/>
          <w:lang w:eastAsia="zh-CN" w:bidi="ar"/>
        </w:rPr>
        <w:t>实际情况，</w:t>
      </w:r>
      <w:r>
        <w:rPr>
          <w:rFonts w:hint="eastAsia" w:hAnsi="仿宋" w:cs="宋体"/>
          <w:b w:val="0"/>
          <w:lang w:val="en-US" w:eastAsia="zh-CN" w:bidi="ar"/>
        </w:rPr>
        <w:t>单位</w:t>
      </w:r>
      <w:r>
        <w:rPr>
          <w:rFonts w:hint="eastAsia" w:hAnsi="仿宋" w:cs="宋体"/>
          <w:b w:val="0"/>
          <w:lang w:eastAsia="zh-CN" w:bidi="ar"/>
        </w:rPr>
        <w:t>年初就组织相关人员制定了项目年度绩效目标，</w:t>
      </w:r>
      <w:r>
        <w:rPr>
          <w:rFonts w:hint="eastAsia"/>
          <w:b w:val="0"/>
          <w:lang w:bidi="ar"/>
        </w:rPr>
        <w:t>此方法主要用于对部门和单位的评价以及周期性较长项目的评价</w:t>
      </w:r>
      <w:r>
        <w:rPr>
          <w:rFonts w:hint="eastAsia"/>
          <w:b w:val="0"/>
          <w:lang w:eastAsia="zh-CN" w:bidi="ar"/>
        </w:rPr>
        <w:t>，</w:t>
      </w:r>
      <w:r>
        <w:rPr>
          <w:rFonts w:hint="eastAsia"/>
          <w:b w:val="0"/>
          <w:lang w:bidi="ar"/>
        </w:rPr>
        <w:t>是我们目前采用的最主要方法之一。</w:t>
      </w:r>
    </w:p>
    <w:p>
      <w:pPr>
        <w:pStyle w:val="25"/>
        <w:keepNext w:val="0"/>
        <w:keepLines w:val="0"/>
        <w:numPr>
          <w:ilvl w:val="0"/>
          <w:numId w:val="3"/>
        </w:numPr>
        <w:spacing w:before="0" w:after="0" w:line="560" w:lineRule="exact"/>
        <w:ind w:left="0" w:firstLine="643" w:firstLineChars="200"/>
        <w:rPr>
          <w:lang w:bidi="ar"/>
        </w:rPr>
      </w:pPr>
      <w:r>
        <w:rPr>
          <w:rFonts w:hint="eastAsia"/>
          <w:lang w:bidi="ar"/>
        </w:rPr>
        <w:t>评价标准</w:t>
      </w:r>
    </w:p>
    <w:p>
      <w:pPr>
        <w:pStyle w:val="25"/>
        <w:keepNext w:val="0"/>
        <w:keepLines w:val="0"/>
        <w:numPr>
          <w:ilvl w:val="0"/>
          <w:numId w:val="0"/>
        </w:numPr>
        <w:spacing w:before="0" w:after="0" w:line="560" w:lineRule="exact"/>
        <w:ind w:firstLine="640" w:firstLineChars="200"/>
        <w:rPr>
          <w:b w:val="0"/>
        </w:rPr>
      </w:pPr>
      <w:r>
        <w:rPr>
          <w:rFonts w:hint="eastAsia"/>
          <w:b w:val="0"/>
          <w:bCs w:val="0"/>
          <w:lang w:bidi="ar"/>
        </w:rPr>
        <w:t>项目评价标准采用</w:t>
      </w:r>
      <w:r>
        <w:rPr>
          <w:rFonts w:hint="eastAsia"/>
          <w:b w:val="0"/>
          <w:bCs w:val="0"/>
        </w:rPr>
        <w:t>计划标准</w:t>
      </w:r>
      <w:r>
        <w:rPr>
          <w:rFonts w:hint="eastAsia"/>
          <w:b w:val="0"/>
          <w:bCs w:val="0"/>
          <w:lang w:eastAsia="zh-CN"/>
        </w:rPr>
        <w:t>，</w:t>
      </w:r>
      <w:r>
        <w:rPr>
          <w:rFonts w:hint="eastAsia"/>
          <w:b w:val="0"/>
        </w:rPr>
        <w:t>计划标准:是以事先制定的目标、计划、预算、定额等预计数据作为评价财政支出绩效的标准</w:t>
      </w:r>
      <w:r>
        <w:rPr>
          <w:rFonts w:hint="eastAsia"/>
          <w:b w:val="0"/>
          <w:lang w:eastAsia="zh-CN"/>
        </w:rPr>
        <w:t>，</w:t>
      </w:r>
      <w:r>
        <w:rPr>
          <w:rFonts w:hint="eastAsia"/>
          <w:b w:val="0"/>
        </w:rPr>
        <w:t>用于开展职业培训补贴、</w:t>
      </w:r>
      <w:r>
        <w:rPr>
          <w:rFonts w:hint="eastAsia"/>
          <w:b w:val="0"/>
          <w:lang w:eastAsia="zh-CN"/>
        </w:rPr>
        <w:t>就业技能</w:t>
      </w:r>
      <w:r>
        <w:rPr>
          <w:rFonts w:hint="eastAsia"/>
          <w:b w:val="0"/>
        </w:rPr>
        <w:t>鉴定补贴、社会保险补贴、公益性岗位补贴、岗位补贴等。2019年开展技能培训补贴人数30829人，享受技能鉴定补贴20472人，享受求职创业补贴98人，享受社保补贴人数924人，享受技能鉴定补贴人数20472人等，</w:t>
      </w:r>
      <w:r>
        <w:rPr>
          <w:rFonts w:hint="eastAsia"/>
          <w:b w:val="0"/>
          <w:lang w:val="en-US" w:eastAsia="zh-CN"/>
        </w:rPr>
        <w:t>用年初设立的预期指标值与年底实际完成值相对比得出结论并写出报告，为以后的相关项目提供参考依据</w:t>
      </w:r>
      <w:r>
        <w:rPr>
          <w:rFonts w:hint="eastAsia"/>
          <w:b w:val="0"/>
        </w:rPr>
        <w:t>。</w:t>
      </w:r>
      <w:bookmarkStart w:id="8" w:name="_GoBack"/>
      <w:bookmarkEnd w:id="8"/>
    </w:p>
    <w:p>
      <w:pPr>
        <w:pStyle w:val="25"/>
        <w:keepNext w:val="0"/>
        <w:keepLines w:val="0"/>
        <w:numPr>
          <w:ilvl w:val="0"/>
          <w:numId w:val="3"/>
        </w:numPr>
        <w:spacing w:before="0" w:after="0" w:line="560" w:lineRule="exact"/>
        <w:ind w:left="0" w:firstLine="643" w:firstLineChars="200"/>
        <w:rPr>
          <w:lang w:bidi="ar"/>
        </w:rPr>
      </w:pPr>
      <w:r>
        <w:rPr>
          <w:rFonts w:hint="eastAsia"/>
          <w:lang w:bidi="ar"/>
        </w:rPr>
        <w:t>绩效评价工作过程</w:t>
      </w:r>
    </w:p>
    <w:p>
      <w:pPr>
        <w:pStyle w:val="25"/>
        <w:keepNext w:val="0"/>
        <w:keepLines w:val="0"/>
        <w:numPr>
          <w:ilvl w:val="0"/>
          <w:numId w:val="0"/>
        </w:numPr>
        <w:spacing w:before="0" w:after="0" w:line="560" w:lineRule="exact"/>
        <w:ind w:firstLine="640" w:firstLineChars="200"/>
        <w:outlineLvl w:val="9"/>
        <w:rPr>
          <w:b w:val="0"/>
          <w:bCs w:val="0"/>
          <w:lang w:bidi="ar"/>
        </w:rPr>
      </w:pPr>
      <w:r>
        <w:rPr>
          <w:rFonts w:hint="eastAsia"/>
          <w:b w:val="0"/>
          <w:bCs w:val="0"/>
          <w:lang w:val="en-US" w:eastAsia="zh-CN" w:bidi="ar"/>
        </w:rPr>
        <w:t>1.</w:t>
      </w:r>
      <w:r>
        <w:rPr>
          <w:rFonts w:hint="eastAsia"/>
          <w:b w:val="0"/>
          <w:bCs w:val="0"/>
          <w:lang w:bidi="ar"/>
        </w:rPr>
        <w:t>本次评价成立了评价工作组，成员如下：</w:t>
      </w:r>
    </w:p>
    <w:tbl>
      <w:tblPr>
        <w:tblStyle w:val="17"/>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评价人</w:t>
            </w:r>
          </w:p>
        </w:tc>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职责</w:t>
            </w:r>
          </w:p>
        </w:tc>
        <w:tc>
          <w:tcPr>
            <w:tcW w:w="2766" w:type="dxa"/>
            <w:vAlign w:val="center"/>
          </w:tcPr>
          <w:p>
            <w:pPr>
              <w:pStyle w:val="25"/>
              <w:keepNext w:val="0"/>
              <w:keepLines w:val="0"/>
              <w:numPr>
                <w:ilvl w:val="0"/>
                <w:numId w:val="0"/>
              </w:numPr>
              <w:spacing w:before="0" w:after="0" w:line="560" w:lineRule="exact"/>
              <w:ind w:firstLine="640" w:firstLineChars="200"/>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孙锦</w:t>
            </w:r>
          </w:p>
        </w:tc>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评价组组长</w:t>
            </w:r>
          </w:p>
        </w:tc>
        <w:tc>
          <w:tcPr>
            <w:tcW w:w="2766" w:type="dxa"/>
            <w:vAlign w:val="center"/>
          </w:tcPr>
          <w:p>
            <w:pPr>
              <w:pStyle w:val="25"/>
              <w:keepNext w:val="0"/>
              <w:keepLines w:val="0"/>
              <w:numPr>
                <w:ilvl w:val="0"/>
                <w:numId w:val="0"/>
              </w:numPr>
              <w:spacing w:before="0" w:after="0" w:line="560" w:lineRule="exact"/>
              <w:ind w:firstLine="640" w:firstLineChars="200"/>
              <w:rPr>
                <w:b w:val="0"/>
                <w:bCs w:val="0"/>
                <w:lang w:bidi="ar"/>
              </w:rPr>
            </w:pPr>
            <w:r>
              <w:rPr>
                <w:rFonts w:hint="eastAsia"/>
                <w:b w:val="0"/>
                <w:bCs w:val="0"/>
                <w:lang w:bidi="ar"/>
              </w:rPr>
              <w:t>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楚燕</w:t>
            </w:r>
          </w:p>
        </w:tc>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评价组成员</w:t>
            </w:r>
          </w:p>
        </w:tc>
        <w:tc>
          <w:tcPr>
            <w:tcW w:w="2766" w:type="dxa"/>
            <w:vAlign w:val="center"/>
          </w:tcPr>
          <w:p>
            <w:pPr>
              <w:pStyle w:val="25"/>
              <w:keepNext w:val="0"/>
              <w:keepLines w:val="0"/>
              <w:numPr>
                <w:ilvl w:val="0"/>
                <w:numId w:val="0"/>
              </w:numPr>
              <w:spacing w:before="0" w:after="0" w:line="560" w:lineRule="exact"/>
              <w:ind w:firstLine="640" w:firstLineChars="200"/>
              <w:rPr>
                <w:b w:val="0"/>
                <w:bCs w:val="0"/>
                <w:lang w:bidi="ar"/>
              </w:rPr>
            </w:pPr>
            <w:r>
              <w:rPr>
                <w:rFonts w:hint="eastAsia"/>
                <w:b w:val="0"/>
                <w:bCs w:val="0"/>
                <w:lang w:bidi="ar"/>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窦娟</w:t>
            </w:r>
          </w:p>
        </w:tc>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评价组成员</w:t>
            </w:r>
          </w:p>
        </w:tc>
        <w:tc>
          <w:tcPr>
            <w:tcW w:w="2766" w:type="dxa"/>
            <w:vAlign w:val="center"/>
          </w:tcPr>
          <w:p>
            <w:pPr>
              <w:pStyle w:val="25"/>
              <w:keepNext w:val="0"/>
              <w:keepLines w:val="0"/>
              <w:numPr>
                <w:ilvl w:val="0"/>
                <w:numId w:val="0"/>
              </w:numPr>
              <w:spacing w:before="0" w:after="0" w:line="560" w:lineRule="exact"/>
              <w:ind w:firstLine="640" w:firstLineChars="200"/>
              <w:rPr>
                <w:b w:val="0"/>
                <w:bCs w:val="0"/>
                <w:lang w:bidi="ar"/>
              </w:rPr>
            </w:pPr>
            <w:r>
              <w:rPr>
                <w:rFonts w:hint="eastAsia"/>
                <w:b w:val="0"/>
                <w:bCs w:val="0"/>
                <w:lang w:bidi="ar"/>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姑丽米热</w:t>
            </w:r>
          </w:p>
        </w:tc>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评价组成员</w:t>
            </w:r>
          </w:p>
        </w:tc>
        <w:tc>
          <w:tcPr>
            <w:tcW w:w="2766" w:type="dxa"/>
            <w:vAlign w:val="center"/>
          </w:tcPr>
          <w:p>
            <w:pPr>
              <w:pStyle w:val="25"/>
              <w:keepNext w:val="0"/>
              <w:keepLines w:val="0"/>
              <w:numPr>
                <w:ilvl w:val="0"/>
                <w:numId w:val="0"/>
              </w:numPr>
              <w:spacing w:before="0" w:after="0" w:line="560" w:lineRule="exact"/>
              <w:ind w:firstLine="640" w:firstLineChars="200"/>
              <w:rPr>
                <w:b w:val="0"/>
                <w:bCs w:val="0"/>
                <w:lang w:bidi="ar"/>
              </w:rPr>
            </w:pPr>
            <w:r>
              <w:rPr>
                <w:rFonts w:hint="eastAsia"/>
                <w:b w:val="0"/>
                <w:bCs w:val="0"/>
                <w:lang w:bidi="ar"/>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胡冬梅</w:t>
            </w:r>
          </w:p>
        </w:tc>
        <w:tc>
          <w:tcPr>
            <w:tcW w:w="2765"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评价组成员</w:t>
            </w:r>
          </w:p>
        </w:tc>
        <w:tc>
          <w:tcPr>
            <w:tcW w:w="2766" w:type="dxa"/>
            <w:vAlign w:val="center"/>
          </w:tcPr>
          <w:p>
            <w:pPr>
              <w:pStyle w:val="25"/>
              <w:keepNext w:val="0"/>
              <w:keepLines w:val="0"/>
              <w:numPr>
                <w:ilvl w:val="0"/>
                <w:numId w:val="0"/>
              </w:numPr>
              <w:spacing w:before="0" w:after="0" w:line="560" w:lineRule="exact"/>
              <w:ind w:firstLine="640" w:firstLineChars="200"/>
              <w:rPr>
                <w:b w:val="0"/>
                <w:bCs w:val="0"/>
                <w:lang w:bidi="ar"/>
              </w:rPr>
            </w:pPr>
            <w:r>
              <w:rPr>
                <w:rFonts w:hint="eastAsia"/>
                <w:b w:val="0"/>
                <w:bCs w:val="0"/>
                <w:lang w:bidi="ar"/>
              </w:rPr>
              <w:t>财务人员</w:t>
            </w:r>
          </w:p>
        </w:tc>
      </w:tr>
    </w:tbl>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numPr>
          <w:ilvl w:val="0"/>
          <w:numId w:val="0"/>
        </w:numPr>
        <w:spacing w:line="560" w:lineRule="exact"/>
        <w:ind w:firstLine="321" w:firstLineChars="100"/>
        <w:rPr>
          <w:rFonts w:ascii="仿宋_GB2312" w:hAnsi="仿宋" w:eastAsia="仿宋_GB2312" w:cs="宋体"/>
          <w:b/>
          <w:bCs/>
          <w:sz w:val="32"/>
          <w:szCs w:val="32"/>
          <w:lang w:bidi="ar"/>
        </w:rPr>
      </w:pPr>
      <w:r>
        <w:rPr>
          <w:rFonts w:hint="eastAsia" w:ascii="仿宋_GB2312" w:hAnsi="仿宋" w:eastAsia="仿宋_GB2312" w:cs="宋体"/>
          <w:b/>
          <w:bCs/>
          <w:sz w:val="32"/>
          <w:szCs w:val="32"/>
          <w:lang w:val="en-US" w:eastAsia="zh-CN" w:bidi="ar"/>
        </w:rPr>
        <w:t>2.</w:t>
      </w:r>
      <w:r>
        <w:rPr>
          <w:rFonts w:hint="eastAsia" w:ascii="仿宋_GB2312" w:hAnsi="仿宋" w:eastAsia="仿宋_GB2312" w:cs="宋体"/>
          <w:b/>
          <w:bCs/>
          <w:sz w:val="32"/>
          <w:szCs w:val="32"/>
          <w:lang w:bidi="ar"/>
        </w:rPr>
        <w:t>数据采集方法及过程</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本次绩效评价数据包括定性和定量两种数据,定性数据主要通过实地考察、面对面访谈,问卷调研等社会调查的方式来采集。</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numPr>
          <w:ilvl w:val="0"/>
          <w:numId w:val="5"/>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绩效评价实施过程</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ascii="仿宋_GB2312" w:hAnsi="仿宋" w:eastAsia="仿宋_GB2312" w:cs="宋体"/>
          <w:b w:val="0"/>
          <w:bCs w:val="0"/>
          <w:sz w:val="32"/>
          <w:szCs w:val="32"/>
          <w:lang w:bidi="ar"/>
        </w:rPr>
        <w:t>1.问</w:t>
      </w:r>
      <w:r>
        <w:rPr>
          <w:rFonts w:hint="eastAsia"/>
          <w:b w:val="0"/>
          <w:bCs w:val="0"/>
          <w:lang w:bidi="ar"/>
        </w:rPr>
        <w:t>卷调查</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2019年12月20日-2019年12月25日,项目组对就业补助资金项目涉及受益人员进行问卷调查。向受益对象共发放200份问卷,回收200份问卷,其中有效问卷为198份,有效问卷为99%，再通过问卷录入、分析、整理后,形成社会调查满意度报告</w:t>
      </w:r>
    </w:p>
    <w:p>
      <w:pPr>
        <w:pStyle w:val="25"/>
        <w:keepNext w:val="0"/>
        <w:keepLines w:val="0"/>
        <w:numPr>
          <w:ilvl w:val="0"/>
          <w:numId w:val="0"/>
        </w:numPr>
        <w:spacing w:before="0" w:after="0" w:line="560" w:lineRule="exact"/>
        <w:ind w:firstLine="643" w:firstLineChars="200"/>
        <w:outlineLvl w:val="9"/>
        <w:rPr>
          <w:rFonts w:hint="eastAsia"/>
          <w:b w:val="0"/>
          <w:bCs w:val="0"/>
          <w:lang w:bidi="ar"/>
        </w:rPr>
      </w:pPr>
      <w:r>
        <w:rPr>
          <w:rFonts w:hint="eastAsia" w:ascii="仿宋_GB2312" w:hAnsi="仿宋" w:eastAsia="仿宋_GB2312" w:cs="宋体"/>
          <w:sz w:val="32"/>
          <w:szCs w:val="32"/>
          <w:lang w:bidi="ar"/>
        </w:rPr>
        <w:t>2.</w:t>
      </w:r>
      <w:r>
        <w:rPr>
          <w:rFonts w:hint="eastAsia"/>
          <w:b w:val="0"/>
          <w:bCs w:val="0"/>
          <w:lang w:bidi="ar"/>
        </w:rPr>
        <w:t>数据分析及撰写报告</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2019年12月20日-2019年12月25日,项目组根据绩效评价的原理和规范,对采集的数据进行甄别、分析和评分,并提炼结论撰写报告,在规定时间内上报委托方,由委托方组织相关专家对报告进行评审。</w:t>
      </w:r>
    </w:p>
    <w:p>
      <w:pPr>
        <w:pStyle w:val="23"/>
        <w:spacing w:before="0" w:after="0" w:line="560" w:lineRule="exact"/>
        <w:ind w:firstLine="643"/>
        <w:rPr>
          <w:b w:val="0"/>
          <w:bCs w:val="0"/>
          <w:lang w:bidi="ar"/>
        </w:rPr>
      </w:pPr>
      <w:bookmarkStart w:id="7" w:name="_Toc26401558"/>
      <w:r>
        <w:rPr>
          <w:rFonts w:hint="eastAsia" w:ascii="黑体" w:hAnsi="黑体"/>
          <w:b w:val="0"/>
          <w:bCs w:val="0"/>
        </w:rPr>
        <w:t>三、综合评价情况及评价结论</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经评价组通过实地调研、资料分析等方式，最低成本法、等对项目的决策、管理、绩效进行的综合评价分析，项目得分为</w:t>
      </w:r>
      <w:r>
        <w:rPr>
          <w:rFonts w:hint="eastAsia"/>
          <w:b w:val="0"/>
          <w:bCs w:val="0"/>
          <w:lang w:val="en-US" w:eastAsia="zh-CN" w:bidi="ar"/>
        </w:rPr>
        <w:t>97</w:t>
      </w:r>
      <w:r>
        <w:rPr>
          <w:rFonts w:hint="eastAsia"/>
          <w:b w:val="0"/>
          <w:bCs w:val="0"/>
          <w:lang w:bidi="ar"/>
        </w:rPr>
        <w:t>分，评价结果为优，详见附件4。</w:t>
      </w:r>
    </w:p>
    <w:p>
      <w:pPr>
        <w:pStyle w:val="23"/>
        <w:numPr>
          <w:ilvl w:val="0"/>
          <w:numId w:val="0"/>
        </w:numPr>
        <w:spacing w:before="0" w:after="0" w:line="560" w:lineRule="exact"/>
        <w:ind w:leftChars="200"/>
        <w:rPr>
          <w:b w:val="0"/>
          <w:bCs w:val="0"/>
          <w:lang w:bidi="ar"/>
        </w:rPr>
      </w:pPr>
      <w:r>
        <w:rPr>
          <w:rFonts w:hint="eastAsia"/>
          <w:b w:val="0"/>
          <w:bCs w:val="0"/>
          <w:lang w:val="en-US" w:eastAsia="zh-CN" w:bidi="ar"/>
        </w:rPr>
        <w:t>四、</w:t>
      </w:r>
      <w:r>
        <w:rPr>
          <w:rFonts w:hint="eastAsia"/>
          <w:b w:val="0"/>
          <w:bCs w:val="0"/>
          <w:lang w:bidi="ar"/>
        </w:rPr>
        <w:t>绩效评价指标分析</w:t>
      </w:r>
      <w:bookmarkEnd w:id="7"/>
    </w:p>
    <w:p>
      <w:pPr>
        <w:pStyle w:val="19"/>
        <w:numPr>
          <w:ilvl w:val="0"/>
          <w:numId w:val="6"/>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本项目的立项符合相关法规政策及部门职责，依据是充分；项目按照规定的程序申请设立；审批文件、材料符合相关要求。</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项目在资金投入方面，预算编制经过科学论证、有明确标准，资金额度与年度目标相适应，用以反映和考核项目预算编制的科学性、合理性情况。</w:t>
      </w:r>
    </w:p>
    <w:p>
      <w:pPr>
        <w:pStyle w:val="19"/>
        <w:numPr>
          <w:ilvl w:val="0"/>
          <w:numId w:val="6"/>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在资金管理方面，项目资金到位足额及时，及时支付，资金使用符合国家法规和财务管理制度；资金拨付有完整的审批程序和手续，不存在截留、挤占、挪用、虚列支出等情况。</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在项目组织实施方面，项目单位已制定或具有相应的财务和业务管理制度，财务和业务管理制度合法、合规、完整。项目实施遵守相关法律法规和相关管理规定。</w:t>
      </w:r>
    </w:p>
    <w:p>
      <w:pPr>
        <w:pStyle w:val="19"/>
        <w:numPr>
          <w:ilvl w:val="0"/>
          <w:numId w:val="6"/>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pStyle w:val="25"/>
        <w:keepNext w:val="0"/>
        <w:keepLines w:val="0"/>
        <w:numPr>
          <w:ilvl w:val="0"/>
          <w:numId w:val="0"/>
        </w:numPr>
        <w:spacing w:before="0" w:after="0" w:line="560" w:lineRule="exact"/>
        <w:ind w:firstLine="640" w:firstLineChars="200"/>
        <w:outlineLvl w:val="9"/>
        <w:rPr>
          <w:rFonts w:hint="default" w:eastAsia="仿宋_GB2312"/>
          <w:b w:val="0"/>
          <w:bCs w:val="0"/>
          <w:lang w:val="en-US" w:eastAsia="zh-CN" w:bidi="ar"/>
        </w:rPr>
      </w:pPr>
      <w:r>
        <w:rPr>
          <w:rFonts w:hint="eastAsia"/>
          <w:b w:val="0"/>
          <w:bCs w:val="0"/>
          <w:lang w:bidi="ar"/>
        </w:rPr>
        <w:t>2019年开展了技能培训补贴人数30829人，享受技能鉴定补贴20472人，享受求职创业补贴98人，享受社保补贴人数924人，享受技能鉴定补贴人数20472人等补贴项目，补贴发放准确率及补贴在规定时间内支付到位率均在95%以上。通过以上补贴项目的实施减轻了企业缴纳社保的负担，保持城镇失业率≤4%，保证就业工作有序开展。</w:t>
      </w:r>
      <w:r>
        <w:rPr>
          <w:rFonts w:hint="eastAsia"/>
          <w:b w:val="0"/>
          <w:bCs w:val="0"/>
          <w:lang w:val="en-US" w:eastAsia="zh-CN" w:bidi="ar"/>
        </w:rPr>
        <w:t>产出指标完成情况如下：</w:t>
      </w:r>
    </w:p>
    <w:tbl>
      <w:tblPr>
        <w:tblStyle w:val="16"/>
        <w:tblW w:w="7965" w:type="dxa"/>
        <w:tblInd w:w="0" w:type="dxa"/>
        <w:shd w:val="clear" w:color="auto" w:fill="auto"/>
        <w:tblLayout w:type="fixed"/>
        <w:tblCellMar>
          <w:top w:w="0" w:type="dxa"/>
          <w:left w:w="0" w:type="dxa"/>
          <w:bottom w:w="0" w:type="dxa"/>
          <w:right w:w="0" w:type="dxa"/>
        </w:tblCellMar>
      </w:tblPr>
      <w:tblGrid>
        <w:gridCol w:w="900"/>
        <w:gridCol w:w="915"/>
        <w:gridCol w:w="3060"/>
        <w:gridCol w:w="1545"/>
        <w:gridCol w:w="1545"/>
      </w:tblGrid>
      <w:tr>
        <w:tblPrEx>
          <w:shd w:val="clear" w:color="auto" w:fill="auto"/>
          <w:tblLayout w:type="fixed"/>
          <w:tblCellMar>
            <w:top w:w="0" w:type="dxa"/>
            <w:left w:w="0" w:type="dxa"/>
            <w:bottom w:w="0" w:type="dxa"/>
            <w:right w:w="0" w:type="dxa"/>
          </w:tblCellMar>
        </w:tblPrEx>
        <w:trPr>
          <w:trHeight w:val="50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Layout w:type="fixed"/>
          <w:tblCellMar>
            <w:top w:w="0" w:type="dxa"/>
            <w:left w:w="0" w:type="dxa"/>
            <w:bottom w:w="0" w:type="dxa"/>
            <w:right w:w="0" w:type="dxa"/>
          </w:tblCellMar>
        </w:tblPrEx>
        <w:trPr>
          <w:trHeight w:val="50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享受培训补贴人数(人)</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6866</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30829</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享受技能鉴定补贴人数(人)</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6479</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20472</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2019年求职创业补贴人数（人）</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享受社保补贴人数(人)</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924</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培训合格率（%）</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补贴发放准确率（%）</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补贴在规定时间内支付到位率（%）</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培训人均标准(元/人次)</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692</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692</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就业见习补贴成本（万元/年）</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120.744</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公益性岗位补贴人均成本（元/人/月）</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2342</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2342</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2019年就业援助金补贴成本（万元/年）</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715.5</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2019年求职创业补贴标准（元/人）</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技能鉴定补贴人均标准(元/工种)</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w:t>
            </w:r>
          </w:p>
        </w:tc>
      </w:tr>
    </w:tbl>
    <w:p>
      <w:pPr>
        <w:pStyle w:val="19"/>
        <w:numPr>
          <w:ilvl w:val="0"/>
          <w:numId w:val="0"/>
        </w:numPr>
        <w:spacing w:line="560" w:lineRule="exact"/>
        <w:ind w:firstLine="643" w:firstLineChars="200"/>
        <w:rPr>
          <w:rFonts w:ascii="仿宋_GB2312" w:hAnsi="仿宋" w:eastAsia="仿宋_GB2312" w:cs="宋体"/>
          <w:b/>
          <w:bCs/>
          <w:sz w:val="32"/>
          <w:szCs w:val="32"/>
          <w:lang w:bidi="ar"/>
        </w:rPr>
      </w:pP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val="en-US" w:eastAsia="zh-CN" w:bidi="ar"/>
        </w:rPr>
        <w:t>四</w:t>
      </w: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bidi="ar"/>
        </w:rPr>
        <w:t>项目效益情况</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 xml:space="preserve"> 通过企业社保补贴项目的实施减轻了轻企业缴纳社保负担206.6万元，开展求职创业补贴增加了98名转移就业贫困劳动力收入7.84万元，通过开展</w:t>
      </w:r>
      <w:r>
        <w:rPr>
          <w:rFonts w:hint="eastAsia"/>
          <w:b w:val="0"/>
          <w:bCs w:val="0"/>
          <w:lang w:eastAsia="zh-CN" w:bidi="ar"/>
        </w:rPr>
        <w:t>就业技能</w:t>
      </w:r>
      <w:r>
        <w:rPr>
          <w:rFonts w:hint="eastAsia"/>
          <w:b w:val="0"/>
          <w:bCs w:val="0"/>
          <w:lang w:bidi="ar"/>
        </w:rPr>
        <w:t>培训增加了富裕劳动力的就业技能。通过各类就业工作的开展，不仅减轻了收益人群的经济负担，也保持城镇失业率持续≤4%。</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项目无生态效益指标。</w:t>
      </w:r>
    </w:p>
    <w:tbl>
      <w:tblPr>
        <w:tblStyle w:val="16"/>
        <w:tblW w:w="7965" w:type="dxa"/>
        <w:tblInd w:w="0" w:type="dxa"/>
        <w:shd w:val="clear" w:color="auto" w:fill="auto"/>
        <w:tblLayout w:type="fixed"/>
        <w:tblCellMar>
          <w:top w:w="0" w:type="dxa"/>
          <w:left w:w="0" w:type="dxa"/>
          <w:bottom w:w="0" w:type="dxa"/>
          <w:right w:w="0" w:type="dxa"/>
        </w:tblCellMar>
      </w:tblPr>
      <w:tblGrid>
        <w:gridCol w:w="900"/>
        <w:gridCol w:w="915"/>
        <w:gridCol w:w="3060"/>
        <w:gridCol w:w="1545"/>
        <w:gridCol w:w="1545"/>
      </w:tblGrid>
      <w:tr>
        <w:tblPrEx>
          <w:shd w:val="clear" w:color="auto" w:fill="auto"/>
          <w:tblLayout w:type="fixed"/>
          <w:tblCellMar>
            <w:top w:w="0" w:type="dxa"/>
            <w:left w:w="0" w:type="dxa"/>
            <w:bottom w:w="0" w:type="dxa"/>
            <w:right w:w="0" w:type="dxa"/>
          </w:tblCellMar>
        </w:tblPrEx>
        <w:trPr>
          <w:trHeight w:val="50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Layout w:type="fixed"/>
          <w:tblCellMar>
            <w:top w:w="0" w:type="dxa"/>
            <w:left w:w="0" w:type="dxa"/>
            <w:bottom w:w="0" w:type="dxa"/>
            <w:right w:w="0" w:type="dxa"/>
          </w:tblCellMar>
        </w:tblPrEx>
        <w:trPr>
          <w:trHeight w:val="50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9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减轻企业职工缴纳社保负担（万元/年）</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206.6</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保持城镇失业率（%）</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5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保证就业工作有序开展（%）</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Layout w:type="fixed"/>
          <w:tblCellMar>
            <w:top w:w="0" w:type="dxa"/>
            <w:left w:w="0" w:type="dxa"/>
            <w:bottom w:w="0" w:type="dxa"/>
            <w:right w:w="0" w:type="dxa"/>
          </w:tblCellMar>
        </w:tblPrEx>
        <w:trPr>
          <w:trHeight w:val="500" w:hRule="atLeast"/>
        </w:trPr>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受益对象满意度（%）</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bl>
    <w:p>
      <w:pPr>
        <w:pStyle w:val="25"/>
        <w:keepNext w:val="0"/>
        <w:keepLines w:val="0"/>
        <w:numPr>
          <w:ilvl w:val="0"/>
          <w:numId w:val="0"/>
        </w:numPr>
        <w:spacing w:before="0" w:after="0" w:line="560" w:lineRule="exact"/>
        <w:ind w:firstLine="640" w:firstLineChars="200"/>
        <w:outlineLvl w:val="9"/>
        <w:rPr>
          <w:rFonts w:hint="eastAsia"/>
          <w:b w:val="0"/>
          <w:bCs w:val="0"/>
          <w:lang w:bidi="ar"/>
        </w:rPr>
      </w:pPr>
    </w:p>
    <w:p>
      <w:pPr>
        <w:spacing w:line="560" w:lineRule="exact"/>
        <w:ind w:firstLine="640" w:firstLineChars="200"/>
        <w:rPr>
          <w:rFonts w:ascii="黑体" w:hAnsi="黑体" w:eastAsia="黑体" w:cs="黑体"/>
          <w:sz w:val="32"/>
          <w:szCs w:val="32"/>
        </w:rPr>
      </w:pPr>
      <w:r>
        <w:rPr>
          <w:rFonts w:hint="eastAsia" w:ascii="黑体" w:hAnsi="黑体" w:eastAsia="黑体" w:cs="黑体"/>
          <w:bCs/>
          <w:sz w:val="32"/>
          <w:szCs w:val="32"/>
          <w:lang w:bidi="ar"/>
        </w:rPr>
        <w:t>五、</w:t>
      </w:r>
      <w:r>
        <w:rPr>
          <w:rFonts w:hint="eastAsia" w:ascii="黑体" w:hAnsi="黑体" w:eastAsia="黑体" w:cs="黑体"/>
          <w:sz w:val="32"/>
          <w:szCs w:val="32"/>
        </w:rPr>
        <w:t>主要经验及做法、存在的问题及原因分析</w:t>
      </w:r>
    </w:p>
    <w:p>
      <w:pPr>
        <w:spacing w:line="560" w:lineRule="exact"/>
        <w:ind w:firstLine="640" w:firstLineChars="200"/>
        <w:rPr>
          <w:rFonts w:ascii="黑体" w:hAnsi="黑体" w:eastAsia="黑体" w:cs="黑体"/>
          <w:sz w:val="32"/>
          <w:szCs w:val="32"/>
          <w:lang w:bidi="ar"/>
        </w:rPr>
      </w:pPr>
      <w:r>
        <w:rPr>
          <w:rFonts w:hint="eastAsia" w:ascii="黑体" w:hAnsi="黑体" w:eastAsia="黑体" w:cs="黑体"/>
          <w:sz w:val="32"/>
          <w:szCs w:val="32"/>
          <w:lang w:bidi="ar"/>
        </w:rPr>
        <w:t xml:space="preserve">(一）主要经验及做法 </w:t>
      </w:r>
    </w:p>
    <w:p>
      <w:pPr>
        <w:spacing w:line="560" w:lineRule="exact"/>
        <w:ind w:firstLine="640" w:firstLineChars="200"/>
        <w:rPr>
          <w:rFonts w:ascii="仿宋_GB2312" w:hAnsi="仿宋" w:eastAsia="仿宋_GB2312" w:cs="宋体"/>
          <w:bCs/>
          <w:sz w:val="32"/>
          <w:szCs w:val="32"/>
          <w:lang w:bidi="ar"/>
        </w:rPr>
      </w:pPr>
      <w:r>
        <w:rPr>
          <w:rFonts w:hint="eastAsia" w:ascii="仿宋_GB2312" w:eastAsia="仿宋_GB2312" w:cs="Times New Roman" w:hAnsiTheme="majorHAnsi"/>
          <w:b w:val="0"/>
          <w:bCs w:val="0"/>
          <w:kern w:val="2"/>
          <w:sz w:val="32"/>
          <w:szCs w:val="32"/>
          <w:lang w:val="en-US" w:eastAsia="zh-CN" w:bidi="ar"/>
        </w:rPr>
        <w:t>本项目实施效果较好的原因主要是管理制度完善、责任落实到位，跟踪考核机制完善且运行有效，在项目实施过程中创新管理办法，采用先缴后补的方式进行企业社保补贴在资金安全性方面取得良好的效果。</w:t>
      </w:r>
    </w:p>
    <w:p>
      <w:pPr>
        <w:numPr>
          <w:ilvl w:val="0"/>
          <w:numId w:val="7"/>
        </w:num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lang w:bidi="ar"/>
        </w:rPr>
        <w:t>存在的问题及原因分析</w:t>
      </w:r>
    </w:p>
    <w:p>
      <w:pPr>
        <w:pStyle w:val="25"/>
        <w:keepNext w:val="0"/>
        <w:keepLines w:val="0"/>
        <w:numPr>
          <w:ilvl w:val="0"/>
          <w:numId w:val="0"/>
        </w:numPr>
        <w:spacing w:before="0" w:after="0" w:line="560" w:lineRule="exact"/>
        <w:ind w:firstLine="640" w:firstLineChars="200"/>
        <w:outlineLvl w:val="9"/>
        <w:rPr>
          <w:rFonts w:hint="eastAsia"/>
          <w:b w:val="0"/>
          <w:bCs w:val="0"/>
          <w:lang w:bidi="ar"/>
        </w:rPr>
      </w:pPr>
      <w:r>
        <w:rPr>
          <w:rFonts w:hint="eastAsia"/>
          <w:b w:val="0"/>
          <w:bCs w:val="0"/>
          <w:lang w:bidi="ar"/>
        </w:rPr>
        <w:t>无</w:t>
      </w:r>
    </w:p>
    <w:p>
      <w:pPr>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六、有关建议</w:t>
      </w:r>
    </w:p>
    <w:p>
      <w:pPr>
        <w:pStyle w:val="23"/>
        <w:spacing w:before="0" w:after="0" w:line="560" w:lineRule="exact"/>
        <w:ind w:firstLine="640"/>
        <w:rPr>
          <w:rFonts w:hint="eastAsia"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无</w:t>
      </w:r>
    </w:p>
    <w:p>
      <w:pPr>
        <w:pStyle w:val="23"/>
        <w:spacing w:before="0" w:after="0" w:line="560" w:lineRule="exact"/>
        <w:ind w:firstLine="643"/>
        <w:rPr>
          <w:rFonts w:ascii="黑体" w:hAnsi="黑体"/>
          <w:b w:val="0"/>
          <w:bCs w:val="0"/>
        </w:rPr>
      </w:pPr>
      <w:r>
        <w:rPr>
          <w:rFonts w:hint="eastAsia" w:ascii="黑体" w:hAnsi="黑体"/>
          <w:b w:val="0"/>
          <w:bCs w:val="0"/>
        </w:rPr>
        <w:t>七、其他需要说明的问题</w:t>
      </w:r>
    </w:p>
    <w:p>
      <w:pPr>
        <w:spacing w:line="560" w:lineRule="exact"/>
        <w:ind w:firstLine="640" w:firstLineChars="200"/>
        <w:rPr>
          <w:rFonts w:ascii="仿宋_GB2312" w:hAnsi="仿宋" w:eastAsia="仿宋_GB2312" w:cs="宋体"/>
          <w:bCs/>
          <w:sz w:val="32"/>
          <w:szCs w:val="32"/>
          <w:lang w:bidi="ar"/>
        </w:rPr>
      </w:pPr>
      <w:r>
        <w:rPr>
          <w:rFonts w:hint="eastAsia" w:ascii="仿宋_GB2312" w:eastAsia="仿宋_GB2312" w:cs="Times New Roman" w:hAnsiTheme="majorHAnsi"/>
          <w:b w:val="0"/>
          <w:bCs w:val="0"/>
          <w:kern w:val="2"/>
          <w:sz w:val="32"/>
          <w:szCs w:val="32"/>
          <w:lang w:val="en-US" w:eastAsia="zh-CN" w:bidi="ar"/>
        </w:rPr>
        <w:t>该项目无其他需要说明问题</w:t>
      </w:r>
      <w:r>
        <w:rPr>
          <w:rFonts w:hint="eastAsia" w:ascii="仿宋_GB2312" w:hAnsi="仿宋" w:eastAsia="仿宋_GB2312" w:cs="宋体"/>
          <w:bCs/>
          <w:sz w:val="32"/>
          <w:szCs w:val="32"/>
          <w:lang w:bidi="ar"/>
        </w:rPr>
        <w:t>。</w:t>
      </w:r>
    </w:p>
    <w:p>
      <w:pPr>
        <w:pStyle w:val="2"/>
      </w:pP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附件1：喀什地区叶城县人社局就业资金补助项目支出绩效目标申报表</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附件2：喀什地区叶城县人社局就业资金补助项目支出绩效自评表</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附件3：喀什地区叶城县人社局就业资金补助项目支出绩效评价指标体系</w:t>
      </w:r>
    </w:p>
    <w:p>
      <w:pPr>
        <w:spacing w:before="120"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3EC64C"/>
    <w:multiLevelType w:val="singleLevel"/>
    <w:tmpl w:val="B53EC64C"/>
    <w:lvl w:ilvl="0" w:tentative="0">
      <w:start w:val="2"/>
      <w:numFmt w:val="chineseCounting"/>
      <w:suff w:val="nothing"/>
      <w:lvlText w:val="（%1）"/>
      <w:lvlJc w:val="left"/>
      <w:rPr>
        <w:rFonts w:hint="eastAsia"/>
      </w:rPr>
    </w:lvl>
  </w:abstractNum>
  <w:abstractNum w:abstractNumId="1">
    <w:nsid w:val="FF4900A8"/>
    <w:multiLevelType w:val="singleLevel"/>
    <w:tmpl w:val="FF4900A8"/>
    <w:lvl w:ilvl="0" w:tentative="0">
      <w:start w:val="2"/>
      <w:numFmt w:val="chineseCounting"/>
      <w:suff w:val="nothing"/>
      <w:lvlText w:val="（%1）"/>
      <w:lvlJc w:val="left"/>
      <w:rPr>
        <w:rFonts w:hint="eastAsia"/>
      </w:rPr>
    </w:lvl>
  </w:abstractNum>
  <w:abstractNum w:abstractNumId="2">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3">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3"/>
  </w:num>
  <w:num w:numId="2">
    <w:abstractNumId w:val="6"/>
  </w:num>
  <w:num w:numId="3">
    <w:abstractNumId w:val="4"/>
  </w:num>
  <w:num w:numId="4">
    <w:abstractNumId w:val="2"/>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oNotDisplayPageBoundaries w:val="1"/>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715"/>
    <w:rsid w:val="00022413"/>
    <w:rsid w:val="00037F93"/>
    <w:rsid w:val="00042126"/>
    <w:rsid w:val="000B5BB9"/>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41A17"/>
    <w:rsid w:val="002A1BF4"/>
    <w:rsid w:val="002B3A72"/>
    <w:rsid w:val="002C6231"/>
    <w:rsid w:val="002E2E26"/>
    <w:rsid w:val="002F7CDC"/>
    <w:rsid w:val="00324E56"/>
    <w:rsid w:val="00331AF1"/>
    <w:rsid w:val="003450E5"/>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1C26"/>
    <w:rsid w:val="00596DDF"/>
    <w:rsid w:val="005B6EAB"/>
    <w:rsid w:val="005D7AC7"/>
    <w:rsid w:val="005E67F3"/>
    <w:rsid w:val="00630E69"/>
    <w:rsid w:val="006362B2"/>
    <w:rsid w:val="0065420A"/>
    <w:rsid w:val="00661140"/>
    <w:rsid w:val="006869EC"/>
    <w:rsid w:val="00694A44"/>
    <w:rsid w:val="006D0AA4"/>
    <w:rsid w:val="006F2513"/>
    <w:rsid w:val="006F64CB"/>
    <w:rsid w:val="0071759F"/>
    <w:rsid w:val="007253B3"/>
    <w:rsid w:val="00731D46"/>
    <w:rsid w:val="00734BAD"/>
    <w:rsid w:val="00752C57"/>
    <w:rsid w:val="00781733"/>
    <w:rsid w:val="007A365A"/>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13038"/>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CB7F5F"/>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7AE4845"/>
    <w:rsid w:val="0A9F5165"/>
    <w:rsid w:val="0C23192C"/>
    <w:rsid w:val="0C480697"/>
    <w:rsid w:val="0E38761D"/>
    <w:rsid w:val="0ED2142B"/>
    <w:rsid w:val="166013C2"/>
    <w:rsid w:val="20EF2973"/>
    <w:rsid w:val="217F35A7"/>
    <w:rsid w:val="24E73B1F"/>
    <w:rsid w:val="26794C9D"/>
    <w:rsid w:val="26F03C06"/>
    <w:rsid w:val="27121BF2"/>
    <w:rsid w:val="28BE3830"/>
    <w:rsid w:val="2A547683"/>
    <w:rsid w:val="2D3D50D4"/>
    <w:rsid w:val="2E9A1B56"/>
    <w:rsid w:val="306A4501"/>
    <w:rsid w:val="31C366C0"/>
    <w:rsid w:val="33CA34B6"/>
    <w:rsid w:val="34B11731"/>
    <w:rsid w:val="37AA3FC0"/>
    <w:rsid w:val="3B0F5056"/>
    <w:rsid w:val="3BC01B4C"/>
    <w:rsid w:val="3EDF2951"/>
    <w:rsid w:val="41A95722"/>
    <w:rsid w:val="440315A7"/>
    <w:rsid w:val="468679D8"/>
    <w:rsid w:val="46C16BC4"/>
    <w:rsid w:val="480538EF"/>
    <w:rsid w:val="49CA66DD"/>
    <w:rsid w:val="4C676BB6"/>
    <w:rsid w:val="509F44DE"/>
    <w:rsid w:val="55945462"/>
    <w:rsid w:val="569C10C9"/>
    <w:rsid w:val="57964064"/>
    <w:rsid w:val="57F82388"/>
    <w:rsid w:val="5A781A20"/>
    <w:rsid w:val="5EA003CF"/>
    <w:rsid w:val="60870245"/>
    <w:rsid w:val="667765BF"/>
    <w:rsid w:val="67C474FE"/>
    <w:rsid w:val="689D779D"/>
    <w:rsid w:val="68AC0EA3"/>
    <w:rsid w:val="6B6905CF"/>
    <w:rsid w:val="70C44C97"/>
    <w:rsid w:val="7775238E"/>
    <w:rsid w:val="784B230E"/>
    <w:rsid w:val="7A8638D9"/>
    <w:rsid w:val="7B920FED"/>
    <w:rsid w:val="7EE4114E"/>
    <w:rsid w:val="7F756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2"/>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标题 1 Char"/>
    <w:basedOn w:val="13"/>
    <w:link w:val="2"/>
    <w:qFormat/>
    <w:uiPriority w:val="9"/>
    <w:rPr>
      <w:rFonts w:ascii="Times New Roman" w:hAnsi="Times New Roman" w:eastAsia="黑体" w:cs="Arial"/>
      <w:b/>
      <w:bCs/>
      <w:kern w:val="44"/>
      <w:sz w:val="28"/>
      <w:szCs w:val="44"/>
    </w:rPr>
  </w:style>
  <w:style w:type="paragraph" w:customStyle="1" w:styleId="19">
    <w:name w:val="列出段落1"/>
    <w:basedOn w:val="1"/>
    <w:qFormat/>
    <w:uiPriority w:val="34"/>
    <w:pPr>
      <w:ind w:firstLine="420" w:firstLineChars="200"/>
    </w:pPr>
  </w:style>
  <w:style w:type="character" w:customStyle="1" w:styleId="20">
    <w:name w:val="页眉 Char"/>
    <w:basedOn w:val="13"/>
    <w:link w:val="9"/>
    <w:qFormat/>
    <w:uiPriority w:val="99"/>
    <w:rPr>
      <w:sz w:val="18"/>
      <w:szCs w:val="18"/>
    </w:rPr>
  </w:style>
  <w:style w:type="character" w:customStyle="1" w:styleId="21">
    <w:name w:val="页脚 Char"/>
    <w:basedOn w:val="13"/>
    <w:link w:val="8"/>
    <w:qFormat/>
    <w:uiPriority w:val="99"/>
    <w:rPr>
      <w:sz w:val="18"/>
      <w:szCs w:val="18"/>
    </w:rPr>
  </w:style>
  <w:style w:type="character" w:customStyle="1" w:styleId="22">
    <w:name w:val="批注框文本 Char"/>
    <w:basedOn w:val="13"/>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3"/>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3"/>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3"/>
    <w:link w:val="35"/>
    <w:unhideWhenUsed/>
    <w:qFormat/>
    <w:uiPriority w:val="0"/>
    <w:rPr>
      <w:rFonts w:ascii="MingLiU" w:hAnsi="MingLiU" w:eastAsia="MingLiU" w:cs="MingLiU"/>
      <w:sz w:val="20"/>
      <w:szCs w:val="20"/>
      <w:lang w:val="zh-TW" w:eastAsia="zh-TW" w:bidi="zh-TW"/>
    </w:rPr>
  </w:style>
  <w:style w:type="paragraph" w:styleId="3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829FCF-A299-4B86-98E9-3142DE5A0DA7}">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11</Pages>
  <Words>712</Words>
  <Characters>4060</Characters>
  <Lines>33</Lines>
  <Paragraphs>9</Paragraphs>
  <TotalTime>26</TotalTime>
  <ScaleCrop>false</ScaleCrop>
  <LinksUpToDate>false</LinksUpToDate>
  <CharactersWithSpaces>4763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2020-05-01T11:15:00Z</dcterms:created>
  <dc:creator>ThinkPad</dc:creator>
  <cp:lastModifiedBy>yaoqin</cp:lastModifiedBy>
  <dcterms:modified xsi:type="dcterms:W3CDTF">2011-01-07T00:21:49Z</dcterms:modified>
  <dc:title>新疆普天鹏华商务信息咨询有限公司</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