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r>
        <w:rPr>
          <w:rFonts w:hint="eastAsia" w:ascii="方正小标宋简体" w:eastAsia="方正小标宋简体"/>
          <w:sz w:val="44"/>
          <w:szCs w:val="44"/>
        </w:rPr>
        <w:t>喀什地区叶城县人民医院门诊楼建设项目支出绩效评价报告</w:t>
      </w: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autoSpaceDE w:val="0"/>
        <w:autoSpaceDN w:val="0"/>
        <w:spacing w:line="540" w:lineRule="exact"/>
        <w:ind w:firstLine="712" w:firstLineChars="200"/>
        <w:rPr>
          <w:rFonts w:hint="eastAsia"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项目名称：叶城县人民医院门诊楼建设项目</w:t>
      </w:r>
    </w:p>
    <w:p>
      <w:pPr>
        <w:autoSpaceDE w:val="0"/>
        <w:autoSpaceDN w:val="0"/>
        <w:spacing w:line="540" w:lineRule="exact"/>
        <w:ind w:firstLine="712" w:firstLineChars="200"/>
        <w:rPr>
          <w:rFonts w:hint="eastAsia" w:ascii="仿宋_GB2312" w:hAnsi="仿宋" w:eastAsia="仿宋_GB2312" w:cs="Times New Roman"/>
          <w:spacing w:val="-2"/>
          <w:sz w:val="36"/>
          <w:szCs w:val="36"/>
          <w:lang w:val="en-US" w:eastAsia="zh-CN"/>
        </w:rPr>
      </w:pPr>
      <w:r>
        <w:rPr>
          <w:rFonts w:hint="eastAsia" w:ascii="仿宋_GB2312" w:hAnsi="仿宋" w:eastAsia="仿宋_GB2312" w:cs="Times New Roman"/>
          <w:spacing w:val="-2"/>
          <w:sz w:val="36"/>
          <w:szCs w:val="36"/>
        </w:rPr>
        <w:t>实施单位</w:t>
      </w:r>
      <w:r>
        <w:rPr>
          <w:rFonts w:hint="eastAsia" w:ascii="仿宋_GB2312" w:hAnsi="仿宋" w:eastAsia="仿宋_GB2312" w:cs="Times New Roman"/>
          <w:spacing w:val="-2"/>
          <w:sz w:val="36"/>
          <w:szCs w:val="36"/>
          <w:lang w:val="en-US" w:eastAsia="zh-CN"/>
        </w:rPr>
        <w:t>:叶城县人民医院</w:t>
      </w:r>
    </w:p>
    <w:p>
      <w:pPr>
        <w:autoSpaceDE w:val="0"/>
        <w:autoSpaceDN w:val="0"/>
        <w:spacing w:line="540" w:lineRule="exact"/>
        <w:ind w:firstLine="712" w:firstLineChars="200"/>
        <w:rPr>
          <w:rFonts w:hint="default" w:ascii="仿宋_GB2312" w:hAnsi="仿宋" w:eastAsia="仿宋_GB2312" w:cs="Times New Roman"/>
          <w:spacing w:val="-2"/>
          <w:sz w:val="36"/>
          <w:szCs w:val="36"/>
          <w:lang w:val="en-US" w:eastAsia="zh-CN"/>
        </w:rPr>
      </w:pPr>
      <w:r>
        <w:rPr>
          <w:rFonts w:hint="eastAsia" w:ascii="仿宋_GB2312" w:hAnsi="仿宋" w:eastAsia="仿宋_GB2312" w:cs="Times New Roman"/>
          <w:spacing w:val="-2"/>
          <w:sz w:val="36"/>
          <w:szCs w:val="36"/>
        </w:rPr>
        <w:t>评价部门：</w:t>
      </w:r>
      <w:r>
        <w:rPr>
          <w:rFonts w:hint="eastAsia" w:ascii="仿宋_GB2312" w:hAnsi="仿宋" w:eastAsia="仿宋_GB2312" w:cs="Times New Roman"/>
          <w:spacing w:val="-2"/>
          <w:sz w:val="36"/>
          <w:szCs w:val="36"/>
          <w:lang w:val="en-US" w:eastAsia="zh-CN"/>
        </w:rPr>
        <w:t>叶城县卫生健康委员会</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56" w:beforeLines="50" w:line="0" w:lineRule="atLeast"/>
        <w:jc w:val="left"/>
        <w:rPr>
          <w:sz w:val="28"/>
          <w:szCs w:val="28"/>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pStyle w:val="22"/>
        <w:numPr>
          <w:ilvl w:val="0"/>
          <w:numId w:val="2"/>
        </w:numPr>
        <w:ind w:firstLineChars="0"/>
        <w:rPr>
          <w:lang w:bidi="ar"/>
        </w:rPr>
      </w:pPr>
      <w:r>
        <w:rPr>
          <w:rFonts w:hint="eastAsia"/>
          <w:lang w:bidi="ar"/>
        </w:rPr>
        <w:t>基本情况</w:t>
      </w:r>
    </w:p>
    <w:p>
      <w:pPr>
        <w:pStyle w:val="24"/>
        <w:ind w:left="0" w:firstLine="643" w:firstLineChars="200"/>
        <w:rPr>
          <w:lang w:bidi="ar"/>
        </w:rPr>
      </w:pPr>
      <w:bookmarkStart w:id="0" w:name="_Toc26401549"/>
      <w:r>
        <w:rPr>
          <w:rFonts w:hint="eastAsia"/>
          <w:lang w:bidi="ar"/>
        </w:rPr>
        <w:t>项目概况</w:t>
      </w:r>
      <w:bookmarkEnd w:id="0"/>
    </w:p>
    <w:p>
      <w:pPr>
        <w:pStyle w:val="18"/>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项目背景及立项依据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eastAsia="zh-CN" w:bidi="ar"/>
        </w:rPr>
        <w:t>本项目根据《自治区发展改革委关于下达全民健康保障工程</w:t>
      </w:r>
      <w:r>
        <w:rPr>
          <w:rFonts w:hint="eastAsia" w:ascii="仿宋_GB2312" w:hAnsi="仿宋" w:eastAsia="仿宋_GB2312" w:cs="宋体"/>
          <w:sz w:val="32"/>
          <w:szCs w:val="32"/>
          <w:lang w:val="en-US" w:eastAsia="zh-CN" w:bidi="ar"/>
        </w:rPr>
        <w:t>2019年中央预算内投资计划的通知</w:t>
      </w:r>
      <w:r>
        <w:rPr>
          <w:rFonts w:hint="eastAsia" w:ascii="仿宋_GB2312" w:hAnsi="仿宋" w:eastAsia="仿宋_GB2312" w:cs="宋体"/>
          <w:sz w:val="32"/>
          <w:szCs w:val="32"/>
          <w:lang w:eastAsia="zh-CN" w:bidi="ar"/>
        </w:rPr>
        <w:t>》（新发改投资【</w:t>
      </w:r>
      <w:r>
        <w:rPr>
          <w:rFonts w:hint="eastAsia" w:ascii="仿宋_GB2312" w:hAnsi="仿宋" w:eastAsia="仿宋_GB2312" w:cs="宋体"/>
          <w:sz w:val="32"/>
          <w:szCs w:val="32"/>
          <w:lang w:val="en-US" w:eastAsia="zh-CN" w:bidi="ar"/>
        </w:rPr>
        <w:t>2019</w:t>
      </w:r>
      <w:r>
        <w:rPr>
          <w:rFonts w:hint="eastAsia" w:ascii="仿宋_GB2312" w:hAnsi="仿宋" w:eastAsia="仿宋_GB2312" w:cs="宋体"/>
          <w:sz w:val="32"/>
          <w:szCs w:val="32"/>
          <w:lang w:eastAsia="zh-CN" w:bidi="ar"/>
        </w:rPr>
        <w:t>】</w:t>
      </w:r>
      <w:r>
        <w:rPr>
          <w:rFonts w:hint="eastAsia" w:ascii="仿宋_GB2312" w:hAnsi="仿宋" w:eastAsia="仿宋_GB2312" w:cs="宋体"/>
          <w:sz w:val="32"/>
          <w:szCs w:val="32"/>
          <w:lang w:val="en-US" w:eastAsia="zh-CN" w:bidi="ar"/>
        </w:rPr>
        <w:t>187号精神</w:t>
      </w:r>
      <w:r>
        <w:rPr>
          <w:rFonts w:hint="eastAsia" w:ascii="仿宋_GB2312" w:hAnsi="仿宋" w:eastAsia="仿宋_GB2312" w:cs="宋体"/>
          <w:sz w:val="32"/>
          <w:szCs w:val="32"/>
          <w:lang w:eastAsia="zh-CN" w:bidi="ar"/>
        </w:rPr>
        <w:t>）立项，为了进一步完善叶城县人民医院的医疗设施，进一步解决人民群众看病就医困难，提高叶城县人民医院就医健康水平。</w:t>
      </w:r>
    </w:p>
    <w:p>
      <w:pPr>
        <w:pStyle w:val="18"/>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项目主要内容及实施情况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bidi="ar"/>
        </w:rPr>
        <w:t xml:space="preserve"> </w:t>
      </w:r>
      <w:r>
        <w:rPr>
          <w:rFonts w:hint="eastAsia" w:ascii="仿宋_GB2312" w:hAnsi="仿宋" w:eastAsia="仿宋_GB2312" w:cs="宋体"/>
          <w:sz w:val="32"/>
          <w:szCs w:val="32"/>
          <w:lang w:eastAsia="zh-CN" w:bidi="ar"/>
        </w:rPr>
        <w:t>项目的主要内容为：本项目的主管部门为叶城县卫生健康委员会,实施单位为叶城县人民医院，叶城县人民医院切实强化工程建设管理，严格落实项目法人责任制、招投标制、合同管理制和工程监理制，要加强对工程质量和建设进度的监督管理，确保项目有效实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eastAsia="zh-CN" w:bidi="ar"/>
        </w:rPr>
        <w:t>项目的实施情况：本项目自</w:t>
      </w:r>
      <w:r>
        <w:rPr>
          <w:rFonts w:hint="eastAsia" w:ascii="仿宋_GB2312" w:hAnsi="仿宋" w:eastAsia="仿宋_GB2312" w:cs="宋体"/>
          <w:sz w:val="32"/>
          <w:szCs w:val="32"/>
          <w:lang w:val="en-US" w:eastAsia="zh-CN" w:bidi="ar"/>
        </w:rPr>
        <w:t>2019</w:t>
      </w:r>
      <w:r>
        <w:rPr>
          <w:rFonts w:hint="eastAsia" w:ascii="仿宋_GB2312" w:hAnsi="仿宋" w:eastAsia="仿宋_GB2312" w:cs="宋体"/>
          <w:sz w:val="32"/>
          <w:szCs w:val="32"/>
          <w:lang w:eastAsia="zh-CN" w:bidi="ar"/>
        </w:rPr>
        <w:t>年</w:t>
      </w:r>
      <w:r>
        <w:rPr>
          <w:rFonts w:hint="eastAsia" w:ascii="仿宋_GB2312" w:hAnsi="仿宋" w:eastAsia="仿宋_GB2312" w:cs="宋体"/>
          <w:sz w:val="32"/>
          <w:szCs w:val="32"/>
          <w:lang w:val="en-US" w:eastAsia="zh-CN" w:bidi="ar"/>
        </w:rPr>
        <w:t>02</w:t>
      </w:r>
      <w:r>
        <w:rPr>
          <w:rFonts w:hint="eastAsia" w:ascii="仿宋_GB2312" w:hAnsi="仿宋" w:eastAsia="仿宋_GB2312" w:cs="宋体"/>
          <w:sz w:val="32"/>
          <w:szCs w:val="32"/>
          <w:lang w:eastAsia="zh-CN" w:bidi="ar"/>
        </w:rPr>
        <w:t>月</w:t>
      </w:r>
      <w:r>
        <w:rPr>
          <w:rFonts w:hint="eastAsia" w:ascii="仿宋_GB2312" w:hAnsi="仿宋" w:eastAsia="仿宋_GB2312" w:cs="宋体"/>
          <w:sz w:val="32"/>
          <w:szCs w:val="32"/>
          <w:lang w:val="en-US" w:eastAsia="zh-CN" w:bidi="ar"/>
        </w:rPr>
        <w:t>15</w:t>
      </w:r>
      <w:r>
        <w:rPr>
          <w:rFonts w:hint="eastAsia" w:ascii="仿宋_GB2312" w:hAnsi="仿宋" w:eastAsia="仿宋_GB2312" w:cs="宋体"/>
          <w:sz w:val="32"/>
          <w:szCs w:val="32"/>
          <w:lang w:eastAsia="zh-CN" w:bidi="ar"/>
        </w:rPr>
        <w:t>日经叶发改投资【</w:t>
      </w:r>
      <w:r>
        <w:rPr>
          <w:rFonts w:hint="eastAsia" w:ascii="仿宋_GB2312" w:hAnsi="仿宋" w:eastAsia="仿宋_GB2312" w:cs="宋体"/>
          <w:sz w:val="32"/>
          <w:szCs w:val="32"/>
          <w:lang w:val="en-US" w:eastAsia="zh-CN" w:bidi="ar"/>
        </w:rPr>
        <w:t>2019</w:t>
      </w:r>
      <w:r>
        <w:rPr>
          <w:rFonts w:hint="eastAsia" w:ascii="仿宋_GB2312" w:hAnsi="仿宋" w:eastAsia="仿宋_GB2312" w:cs="宋体"/>
          <w:sz w:val="32"/>
          <w:szCs w:val="32"/>
          <w:lang w:eastAsia="zh-CN" w:bidi="ar"/>
        </w:rPr>
        <w:t>】</w:t>
      </w:r>
      <w:r>
        <w:rPr>
          <w:rFonts w:hint="eastAsia" w:ascii="仿宋_GB2312" w:hAnsi="仿宋" w:eastAsia="仿宋_GB2312" w:cs="宋体"/>
          <w:sz w:val="32"/>
          <w:szCs w:val="32"/>
          <w:lang w:val="en-US" w:eastAsia="zh-CN" w:bidi="ar"/>
        </w:rPr>
        <w:t>047号</w:t>
      </w:r>
      <w:r>
        <w:rPr>
          <w:rFonts w:hint="eastAsia" w:ascii="仿宋_GB2312" w:hAnsi="仿宋" w:eastAsia="仿宋_GB2312" w:cs="宋体"/>
          <w:sz w:val="32"/>
          <w:szCs w:val="32"/>
          <w:lang w:eastAsia="zh-CN" w:bidi="ar"/>
        </w:rPr>
        <w:t>文件批复，经叶城县人民医院院长办公会议，确定了项目领导小组，明确了责任分工：组长；王晓泽</w:t>
      </w:r>
      <w:r>
        <w:rPr>
          <w:rFonts w:hint="eastAsia" w:ascii="仿宋_GB2312" w:hAnsi="仿宋" w:eastAsia="仿宋_GB2312" w:cs="宋体"/>
          <w:sz w:val="32"/>
          <w:szCs w:val="32"/>
          <w:lang w:val="en-US" w:eastAsia="zh-CN" w:bidi="ar"/>
        </w:rPr>
        <w:t xml:space="preserve">  副组长；刘本桥  成员；王雅倩、高登位、何春雨。</w:t>
      </w:r>
      <w:r>
        <w:rPr>
          <w:rFonts w:hint="eastAsia" w:ascii="仿宋_GB2312" w:hAnsi="仿宋" w:eastAsia="仿宋_GB2312" w:cs="宋体"/>
          <w:sz w:val="32"/>
          <w:szCs w:val="32"/>
          <w:lang w:eastAsia="zh-CN" w:bidi="ar"/>
        </w:rPr>
        <w:t>由中盛弘宇建设科技有限公司完成项目初步设计，编制了实施方案，项目采用公开招标方式确定施工单位为叶城县人民医院，并签订了项目合同，监理方为巴州智成工程项目管理服务有限公司并签订了监理合同。项目进行了验收并合格，项目未竣工决算并移交使用。项目实施过程中制定了建设管理、资金管理等制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3.项目负责人为刘本桥，主要职责为叶城县门诊楼建设项目督促其进度、监管其建设质量，依法尽快落实相关项目前期手续，争取早日开工实施，争取早日竣工，工程建设项目严格按照基本建设程序，全面履行、实施公司与我院签订的工程合同，做好项目内部管理，按照有关规定及时上报各项资料。</w:t>
      </w:r>
    </w:p>
    <w:p>
      <w:pPr>
        <w:pStyle w:val="24"/>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highlight w:val="none"/>
          <w:lang w:bidi="ar"/>
        </w:rPr>
      </w:pPr>
      <w:bookmarkStart w:id="1" w:name="_Toc26401550"/>
      <w:r>
        <w:rPr>
          <w:rFonts w:hint="eastAsia"/>
          <w:highlight w:val="none"/>
          <w:lang w:bidi="ar"/>
        </w:rPr>
        <w:t>资金</w:t>
      </w:r>
      <w:bookmarkEnd w:id="1"/>
      <w:r>
        <w:rPr>
          <w:rFonts w:hint="eastAsia"/>
          <w:highlight w:val="none"/>
          <w:lang w:bidi="ar"/>
        </w:rPr>
        <w:t>投入和使用情况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Times New Roman"/>
          <w:sz w:val="32"/>
          <w:szCs w:val="32"/>
          <w:lang w:val="en-US" w:eastAsia="zh-CN"/>
        </w:rPr>
        <w:t>1、资</w:t>
      </w:r>
      <w:r>
        <w:rPr>
          <w:rFonts w:hint="eastAsia" w:ascii="仿宋_GB2312" w:hAnsi="仿宋" w:eastAsia="仿宋_GB2312" w:cs="宋体"/>
          <w:sz w:val="32"/>
          <w:szCs w:val="32"/>
          <w:lang w:val="en-US" w:eastAsia="zh-CN" w:bidi="ar"/>
        </w:rPr>
        <w:t>金到位情况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宋体"/>
          <w:sz w:val="32"/>
          <w:szCs w:val="32"/>
          <w:lang w:val="en-US" w:eastAsia="zh-CN" w:bidi="ar"/>
        </w:rPr>
        <w:t>根据喀地财建【2019】38号新财建【2019】60号要求，本项目资金388.98万元，其中财政资金388.98万元，其他资金0万元，资金到位388.98万元；资金到位率100%。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2、资金执行情况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根据喀地财建【2019】38号新财建【2019】60号，本项目总资金388.98万元，实际支付资金388.98万元，预算执行率100%</w:t>
      </w:r>
      <w:r>
        <w:rPr>
          <w:rFonts w:hint="eastAsia" w:ascii="仿宋_GB2312" w:hAnsi="仿宋" w:cs="Times New Roman"/>
          <w:sz w:val="32"/>
          <w:szCs w:val="32"/>
          <w:lang w:val="en-US" w:eastAsia="zh-CN"/>
        </w:rPr>
        <w:t>，</w:t>
      </w:r>
      <w:r>
        <w:rPr>
          <w:rFonts w:hint="eastAsia" w:ascii="仿宋_GB2312" w:hAnsi="仿宋" w:eastAsia="仿宋_GB2312" w:cs="Times New Roman"/>
          <w:sz w:val="32"/>
          <w:szCs w:val="32"/>
          <w:lang w:val="en-US" w:eastAsia="zh-CN"/>
        </w:rPr>
        <w:t>项目资金主要用于支付叶城县人民医院门诊楼建设项目费用388.98万元。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3、资金管理制度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本项目资金严格按照中央资金管理办法和县财政资金管理制度支付资金；资金支付由分管地区领导、主管财务地区领导、县财政局等各级部门审批审核；资金的支付有完整的审批程序和手续符合制度要求；不存在截留、挤占、挪用、虚列支出等情况。</w:t>
      </w:r>
    </w:p>
    <w:p>
      <w:pPr>
        <w:pStyle w:val="24"/>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bookmarkStart w:id="2" w:name="_Toc26401551"/>
      <w:r>
        <w:rPr>
          <w:rFonts w:hint="eastAsia"/>
          <w:lang w:bidi="ar"/>
        </w:rPr>
        <w:t>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总体目标为： 医院业务用房建设面积2800平米，全面改善医疗卫生基础设施建设，提升医疗卫生服务能力，不断提高人民群众的获得感和幸福感，项目完成后将进一步完善叶城县人民的医疗服务体系，提高叶城县人民的医疗水平，保障人民的治疗环境，对叶城县人民的健康保障具有极大的推动作用。</w:t>
      </w:r>
    </w:p>
    <w:p>
      <w:pPr>
        <w:pStyle w:val="22"/>
        <w:keepNext w:val="0"/>
        <w:keepLines w:val="0"/>
        <w:pageBreakBefore w:val="0"/>
        <w:widowControl w:val="0"/>
        <w:numPr>
          <w:ilvl w:val="0"/>
          <w:numId w:val="2"/>
        </w:numPr>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bookmarkStart w:id="3" w:name="_Toc26401552"/>
      <w:r>
        <w:rPr>
          <w:rFonts w:hint="eastAsia"/>
          <w:lang w:bidi="ar"/>
        </w:rPr>
        <w:t>评价工作简述</w:t>
      </w:r>
      <w:bookmarkEnd w:id="3"/>
    </w:p>
    <w:p>
      <w:pPr>
        <w:pStyle w:val="24"/>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bookmarkStart w:id="4" w:name="_Toc26401553"/>
      <w:r>
        <w:rPr>
          <w:rFonts w:hint="eastAsia"/>
          <w:lang w:bidi="ar"/>
        </w:rPr>
        <w:t>评价目的</w:t>
      </w:r>
      <w:bookmarkEnd w:id="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本次绩效评价遵循财政部《项目支出绩效评价管理办法》（财预〔2020〕10号）和自治区财政厅《自治区财政支出绩效评价管理暂行办法》（新财预〔2018〕189号）等相关政策文件与规定，旨在喀什地区叶城县人民医院门诊楼建设项目实施前期、过程及效果，评价财政预算资金使用的效率及效益。本次评价从叶城县人民医院门诊楼建设项目产生的效果角度出发,力求从绩效的角度发现2020年度叶城县人民医院门诊楼建设项目中取得的成绩和产生的问题,优化财政支出管理改革,为下一步实施绩效预算奠定基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宋体"/>
          <w:color w:val="000000" w:themeColor="text1"/>
          <w:sz w:val="32"/>
          <w:szCs w:val="32"/>
          <w:highlight w:val="none"/>
          <w:lang w:eastAsia="zh-CN" w:bidi="ar"/>
          <w14:textFill>
            <w14:solidFill>
              <w14:schemeClr w14:val="tx1"/>
            </w14:solidFill>
          </w14:textFill>
        </w:rPr>
        <w:t>1.通</w:t>
      </w:r>
      <w:r>
        <w:rPr>
          <w:rFonts w:hint="eastAsia" w:ascii="仿宋_GB2312" w:hAnsi="仿宋" w:eastAsia="仿宋_GB2312" w:cs="Times New Roman"/>
          <w:sz w:val="32"/>
          <w:szCs w:val="32"/>
          <w:lang w:val="en-US" w:eastAsia="zh-CN"/>
        </w:rPr>
        <w:t>过评价,了解2019年度叶城县人民医院门诊楼建设项目的基本情况对项目背景和目的、项目内容和现状、项目预算做深入调研和分析;根据建设项目对社会的影响分析、项目与所在地区互适性分析和社会风险分析,可以看出,建设项目具有显著的社会效益,必受多方关注和支持,虽然在建设过程甚至运营期间都会产生一些负面影响,但是,只要措施得当,一定能将负面影响降到最低,使其正面影响最大化,实现项目建设的预期目标综合多方位的调查研究得出结论,本项目与叶城县的社会和经济发展水平相适应,具有很强的社会效益,项目的社会评价可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宋体"/>
          <w:color w:val="000000" w:themeColor="text1"/>
          <w:sz w:val="32"/>
          <w:szCs w:val="32"/>
          <w:highlight w:val="none"/>
          <w:lang w:eastAsia="zh-CN" w:bidi="ar"/>
          <w14:textFill>
            <w14:solidFill>
              <w14:schemeClr w14:val="tx1"/>
            </w14:solidFill>
          </w14:textFill>
        </w:rPr>
        <w:t>2.通</w:t>
      </w:r>
      <w:r>
        <w:rPr>
          <w:rFonts w:hint="eastAsia" w:ascii="仿宋_GB2312" w:hAnsi="仿宋" w:eastAsia="仿宋_GB2312" w:cs="Times New Roman"/>
          <w:sz w:val="32"/>
          <w:szCs w:val="32"/>
          <w:lang w:val="en-US" w:eastAsia="zh-CN"/>
        </w:rPr>
        <w:t>过评价,了解2019年度叶城县人民医院门诊楼建设项目的产出和效果情况,及整体绩效状况。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宋体"/>
          <w:color w:val="000000" w:themeColor="text1"/>
          <w:sz w:val="32"/>
          <w:szCs w:val="32"/>
          <w:highlight w:val="none"/>
          <w:lang w:eastAsia="zh-CN" w:bidi="ar"/>
          <w14:textFill>
            <w14:solidFill>
              <w14:schemeClr w14:val="tx1"/>
            </w14:solidFill>
          </w14:textFill>
        </w:rPr>
        <w:t>3,通</w:t>
      </w:r>
      <w:r>
        <w:rPr>
          <w:rFonts w:hint="eastAsia" w:ascii="仿宋_GB2312" w:hAnsi="仿宋" w:eastAsia="仿宋_GB2312" w:cs="Times New Roman"/>
          <w:sz w:val="32"/>
          <w:szCs w:val="32"/>
          <w:lang w:val="en-US" w:eastAsia="zh-CN"/>
        </w:rPr>
        <w:t>过评价,发掘2019年度叶城县人民医院门诊楼建设项目所产生的现实意义和实际价值:实现项目建设的预期目标综合多方位的调查研究得出结论,本项目与叶城县的社会和经济发展水平相适应,具有很强的社会效益,项目的社会评价可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宋体"/>
          <w:color w:val="000000" w:themeColor="text1"/>
          <w:sz w:val="32"/>
          <w:szCs w:val="32"/>
          <w:highlight w:val="none"/>
          <w:lang w:eastAsia="zh-CN" w:bidi="ar"/>
          <w14:textFill>
            <w14:solidFill>
              <w14:schemeClr w14:val="tx1"/>
            </w14:solidFill>
          </w14:textFill>
        </w:rPr>
        <w:t>4,通</w:t>
      </w:r>
      <w:r>
        <w:rPr>
          <w:rFonts w:hint="eastAsia" w:ascii="仿宋_GB2312" w:hAnsi="仿宋" w:eastAsia="仿宋_GB2312" w:cs="Times New Roman"/>
          <w:sz w:val="32"/>
          <w:szCs w:val="32"/>
          <w:lang w:val="en-US" w:eastAsia="zh-CN"/>
        </w:rPr>
        <w:t>过评价,从绩效的角度发现该项目在决策、实施和管理过程中存在的问题,寻求解决方案,为进一步深化项目管理工作提供依据,以促进叶城县人民的医疗服务体系，提高叶城县人民的医疗水平，保障人民的治疗环境，对叶城县人民的健康保障具有极大的推动作用。</w:t>
      </w:r>
    </w:p>
    <w:p>
      <w:pPr>
        <w:pStyle w:val="24"/>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r>
        <w:rPr>
          <w:rFonts w:hint="eastAsia"/>
          <w:lang w:bidi="ar"/>
        </w:rPr>
        <w:t>本次绩效评价的对象及范围</w:t>
      </w:r>
      <w:bookmarkStart w:id="5" w:name="_Toc2640155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本次评价对象为叶城县人民医院门诊楼建设项目资金，评价范围包括专项资金的安排、组织及使用效益，编制《项目建议书》并报批，编制《可行性研究报告》和审批，办理专业评估报告，计划立项，办理建筑用地许可证和国土证，设计招标，方案设计，地震动参数报告，初步设计和概算编制，办理规划许可证，地质勘察，施工图设计和审查，消防审核，施工场地“七通一平”，取得建筑工程施工许可证，组织预算编制和预算送审。</w:t>
      </w:r>
    </w:p>
    <w:p>
      <w:pPr>
        <w:pStyle w:val="24"/>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r>
        <w:rPr>
          <w:rFonts w:hint="eastAsia"/>
          <w:lang w:bidi="ar"/>
        </w:rPr>
        <w:t>绩效评价原则</w:t>
      </w:r>
      <w:bookmarkEnd w:id="5"/>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本</w:t>
      </w:r>
      <w:r>
        <w:rPr>
          <w:rFonts w:hint="eastAsia" w:ascii="仿宋_GB2312" w:hAnsi="仿宋" w:eastAsia="仿宋_GB2312" w:cs="Times New Roman"/>
          <w:sz w:val="32"/>
          <w:szCs w:val="32"/>
          <w:lang w:val="en-US" w:eastAsia="zh-CN"/>
        </w:rPr>
        <w:t>次绩效评价遵循的原则包括</w:t>
      </w:r>
      <w:r>
        <w:rPr>
          <w:rFonts w:hint="eastAsia" w:ascii="仿宋_GB2312" w:hAnsi="仿宋" w:eastAsia="仿宋_GB2312" w:cs="宋体"/>
          <w:sz w:val="32"/>
          <w:szCs w:val="32"/>
          <w:lang w:bidi="ar"/>
        </w:rPr>
        <w:t>：</w:t>
      </w:r>
    </w:p>
    <w:p>
      <w:pPr>
        <w:pStyle w:val="24"/>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leftChars="0" w:firstLine="640" w:firstLineChars="200"/>
        <w:textAlignment w:val="auto"/>
        <w:rPr>
          <w:rFonts w:hAnsi="仿宋" w:cs="宋体"/>
          <w:b w:val="0"/>
          <w:lang w:bidi="ar"/>
        </w:rPr>
      </w:pPr>
      <w:r>
        <w:rPr>
          <w:rFonts w:hint="eastAsia" w:hAnsi="仿宋" w:cs="宋体"/>
          <w:b w:val="0"/>
          <w:lang w:bidi="ar"/>
        </w:rPr>
        <w:t>科</w:t>
      </w:r>
      <w:r>
        <w:rPr>
          <w:rFonts w:hint="eastAsia" w:ascii="仿宋_GB2312" w:hAnsi="仿宋" w:eastAsia="仿宋_GB2312" w:cs="Times New Roman"/>
          <w:b w:val="0"/>
          <w:bCs w:val="0"/>
          <w:kern w:val="2"/>
          <w:sz w:val="32"/>
          <w:szCs w:val="32"/>
          <w:lang w:val="en-US" w:eastAsia="zh-CN" w:bidi="ar-SA"/>
        </w:rPr>
        <w:t>学公正。绩效评价应当运用科学合理的方法，按照规范的程序，对项目绩效进行客观、公正的反映。</w:t>
      </w:r>
    </w:p>
    <w:p>
      <w:pPr>
        <w:pStyle w:val="24"/>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hAnsi="仿宋" w:cs="宋体"/>
          <w:b w:val="0"/>
          <w:lang w:bidi="ar"/>
        </w:rPr>
        <w:t>统</w:t>
      </w:r>
      <w:r>
        <w:rPr>
          <w:rFonts w:hint="eastAsia" w:ascii="仿宋_GB2312" w:hAnsi="仿宋" w:eastAsia="仿宋_GB2312" w:cs="Times New Roman"/>
          <w:b w:val="0"/>
          <w:bCs w:val="0"/>
          <w:kern w:val="2"/>
          <w:sz w:val="32"/>
          <w:szCs w:val="32"/>
          <w:lang w:val="en-US" w:eastAsia="zh-CN" w:bidi="ar-SA"/>
        </w:rPr>
        <w:t>筹兼顾。单位自评、部门评价和财政评价应职责明确，各有侧重，相互衔接。单位自评应由项目单位自主实施，即“谁支出、谁自评”。部门评价和财政评价应在单位自评的基础上开展，必要时可委托安徽环球工程咨询有限公司进行实施。</w:t>
      </w:r>
    </w:p>
    <w:p>
      <w:pPr>
        <w:pStyle w:val="24"/>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hAnsi="仿宋" w:cs="宋体"/>
          <w:b w:val="0"/>
          <w:lang w:bidi="ar"/>
        </w:rPr>
        <w:t>激</w:t>
      </w:r>
      <w:r>
        <w:rPr>
          <w:rFonts w:hint="eastAsia" w:ascii="仿宋_GB2312" w:hAnsi="仿宋" w:eastAsia="仿宋_GB2312" w:cs="Times New Roman"/>
          <w:b w:val="0"/>
          <w:bCs w:val="0"/>
          <w:kern w:val="2"/>
          <w:sz w:val="32"/>
          <w:szCs w:val="32"/>
          <w:lang w:val="en-US" w:eastAsia="zh-CN" w:bidi="ar-SA"/>
        </w:rPr>
        <w:t>励约束。绩效评价结果应与预算安排、政策调整、改进管理实质性挂钩，体现奖优罚劣和激励相容导向，有效要安排、低效要压减、无效要问责。</w:t>
      </w:r>
    </w:p>
    <w:p>
      <w:pPr>
        <w:pStyle w:val="24"/>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hAnsi="仿宋" w:cs="宋体"/>
          <w:b w:val="0"/>
          <w:lang w:bidi="ar"/>
        </w:rPr>
        <w:t>公</w:t>
      </w:r>
      <w:r>
        <w:rPr>
          <w:rFonts w:hint="eastAsia" w:ascii="仿宋_GB2312" w:hAnsi="仿宋" w:eastAsia="仿宋_GB2312" w:cs="Times New Roman"/>
          <w:b w:val="0"/>
          <w:bCs w:val="0"/>
          <w:kern w:val="2"/>
          <w:sz w:val="32"/>
          <w:szCs w:val="32"/>
          <w:lang w:val="en-US" w:eastAsia="zh-CN" w:bidi="ar-SA"/>
        </w:rPr>
        <w:t>开透明。绩效评价结果应依法依规公开，并自觉接受社会监督。绩效评价体系</w:t>
      </w:r>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根据以上原则,绩效评价应遵循如下要求:</w:t>
      </w:r>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hAnsi="仿宋" w:cs="宋体"/>
          <w:b w:val="0"/>
          <w:lang w:eastAsia="zh-CN" w:bidi="ar"/>
        </w:rPr>
        <w:t>（</w:t>
      </w:r>
      <w:r>
        <w:rPr>
          <w:rFonts w:hint="eastAsia" w:hAnsi="仿宋" w:cs="宋体"/>
          <w:b w:val="0"/>
          <w:lang w:val="en-US" w:eastAsia="zh-CN" w:bidi="ar"/>
        </w:rPr>
        <w:t>1</w:t>
      </w:r>
      <w:r>
        <w:rPr>
          <w:rFonts w:hint="eastAsia" w:hAnsi="仿宋" w:cs="宋体"/>
          <w:b w:val="0"/>
          <w:lang w:eastAsia="zh-CN" w:bidi="ar"/>
        </w:rPr>
        <w:t>）在</w:t>
      </w:r>
      <w:r>
        <w:rPr>
          <w:rFonts w:hint="eastAsia" w:ascii="仿宋_GB2312" w:hAnsi="仿宋" w:eastAsia="仿宋_GB2312" w:cs="Times New Roman"/>
          <w:b w:val="0"/>
          <w:bCs w:val="0"/>
          <w:kern w:val="2"/>
          <w:sz w:val="32"/>
          <w:szCs w:val="32"/>
          <w:lang w:val="en-US" w:eastAsia="zh-CN" w:bidi="ar-SA"/>
        </w:rPr>
        <w:t>数据采集时,采取客观数据,主管部门审查、社会中介组织复查,与问卷调查相结合的形式,以保证各项指标的真实性。</w:t>
      </w:r>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hAnsi="仿宋" w:cs="宋体"/>
          <w:b w:val="0"/>
          <w:lang w:eastAsia="zh-CN" w:bidi="ar"/>
        </w:rPr>
        <w:t>(2)保</w:t>
      </w:r>
      <w:r>
        <w:rPr>
          <w:rFonts w:hint="eastAsia" w:ascii="仿宋_GB2312" w:hAnsi="仿宋" w:eastAsia="仿宋_GB2312" w:cs="Times New Roman"/>
          <w:b w:val="0"/>
          <w:bCs w:val="0"/>
          <w:kern w:val="2"/>
          <w:sz w:val="32"/>
          <w:szCs w:val="32"/>
          <w:lang w:val="en-US" w:eastAsia="zh-CN" w:bidi="ar-SA"/>
        </w:rPr>
        <w:t>证评价结果的真实性、公正性,提高评价报告的公信力。</w:t>
      </w:r>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hAnsi="仿宋" w:cs="宋体"/>
          <w:b w:val="0"/>
          <w:lang w:eastAsia="zh-CN" w:bidi="ar"/>
        </w:rPr>
        <w:t>(3)绩</w:t>
      </w:r>
      <w:r>
        <w:rPr>
          <w:rFonts w:hint="eastAsia" w:ascii="仿宋_GB2312" w:hAnsi="仿宋" w:eastAsia="仿宋_GB2312" w:cs="Times New Roman"/>
          <w:b w:val="0"/>
          <w:bCs w:val="0"/>
          <w:kern w:val="2"/>
          <w:sz w:val="32"/>
          <w:szCs w:val="32"/>
          <w:lang w:val="en-US" w:eastAsia="zh-CN" w:bidi="ar-SA"/>
        </w:rPr>
        <w:t>教评价报告应当简明扼要,除了对绩效评价的过程、结果描述外,还应总结经验,指出问题,并就共性问题提出可操作性改进建议。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 w:eastAsia="仿宋_GB2312" w:cs="宋体"/>
          <w:b/>
          <w:bCs/>
          <w:sz w:val="32"/>
          <w:szCs w:val="32"/>
          <w:lang w:bidi="ar"/>
        </w:rPr>
      </w:pPr>
      <w:r>
        <w:rPr>
          <w:rFonts w:hint="eastAsia" w:ascii="仿宋_GB2312" w:hAnsi="仿宋" w:eastAsia="仿宋_GB2312" w:cs="宋体"/>
          <w:b/>
          <w:bCs/>
          <w:sz w:val="32"/>
          <w:szCs w:val="32"/>
          <w:lang w:eastAsia="zh-CN" w:bidi="ar"/>
        </w:rPr>
        <w:t>（</w:t>
      </w:r>
      <w:r>
        <w:rPr>
          <w:rFonts w:hint="eastAsia" w:ascii="仿宋_GB2312" w:hAnsi="仿宋" w:eastAsia="仿宋_GB2312" w:cs="宋体"/>
          <w:b/>
          <w:bCs/>
          <w:sz w:val="32"/>
          <w:szCs w:val="32"/>
          <w:lang w:val="en-US" w:eastAsia="zh-CN" w:bidi="ar"/>
        </w:rPr>
        <w:t>四</w:t>
      </w:r>
      <w:r>
        <w:rPr>
          <w:rFonts w:hint="eastAsia" w:ascii="仿宋_GB2312" w:hAnsi="仿宋" w:eastAsia="仿宋_GB2312" w:cs="宋体"/>
          <w:b/>
          <w:bCs/>
          <w:sz w:val="32"/>
          <w:szCs w:val="32"/>
          <w:lang w:eastAsia="zh-CN" w:bidi="ar"/>
        </w:rPr>
        <w:t>）</w:t>
      </w:r>
      <w:r>
        <w:rPr>
          <w:rFonts w:hint="eastAsia" w:ascii="仿宋_GB2312" w:hAnsi="仿宋" w:eastAsia="仿宋_GB2312" w:cs="宋体"/>
          <w:b/>
          <w:bCs/>
          <w:sz w:val="32"/>
          <w:szCs w:val="32"/>
          <w:lang w:bidi="ar"/>
        </w:rPr>
        <w:t>本项目绩效评价体系</w:t>
      </w:r>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hAnsi="仿宋" w:cs="宋体"/>
          <w:b w:val="0"/>
          <w:lang w:eastAsia="zh-CN" w:bidi="ar"/>
        </w:rPr>
      </w:pPr>
      <w:r>
        <w:rPr>
          <w:rFonts w:hint="eastAsia" w:hAnsi="仿宋" w:cs="宋体"/>
          <w:b w:val="0"/>
          <w:lang w:eastAsia="zh-CN" w:bidi="ar"/>
        </w:rPr>
        <w:t>遵循“科学性、规范性、客观性和公正性”的绩效评价原则,根据财政部制定的《项目支出绩效评价共性指标体系框架》,结合</w:t>
      </w:r>
      <w:r>
        <w:rPr>
          <w:rFonts w:hint="eastAsia" w:hAnsi="仿宋" w:cs="宋体"/>
          <w:b w:val="0"/>
          <w:lang w:val="en-US" w:eastAsia="zh-CN" w:bidi="ar"/>
        </w:rPr>
        <w:t>叶城县人民医院门诊楼建设项目</w:t>
      </w:r>
      <w:r>
        <w:rPr>
          <w:rFonts w:hint="eastAsia" w:hAnsi="仿宋" w:cs="宋体"/>
          <w:b w:val="0"/>
          <w:lang w:eastAsia="zh-CN" w:bidi="ar"/>
        </w:rPr>
        <w:t>特性、</w:t>
      </w:r>
      <w:r>
        <w:rPr>
          <w:rFonts w:hint="eastAsia" w:hAnsi="仿宋" w:cs="宋体"/>
          <w:b w:val="0"/>
          <w:lang w:val="en-US" w:eastAsia="zh-CN" w:bidi="ar"/>
        </w:rPr>
        <w:t>叶城县人民医院</w:t>
      </w:r>
      <w:r>
        <w:rPr>
          <w:rFonts w:hint="eastAsia" w:hAnsi="仿宋" w:cs="宋体"/>
          <w:b w:val="0"/>
          <w:lang w:eastAsia="zh-CN" w:bidi="ar"/>
        </w:rPr>
        <w:t>实际情况,本项目</w:t>
      </w:r>
      <w:r>
        <w:rPr>
          <w:rFonts w:hint="eastAsia" w:hAnsi="仿宋" w:cs="宋体"/>
          <w:b w:val="0"/>
          <w:lang w:val="en-US" w:eastAsia="zh-CN" w:bidi="ar"/>
        </w:rPr>
        <w:t>按照</w:t>
      </w:r>
      <w:r>
        <w:rPr>
          <w:rFonts w:hint="eastAsia" w:hAnsi="仿宋" w:cs="宋体"/>
          <w:b w:val="0"/>
          <w:lang w:eastAsia="zh-CN" w:bidi="ar"/>
        </w:rPr>
        <w:t>财预﹝2020﹞10号</w:t>
      </w:r>
      <w:r>
        <w:rPr>
          <w:rFonts w:hint="eastAsia" w:hAnsi="仿宋" w:cs="宋体"/>
          <w:b w:val="0"/>
          <w:lang w:val="en-US" w:eastAsia="zh-CN" w:bidi="ar"/>
        </w:rPr>
        <w:t>文件</w:t>
      </w:r>
      <w:r>
        <w:rPr>
          <w:rFonts w:hint="eastAsia" w:hAnsi="仿宋" w:cs="宋体"/>
          <w:b w:val="0"/>
          <w:lang w:eastAsia="zh-CN" w:bidi="ar"/>
        </w:rPr>
        <w:t>制定评价指标体系。</w:t>
      </w:r>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hAnsi="仿宋" w:cs="宋体"/>
          <w:b w:val="0"/>
          <w:lang w:val="en-US" w:eastAsia="zh-CN" w:bidi="ar"/>
        </w:rPr>
      </w:pPr>
      <w:r>
        <w:rPr>
          <w:rFonts w:hint="eastAsia" w:hAnsi="仿宋" w:cs="宋体"/>
          <w:b w:val="0"/>
          <w:lang w:val="en-US" w:eastAsia="zh-CN" w:bidi="ar"/>
        </w:rPr>
        <w:t>我单位选取共性指标：决策中一级指标1个，二级指标6个，三级指标6个，项目立项符合国家法律法规、国民经济发展规划和相关政策，项目立项符合行业发展规划和政策要求，审批文件、材料符合相关要求，事前已经过必要的可行性研究、专家论证、风险评估、绩效评估、集体决策，项目有绩效目标，项目绩效目标与实际工作内容是否具有相关性，资金分配额度合理，与项目单位或地方实际相适应，预算编制是否经过科学论证。</w:t>
      </w:r>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default" w:hAnsi="仿宋" w:cs="宋体"/>
          <w:b w:val="0"/>
          <w:lang w:val="en-US" w:eastAsia="zh-CN" w:bidi="ar"/>
        </w:rPr>
      </w:pPr>
      <w:r>
        <w:rPr>
          <w:rFonts w:hint="eastAsia" w:hAnsi="仿宋" w:cs="宋体"/>
          <w:b w:val="0"/>
          <w:lang w:val="en-US" w:eastAsia="zh-CN" w:bidi="ar"/>
        </w:rPr>
        <w:t>过程中一级指标1个，二级指标2个，三级指标3个，资金到位率：根据喀地财建【2019】38号新财建【2019】60号资金文号，下发资金预算金额为388.98万元，根据喀地财建【2019】38号新财建【2019】60号要求。预算执行率：本项目资金388.98万元，其中财政资金388.98万元，其他资金0万元，资金到位388.98万元；资金到位率100%，根据喀地财建【2019】38号新财建【2019】60号，本项目总资金388.98万元，实际支付资金388.98万元，预算执行率100%，项目资金主要用于支付叶城县人民医院门诊楼建设项目费用388.98万元。资金使用合规性 ：本项目资金严格按照中央资金管理办法和县财政资金管理制度支付资金；资金支付由分管地区领导、主管财务地区领导、县财政局等各级部门审批审核；资金的支付有完整的审批程序和手续符合制度要求；不存在截留、挤占、挪用、虚列支出等情况。</w:t>
      </w:r>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default" w:hAnsi="仿宋" w:cs="宋体"/>
          <w:b w:val="0"/>
          <w:lang w:val="en-US" w:eastAsia="zh-CN" w:bidi="ar"/>
        </w:rPr>
      </w:pPr>
      <w:r>
        <w:rPr>
          <w:rFonts w:hint="eastAsia" w:hAnsi="仿宋" w:cs="宋体"/>
          <w:b w:val="0"/>
          <w:lang w:val="en-US" w:eastAsia="zh-CN" w:bidi="ar"/>
        </w:rPr>
        <w:t>根据喀地财建【2019】38号新财建【2019】60号资金文号，下发资金预算金额为388.98万元，预算完成率100%，</w:t>
      </w:r>
      <w:r>
        <w:rPr>
          <w:rFonts w:hint="eastAsia" w:hAnsi="仿宋" w:cs="宋体"/>
          <w:b w:val="0"/>
          <w:lang w:eastAsia="zh-CN" w:bidi="ar"/>
        </w:rPr>
        <w:t>单位本年度完成数与预算数的比率</w:t>
      </w:r>
      <w:r>
        <w:rPr>
          <w:rFonts w:hint="eastAsia" w:hAnsi="仿宋" w:cs="宋体"/>
          <w:b w:val="0"/>
          <w:lang w:val="en-US" w:eastAsia="zh-CN" w:bidi="ar"/>
        </w:rPr>
        <w:t>为100%</w:t>
      </w:r>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hAnsi="仿宋" w:cs="宋体"/>
          <w:b w:val="0"/>
          <w:lang w:eastAsia="zh-CN" w:bidi="ar"/>
        </w:rPr>
      </w:pPr>
      <w:r>
        <w:rPr>
          <w:rFonts w:hint="eastAsia" w:hAnsi="仿宋" w:cs="宋体"/>
          <w:b w:val="0"/>
          <w:lang w:val="en-US" w:eastAsia="zh-CN" w:bidi="ar"/>
        </w:rPr>
        <w:t>组织实施</w:t>
      </w:r>
      <w:r>
        <w:rPr>
          <w:rFonts w:hint="eastAsia" w:hAnsi="仿宋" w:cs="宋体"/>
          <w:b w:val="0"/>
          <w:lang w:eastAsia="zh-CN" w:bidi="ar"/>
        </w:rPr>
        <w:t>:管理制度健全性,单位为加强预算管理、规范财务行为而制定的管理制度是健全完整。预决算信息公开,单位是按照政府信息公开的有关规定公开相关预决算信息。</w:t>
      </w:r>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default" w:hAnsi="仿宋" w:cs="宋体"/>
          <w:b w:val="0"/>
          <w:lang w:val="en-US" w:eastAsia="zh-CN" w:bidi="ar"/>
        </w:rPr>
      </w:pPr>
      <w:r>
        <w:rPr>
          <w:rFonts w:hint="eastAsia" w:hAnsi="仿宋" w:cs="宋体"/>
          <w:b w:val="0"/>
          <w:lang w:eastAsia="zh-CN" w:bidi="ar"/>
        </w:rPr>
        <w:t>项目实施所产生的效益：</w:t>
      </w:r>
      <w:r>
        <w:rPr>
          <w:rFonts w:hint="eastAsia" w:hAnsi="仿宋" w:cs="宋体"/>
          <w:b w:val="0"/>
          <w:lang w:val="en-US" w:eastAsia="zh-CN" w:bidi="ar"/>
        </w:rPr>
        <w:t>本项目还未完全竣工。未产生效益</w:t>
      </w:r>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bookmarkStart w:id="6" w:name="_Toc26401555"/>
      <w:r>
        <w:rPr>
          <w:rFonts w:hint="eastAsia"/>
          <w:lang w:eastAsia="zh-CN" w:bidi="ar"/>
        </w:rPr>
        <w:t>（</w:t>
      </w:r>
      <w:r>
        <w:rPr>
          <w:rFonts w:hint="eastAsia"/>
          <w:lang w:val="en-US" w:eastAsia="zh-CN" w:bidi="ar"/>
        </w:rPr>
        <w:t>五</w:t>
      </w:r>
      <w:r>
        <w:rPr>
          <w:rFonts w:hint="eastAsia"/>
          <w:lang w:eastAsia="zh-CN" w:bidi="ar"/>
        </w:rPr>
        <w:t>）</w:t>
      </w:r>
      <w:r>
        <w:rPr>
          <w:rFonts w:hint="eastAsia"/>
          <w:lang w:bidi="ar"/>
        </w:rPr>
        <w:t>绩效评价方法</w:t>
      </w:r>
      <w:bookmarkEnd w:id="6"/>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hAnsi="仿宋" w:cs="宋体"/>
          <w:b w:val="0"/>
          <w:lang w:eastAsia="zh-CN" w:bidi="ar"/>
        </w:rPr>
      </w:pPr>
      <w:r>
        <w:rPr>
          <w:rFonts w:hint="eastAsia" w:hAnsi="仿宋" w:cs="宋体"/>
          <w:b w:val="0"/>
          <w:lang w:eastAsia="zh-CN" w:bidi="ar"/>
        </w:rPr>
        <w:t>本次绩效评价方法的选用坚持简便有效的原则采用因素分析法，结合我院</w:t>
      </w:r>
      <w:r>
        <w:rPr>
          <w:rFonts w:hint="eastAsia" w:hAnsi="仿宋" w:cs="宋体"/>
          <w:b w:val="0"/>
          <w:lang w:val="en-US" w:eastAsia="zh-CN" w:bidi="ar"/>
        </w:rPr>
        <w:t>门诊楼建设</w:t>
      </w:r>
      <w:r>
        <w:rPr>
          <w:rFonts w:hint="eastAsia" w:hAnsi="仿宋" w:cs="宋体"/>
          <w:b w:val="0"/>
          <w:lang w:eastAsia="zh-CN" w:bidi="ar"/>
        </w:rPr>
        <w:t>项目采用目标比较法。</w:t>
      </w:r>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hAnsi="仿宋" w:cs="宋体"/>
          <w:b w:val="0"/>
          <w:lang w:eastAsia="zh-CN" w:bidi="ar"/>
        </w:rPr>
      </w:pPr>
      <w:r>
        <w:rPr>
          <w:rFonts w:hint="eastAsia" w:hAnsi="仿宋" w:cs="宋体"/>
          <w:b w:val="0"/>
          <w:lang w:eastAsia="zh-CN" w:bidi="ar"/>
        </w:rPr>
        <w:t>为了进一步规范和加强财政专项资金的管理，切实提高项目资金使用效益，强化财政资金的管理，根据项目资金文件要求，结合我院实际情况，医院年初就组织相关人员制定了项目年度绩效目标，本次评价采用了目标法，项目年度目标和实际完成情况如下：</w:t>
      </w:r>
    </w:p>
    <w:tbl>
      <w:tblPr>
        <w:tblStyle w:val="13"/>
        <w:tblW w:w="0" w:type="auto"/>
        <w:tblInd w:w="0" w:type="dxa"/>
        <w:shd w:val="clear" w:color="auto" w:fill="auto"/>
        <w:tblLayout w:type="autofit"/>
        <w:tblCellMar>
          <w:top w:w="0" w:type="dxa"/>
          <w:left w:w="0" w:type="dxa"/>
          <w:bottom w:w="0" w:type="dxa"/>
          <w:right w:w="0" w:type="dxa"/>
        </w:tblCellMar>
      </w:tblPr>
      <w:tblGrid>
        <w:gridCol w:w="473"/>
        <w:gridCol w:w="570"/>
        <w:gridCol w:w="1023"/>
        <w:gridCol w:w="1924"/>
        <w:gridCol w:w="825"/>
        <w:gridCol w:w="885"/>
        <w:gridCol w:w="404"/>
        <w:gridCol w:w="654"/>
        <w:gridCol w:w="978"/>
        <w:gridCol w:w="606"/>
      </w:tblGrid>
      <w:tr>
        <w:tblPrEx>
          <w:shd w:val="clear" w:color="auto" w:fill="auto"/>
          <w:tblCellMar>
            <w:top w:w="0" w:type="dxa"/>
            <w:left w:w="0" w:type="dxa"/>
            <w:bottom w:w="0" w:type="dxa"/>
            <w:right w:w="0" w:type="dxa"/>
          </w:tblCellMar>
        </w:tblPrEx>
        <w:trPr>
          <w:trHeight w:val="420" w:hRule="atLeast"/>
        </w:trPr>
        <w:tc>
          <w:tcPr>
            <w:tcW w:w="0" w:type="auto"/>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b/>
                <w:i w:val="0"/>
                <w:color w:val="000000"/>
                <w:sz w:val="32"/>
                <w:szCs w:val="32"/>
                <w:u w:val="none"/>
              </w:rPr>
            </w:pPr>
            <w:r>
              <w:rPr>
                <w:rFonts w:hint="eastAsia" w:ascii="黑体" w:hAnsi="宋体" w:eastAsia="黑体" w:cs="黑体"/>
                <w:b/>
                <w:i w:val="0"/>
                <w:color w:val="000000"/>
                <w:kern w:val="0"/>
                <w:sz w:val="32"/>
                <w:szCs w:val="32"/>
                <w:u w:val="none"/>
                <w:lang w:val="en-US" w:eastAsia="zh-CN" w:bidi="ar"/>
              </w:rPr>
              <w:t>项目支出绩效自评表</w:t>
            </w:r>
          </w:p>
        </w:tc>
      </w:tr>
      <w:tr>
        <w:tblPrEx>
          <w:tblCellMar>
            <w:top w:w="0" w:type="dxa"/>
            <w:left w:w="0" w:type="dxa"/>
            <w:bottom w:w="0" w:type="dxa"/>
            <w:right w:w="0" w:type="dxa"/>
          </w:tblCellMar>
        </w:tblPrEx>
        <w:trPr>
          <w:trHeight w:val="330" w:hRule="atLeast"/>
        </w:trPr>
        <w:tc>
          <w:tcPr>
            <w:tcW w:w="0" w:type="auto"/>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2019 年度）</w:t>
            </w:r>
          </w:p>
        </w:tc>
      </w:tr>
      <w:tr>
        <w:tblPrEx>
          <w:tblCellMar>
            <w:top w:w="0" w:type="dxa"/>
            <w:left w:w="0" w:type="dxa"/>
            <w:bottom w:w="0" w:type="dxa"/>
            <w:right w:w="0" w:type="dxa"/>
          </w:tblCellMar>
        </w:tblPrEx>
        <w:trPr>
          <w:trHeight w:val="4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叶城县人民医院门诊楼建设项目</w:t>
            </w:r>
          </w:p>
        </w:tc>
      </w:tr>
      <w:tr>
        <w:tblPrEx>
          <w:tblCellMar>
            <w:top w:w="0" w:type="dxa"/>
            <w:left w:w="0" w:type="dxa"/>
            <w:bottom w:w="0" w:type="dxa"/>
            <w:right w:w="0" w:type="dxa"/>
          </w:tblCellMar>
        </w:tblPrEx>
        <w:trPr>
          <w:trHeight w:val="4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叶城县卫健</w:t>
            </w:r>
            <w:bookmarkStart w:id="8" w:name="_GoBack"/>
            <w:bookmarkEnd w:id="8"/>
            <w:r>
              <w:rPr>
                <w:rFonts w:hint="eastAsia" w:ascii="宋体" w:hAnsi="宋体" w:eastAsia="宋体" w:cs="宋体"/>
                <w:i w:val="0"/>
                <w:color w:val="000000"/>
                <w:kern w:val="0"/>
                <w:sz w:val="18"/>
                <w:szCs w:val="18"/>
                <w:u w:val="none"/>
                <w:lang w:val="en-US" w:eastAsia="zh-CN" w:bidi="ar"/>
              </w:rPr>
              <w:t>委</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叶城县人民医院</w:t>
            </w:r>
          </w:p>
        </w:tc>
      </w:tr>
      <w:tr>
        <w:tblPrEx>
          <w:tblCellMar>
            <w:top w:w="0" w:type="dxa"/>
            <w:left w:w="0" w:type="dxa"/>
            <w:bottom w:w="0" w:type="dxa"/>
            <w:right w:w="0" w:type="dxa"/>
          </w:tblCellMar>
        </w:tblPrEx>
        <w:trPr>
          <w:trHeight w:val="40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CellMar>
            <w:top w:w="0" w:type="dxa"/>
            <w:left w:w="0" w:type="dxa"/>
            <w:bottom w:w="0" w:type="dxa"/>
            <w:right w:w="0" w:type="dxa"/>
          </w:tblCellMar>
        </w:tblPrEx>
        <w:trPr>
          <w:trHeight w:val="40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388.98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388.98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388.98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w:t>
            </w:r>
          </w:p>
        </w:tc>
      </w:tr>
      <w:tr>
        <w:tblPrEx>
          <w:tblCellMar>
            <w:top w:w="0" w:type="dxa"/>
            <w:left w:w="0" w:type="dxa"/>
            <w:bottom w:w="0" w:type="dxa"/>
            <w:right w:w="0" w:type="dxa"/>
          </w:tblCellMar>
        </w:tblPrEx>
        <w:trPr>
          <w:trHeight w:val="40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40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40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388.98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388.98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388.98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46.30%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4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CellMar>
            <w:top w:w="0" w:type="dxa"/>
            <w:left w:w="0" w:type="dxa"/>
            <w:bottom w:w="0" w:type="dxa"/>
            <w:right w:w="0" w:type="dxa"/>
          </w:tblCellMar>
        </w:tblPrEx>
        <w:trPr>
          <w:trHeight w:val="10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医院业务用房建设面积2800平米，全面改善医疗卫生基础设施建设，提升医疗卫生服务能力，不断提高人民群众的获得感和幸福感。</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已经完成建设2798.15平方米门诊楼，资金拨付了100%，已拨付了388.98元,</w:t>
            </w:r>
          </w:p>
        </w:tc>
      </w:tr>
      <w:tr>
        <w:tblPrEx>
          <w:tblCellMar>
            <w:top w:w="0" w:type="dxa"/>
            <w:left w:w="0" w:type="dxa"/>
            <w:bottom w:w="0" w:type="dxa"/>
            <w:right w:w="0" w:type="dxa"/>
          </w:tblCellMar>
        </w:tblPrEx>
        <w:trPr>
          <w:trHeight w:val="500" w:hRule="atLeast"/>
        </w:trPr>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 效 指 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CellMar>
            <w:top w:w="0" w:type="dxa"/>
            <w:left w:w="0" w:type="dxa"/>
            <w:bottom w:w="0" w:type="dxa"/>
            <w:right w:w="0" w:type="dxa"/>
          </w:tblCellMar>
        </w:tblPrEx>
        <w:trPr>
          <w:trHeight w:val="50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医院业务用房建设面积（平方米）</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工程项目建设验收合格率（%）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原因；还未交工，措施；5月20日前交工</w:t>
            </w:r>
          </w:p>
        </w:tc>
      </w:tr>
      <w:tr>
        <w:tblPrEx>
          <w:tblCellMar>
            <w:top w:w="0" w:type="dxa"/>
            <w:left w:w="0" w:type="dxa"/>
            <w:bottom w:w="0" w:type="dxa"/>
            <w:right w:w="0" w:type="dxa"/>
          </w:tblCellMar>
        </w:tblPrEx>
        <w:trPr>
          <w:trHeight w:val="50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项目开工率（%）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项目完工率（%）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原因；还未交工，措施；5月20日前交工</w:t>
            </w:r>
          </w:p>
        </w:tc>
      </w:tr>
      <w:tr>
        <w:tblPrEx>
          <w:tblCellMar>
            <w:top w:w="0" w:type="dxa"/>
            <w:left w:w="0" w:type="dxa"/>
            <w:bottom w:w="0" w:type="dxa"/>
            <w:right w:w="0" w:type="dxa"/>
          </w:tblCellMar>
        </w:tblPrEx>
        <w:trPr>
          <w:trHeight w:val="50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建设项目成本标准（元/平方米）</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1389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4.63</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原因；还未交工，措施；5月20日前交工</w:t>
            </w:r>
          </w:p>
        </w:tc>
      </w:tr>
      <w:tr>
        <w:tblPrEx>
          <w:tblCellMar>
            <w:top w:w="0" w:type="dxa"/>
            <w:left w:w="0" w:type="dxa"/>
            <w:bottom w:w="0" w:type="dxa"/>
            <w:right w:w="0" w:type="dxa"/>
          </w:tblCellMar>
        </w:tblPrEx>
        <w:trPr>
          <w:trHeight w:val="50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提高门诊病人就诊量增加收入（%）</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原因；还未交工，措施；5月20日前交工</w:t>
            </w:r>
          </w:p>
        </w:tc>
      </w:tr>
      <w:tr>
        <w:tblPrEx>
          <w:tblCellMar>
            <w:top w:w="0" w:type="dxa"/>
            <w:left w:w="0" w:type="dxa"/>
            <w:bottom w:w="0" w:type="dxa"/>
            <w:right w:w="0" w:type="dxa"/>
          </w:tblCellMar>
        </w:tblPrEx>
        <w:trPr>
          <w:trHeight w:val="50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不断提高人民群众的获得感和幸福感（%）</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门诊楼建设使用年限（年）</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受益患者满意度（%）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原因；还未交工，措施；5月20日前交工</w:t>
            </w:r>
          </w:p>
        </w:tc>
      </w:tr>
      <w:tr>
        <w:tblPrEx>
          <w:tblCellMar>
            <w:top w:w="0" w:type="dxa"/>
            <w:left w:w="0" w:type="dxa"/>
            <w:bottom w:w="0" w:type="dxa"/>
            <w:right w:w="0" w:type="dxa"/>
          </w:tblCellMar>
        </w:tblPrEx>
        <w:trPr>
          <w:trHeight w:val="50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65.23</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bl>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3" w:firstLineChars="200"/>
        <w:textAlignment w:val="auto"/>
        <w:rPr>
          <w:rFonts w:hint="eastAsia"/>
          <w:lang w:bidi="ar"/>
        </w:rPr>
      </w:pPr>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r>
        <w:rPr>
          <w:rFonts w:hint="eastAsia"/>
          <w:lang w:eastAsia="zh-CN" w:bidi="ar"/>
        </w:rPr>
        <w:t>（</w:t>
      </w:r>
      <w:r>
        <w:rPr>
          <w:rFonts w:hint="eastAsia"/>
          <w:lang w:val="en-US" w:eastAsia="zh-CN" w:bidi="ar"/>
        </w:rPr>
        <w:t>六）</w:t>
      </w:r>
      <w:r>
        <w:rPr>
          <w:rFonts w:hint="eastAsia"/>
          <w:lang w:bidi="ar"/>
        </w:rPr>
        <w:t>评价标准</w:t>
      </w:r>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hAnsi="仿宋" w:cs="宋体"/>
          <w:b w:val="0"/>
          <w:lang w:val="en-US" w:eastAsia="zh-CN" w:bidi="ar"/>
        </w:rPr>
      </w:pPr>
      <w:r>
        <w:rPr>
          <w:rFonts w:hint="eastAsia" w:hAnsi="仿宋" w:cs="宋体"/>
          <w:b w:val="0"/>
          <w:lang w:val="en-US" w:eastAsia="zh-CN" w:bidi="ar"/>
        </w:rPr>
        <w:t>项目评价标准采用计划标准，我院按照，编制《项目建议书》并报批，编制《可行性研究报告》和审批，办理专业评估报告，计划立项，办理建筑用地许可证和国土证，设计招标，方案设计，地震动参数报告，初步设计和概算编制，办理规划许可证，地质勘察，施工图设计和审查，消防审核，施工场地“七通一平”，取得建筑工程施工许可证，组织预算编制和预算送审，负责招标代理机构选择</w:t>
      </w:r>
    </w:p>
    <w:p>
      <w:pPr>
        <w:pStyle w:val="2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3" w:firstLineChars="200"/>
        <w:textAlignment w:val="auto"/>
        <w:rPr>
          <w:lang w:bidi="ar"/>
        </w:rPr>
      </w:pPr>
      <w:r>
        <w:rPr>
          <w:rFonts w:hint="eastAsia"/>
          <w:lang w:eastAsia="zh-CN" w:bidi="ar"/>
        </w:rPr>
        <w:t>（</w:t>
      </w:r>
      <w:r>
        <w:rPr>
          <w:rFonts w:hint="eastAsia"/>
          <w:lang w:val="en-US" w:eastAsia="zh-CN" w:bidi="ar"/>
        </w:rPr>
        <w:t>七</w:t>
      </w:r>
      <w:r>
        <w:rPr>
          <w:rFonts w:hint="eastAsia"/>
          <w:lang w:eastAsia="zh-CN" w:bidi="ar"/>
        </w:rPr>
        <w:t>）</w:t>
      </w:r>
      <w:r>
        <w:rPr>
          <w:rFonts w:hint="eastAsia"/>
          <w:lang w:bidi="ar"/>
        </w:rPr>
        <w:t>绩效评价工作过程</w:t>
      </w:r>
    </w:p>
    <w:p>
      <w:pPr>
        <w:pStyle w:val="2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b w:val="0"/>
          <w:bCs w:val="0"/>
          <w:lang w:bidi="ar"/>
        </w:rPr>
      </w:pPr>
      <w:r>
        <w:rPr>
          <w:rFonts w:hint="eastAsia"/>
          <w:b w:val="0"/>
          <w:bCs w:val="0"/>
          <w:lang w:val="en-US" w:eastAsia="zh-CN" w:bidi="ar"/>
        </w:rPr>
        <w:t>1.</w:t>
      </w:r>
      <w:r>
        <w:rPr>
          <w:rFonts w:hint="eastAsia"/>
          <w:b w:val="0"/>
          <w:bCs w:val="0"/>
          <w:lang w:bidi="ar"/>
        </w:rPr>
        <w:t>本次</w:t>
      </w:r>
      <w:r>
        <w:rPr>
          <w:rFonts w:hint="eastAsia" w:ascii="仿宋_GB2312" w:hAnsi="仿宋" w:eastAsia="仿宋_GB2312" w:cs="Times New Roman"/>
          <w:b w:val="0"/>
          <w:bCs w:val="0"/>
          <w:kern w:val="2"/>
          <w:sz w:val="32"/>
          <w:szCs w:val="32"/>
          <w:lang w:val="en-US" w:eastAsia="zh-CN" w:bidi="ar-SA"/>
        </w:rPr>
        <w:t>评价成立了评价工作组，成员如下：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b w:val="0"/>
                <w:bCs w:val="0"/>
                <w:lang w:bidi="ar"/>
              </w:rPr>
            </w:pPr>
            <w:r>
              <w:rPr>
                <w:rFonts w:hint="eastAsia"/>
                <w:b w:val="0"/>
                <w:bCs w:val="0"/>
                <w:lang w:bidi="ar"/>
              </w:rPr>
              <w:t>评价人</w:t>
            </w:r>
          </w:p>
        </w:tc>
        <w:tc>
          <w:tcPr>
            <w:tcW w:w="2765" w:type="dxa"/>
            <w:vAlign w:val="center"/>
          </w:tcPr>
          <w:p>
            <w:pPr>
              <w:pStyle w:val="24"/>
              <w:keepNext w:val="0"/>
              <w:keepLines w:val="0"/>
              <w:numPr>
                <w:ilvl w:val="0"/>
                <w:numId w:val="0"/>
              </w:numPr>
              <w:spacing w:line="240" w:lineRule="atLeast"/>
              <w:jc w:val="center"/>
              <w:rPr>
                <w:b w:val="0"/>
                <w:bCs w:val="0"/>
                <w:lang w:bidi="ar"/>
              </w:rPr>
            </w:pPr>
            <w:r>
              <w:rPr>
                <w:rFonts w:hint="eastAsia"/>
                <w:b w:val="0"/>
                <w:bCs w:val="0"/>
                <w:lang w:bidi="ar"/>
              </w:rPr>
              <w:t>职责</w:t>
            </w:r>
          </w:p>
        </w:tc>
        <w:tc>
          <w:tcPr>
            <w:tcW w:w="2766" w:type="dxa"/>
            <w:vAlign w:val="center"/>
          </w:tcPr>
          <w:p>
            <w:pPr>
              <w:pStyle w:val="24"/>
              <w:keepNext w:val="0"/>
              <w:keepLines w:val="0"/>
              <w:numPr>
                <w:ilvl w:val="0"/>
                <w:numId w:val="0"/>
              </w:numPr>
              <w:spacing w:line="240" w:lineRule="atLeast"/>
              <w:jc w:val="center"/>
              <w:rPr>
                <w:b w:val="0"/>
                <w:bCs w:val="0"/>
                <w:lang w:bidi="ar"/>
              </w:rPr>
            </w:pPr>
            <w:r>
              <w:rPr>
                <w:rFonts w:hint="eastAsia"/>
                <w:b w:val="0"/>
                <w:bCs w:val="0"/>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王晓泽</w:t>
            </w:r>
          </w:p>
        </w:tc>
        <w:tc>
          <w:tcPr>
            <w:tcW w:w="2765" w:type="dxa"/>
            <w:vAlign w:val="center"/>
          </w:tcPr>
          <w:p>
            <w:pPr>
              <w:pStyle w:val="24"/>
              <w:keepNext w:val="0"/>
              <w:keepLines w:val="0"/>
              <w:numPr>
                <w:ilvl w:val="0"/>
                <w:numId w:val="0"/>
              </w:numPr>
              <w:spacing w:line="240" w:lineRule="atLeast"/>
              <w:jc w:val="center"/>
              <w:rPr>
                <w:b w:val="0"/>
                <w:bCs w:val="0"/>
                <w:lang w:bidi="ar"/>
              </w:rPr>
            </w:pPr>
            <w:r>
              <w:rPr>
                <w:rFonts w:hint="eastAsia"/>
                <w:b w:val="0"/>
                <w:bCs w:val="0"/>
                <w:lang w:bidi="ar"/>
              </w:rPr>
              <w:t>评价组组长</w:t>
            </w:r>
          </w:p>
        </w:tc>
        <w:tc>
          <w:tcPr>
            <w:tcW w:w="2766" w:type="dxa"/>
            <w:vAlign w:val="center"/>
          </w:tcPr>
          <w:p>
            <w:pPr>
              <w:pStyle w:val="24"/>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原院长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刘本桥</w:t>
            </w:r>
          </w:p>
        </w:tc>
        <w:tc>
          <w:tcPr>
            <w:tcW w:w="2765" w:type="dxa"/>
            <w:vAlign w:val="center"/>
          </w:tcPr>
          <w:p>
            <w:pPr>
              <w:pStyle w:val="24"/>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766" w:type="dxa"/>
            <w:vAlign w:val="center"/>
          </w:tcPr>
          <w:p>
            <w:pPr>
              <w:pStyle w:val="24"/>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院长助理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唐小娟</w:t>
            </w:r>
          </w:p>
        </w:tc>
        <w:tc>
          <w:tcPr>
            <w:tcW w:w="2765" w:type="dxa"/>
            <w:vAlign w:val="center"/>
          </w:tcPr>
          <w:p>
            <w:pPr>
              <w:pStyle w:val="24"/>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766" w:type="dxa"/>
            <w:vAlign w:val="center"/>
          </w:tcPr>
          <w:p>
            <w:pPr>
              <w:pStyle w:val="24"/>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原财务负责人</w:t>
            </w:r>
          </w:p>
        </w:tc>
      </w:tr>
    </w:tbl>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rFonts w:hint="eastAsia"/>
          <w:b w:val="0"/>
          <w:bCs w:val="0"/>
          <w:color w:val="auto"/>
          <w:highlight w:val="none"/>
          <w:lang w:bidi="ar"/>
        </w:rPr>
      </w:pPr>
      <w:r>
        <w:rPr>
          <w:rFonts w:hint="eastAsia"/>
          <w:b w:val="0"/>
          <w:bCs w:val="0"/>
          <w:lang w:bidi="ar"/>
        </w:rPr>
        <w:t>本次评价设计了评价指标体系，通过资料分析、调研、访谈满意度调查等方式形成评价结论，在与项目单位沟通后</w:t>
      </w:r>
      <w:r>
        <w:rPr>
          <w:rFonts w:hint="eastAsia"/>
          <w:b w:val="0"/>
          <w:bCs w:val="0"/>
          <w:color w:val="auto"/>
          <w:highlight w:val="none"/>
          <w:lang w:bidi="ar"/>
        </w:rPr>
        <w:t>确定评价意见。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b w:val="0"/>
          <w:bCs w:val="0"/>
          <w:color w:val="auto"/>
          <w:sz w:val="32"/>
          <w:szCs w:val="32"/>
          <w:highlight w:val="none"/>
          <w:lang w:val="en-US" w:eastAsia="zh-CN" w:bidi="ar"/>
        </w:rPr>
      </w:pPr>
      <w:r>
        <w:rPr>
          <w:rFonts w:hint="eastAsia" w:ascii="仿宋_GB2312" w:hAnsi="仿宋" w:eastAsia="仿宋_GB2312" w:cs="宋体"/>
          <w:b w:val="0"/>
          <w:bCs w:val="0"/>
          <w:color w:val="auto"/>
          <w:sz w:val="32"/>
          <w:szCs w:val="32"/>
          <w:highlight w:val="none"/>
          <w:lang w:val="en-US" w:eastAsia="zh-CN" w:bidi="ar"/>
        </w:rPr>
        <w:t>2.数据采集方法及过程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 w:eastAsia="仿宋_GB2312" w:cs="宋体"/>
          <w:b w:val="0"/>
          <w:bCs w:val="0"/>
          <w:color w:val="auto"/>
          <w:sz w:val="32"/>
          <w:szCs w:val="32"/>
          <w:highlight w:val="none"/>
          <w:lang w:val="en-US" w:eastAsia="zh-CN" w:bidi="ar"/>
        </w:rPr>
      </w:pPr>
      <w:r>
        <w:rPr>
          <w:rFonts w:hint="default" w:ascii="仿宋_GB2312" w:hAnsi="仿宋" w:eastAsia="仿宋_GB2312" w:cs="宋体"/>
          <w:b w:val="0"/>
          <w:bCs w:val="0"/>
          <w:color w:val="auto"/>
          <w:sz w:val="32"/>
          <w:szCs w:val="32"/>
          <w:highlight w:val="none"/>
          <w:lang w:val="en-US" w:eastAsia="zh-CN" w:bidi="ar"/>
        </w:rPr>
        <w:t>本次绩效评价数据包括定性和定量两种数据,定性数据主要通过实地考察、面对面访谈,问卷调研等社会调查的方式来采集。</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1）采取现场和非现场评价相结合的方式实施评价，核查核实评价基础资料，对缺少的资料要求实施单位补充，对由资金下发不及时和跨年度等原因导致未完成项目，提供相关说明和批复文件。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
          <w:bCs/>
          <w:color w:val="00B0F0"/>
          <w:sz w:val="32"/>
          <w:szCs w:val="32"/>
          <w:highlight w:val="yellow"/>
          <w:lang w:val="en-US" w:eastAsia="zh-CN" w:bidi="ar"/>
        </w:rPr>
      </w:pPr>
      <w:r>
        <w:rPr>
          <w:rFonts w:hint="eastAsia" w:ascii="仿宋_GB2312" w:hAnsi="仿宋" w:eastAsia="仿宋_GB2312" w:cs="Times New Roman"/>
          <w:sz w:val="32"/>
          <w:szCs w:val="32"/>
          <w:lang w:val="en-US" w:eastAsia="zh-CN"/>
        </w:rPr>
        <w:t>2）记录工作底稿并经项目负责人和经办人签字确认。</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 w:val="0"/>
          <w:bCs w:val="0"/>
          <w:color w:val="auto"/>
          <w:sz w:val="32"/>
          <w:szCs w:val="32"/>
          <w:highlight w:val="none"/>
          <w:lang w:val="en-US" w:eastAsia="zh-CN" w:bidi="ar"/>
        </w:rPr>
      </w:pPr>
      <w:r>
        <w:rPr>
          <w:rFonts w:hint="eastAsia" w:ascii="仿宋_GB2312" w:hAnsi="仿宋" w:eastAsia="仿宋_GB2312" w:cs="宋体"/>
          <w:b w:val="0"/>
          <w:bCs w:val="0"/>
          <w:color w:val="auto"/>
          <w:sz w:val="32"/>
          <w:szCs w:val="32"/>
          <w:highlight w:val="none"/>
          <w:lang w:val="en-US" w:eastAsia="zh-CN" w:bidi="ar"/>
        </w:rPr>
        <w:t>绩效评价实施过程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由于该项目本还未完全竣工，预期2020年5月底竣工</w:t>
      </w:r>
      <w:bookmarkStart w:id="7" w:name="_Toc26401558"/>
      <w:r>
        <w:rPr>
          <w:rFonts w:hint="eastAsia" w:ascii="仿宋_GB2312" w:hAnsi="仿宋" w:eastAsia="仿宋_GB2312" w:cs="Times New Roman"/>
          <w:sz w:val="32"/>
          <w:szCs w:val="32"/>
          <w:lang w:val="en-US" w:eastAsia="zh-CN"/>
        </w:rPr>
        <w:t>，无法做问卷调查、访谈、数据分析及攥写报告，原因为在项目实施过程中，因医院已经开始建设，资金做前期的物资、建筑用品的购买，正在建设中，我单位采取的措施是:实时监控项目的正常动态，确保项目进度的实施。今后加强资金管理，严格执行资金管理办法和财政资金管理制度，按照项目实施方案、项目进度表严格执行，稳步推进，并对各项指标和指标值的设定要进一步优化、完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 xml:space="preserve"> 医院将严格按照要求督促施工单位尽快完工。依据主体结构工程每段楼层结构的模板，支撑及其相应的配件，加大投入模板，加大投入模板，缩短周转周期，合理安排施工工序，加大门诊楼建设的进度。</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leftChars="0"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经评价组通过实地调研、资料分析等方式，采用综合分析法、成本效益分析法、最低成本法、等对项目的决策、管理、绩效进行的综合评价分析，项目得分为98.5分，评价结果为中，详见附件4。</w:t>
      </w:r>
    </w:p>
    <w:p>
      <w:pPr>
        <w:pStyle w:val="22"/>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3" w:firstLineChars="200"/>
        <w:textAlignment w:val="auto"/>
        <w:rPr>
          <w:lang w:bidi="ar"/>
        </w:rPr>
      </w:pPr>
      <w:r>
        <w:rPr>
          <w:rFonts w:hint="eastAsia"/>
          <w:lang w:val="en-US" w:eastAsia="zh-CN" w:bidi="ar"/>
        </w:rPr>
        <w:t>四、</w:t>
      </w:r>
      <w:r>
        <w:rPr>
          <w:rFonts w:hint="eastAsia"/>
          <w:lang w:bidi="ar"/>
        </w:rPr>
        <w:t>绩效评价指标分析</w:t>
      </w:r>
      <w:bookmarkEnd w:id="7"/>
    </w:p>
    <w:p>
      <w:pPr>
        <w:pStyle w:val="18"/>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项目的决策情况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本项目的立项符合相关法规政策及部门职责，依据是充分；项目是按照规定的程序申请设立；审批文件、材料是符合相关要求；项目前期是已经过必要的可行性研究、专家论证、风险评估、绩效评估、集体决策。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项目根据相关文件要求设置了绩效目标，项目绩效目标基本合理，是与实际工作内容是否相关；项目预期产出效益和效果是符合正常的业绩水平；是与预算确定的项目投资额或资金量相匹配。</w:t>
      </w:r>
    </w:p>
    <w:p>
      <w:pPr>
        <w:pStyle w:val="18"/>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项目的过程情况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在资金管理方面，项目资金到位是足额及时，是及时支付，资金使用是符合国家法规和财务管理制度；资金拨付是有完整的审批程序和手续，是符合项目预算批复或合同规定的用途；不存在截留、挤占、挪用、虚列支出等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在项目组织实施方面，项目单位是已制定或具有相应的财务和业务管理制度，财务和业务管理制度是合法、合规、完整。项目实施是遵守相关法律法规和相关管理规定。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项目调整及支出调整手续是完备，项目合同书、验收报告、技术鉴定等资料是齐全并及时归档，项目实施的人员条件、场地设备、信息支撑等是落实到位。</w:t>
      </w:r>
    </w:p>
    <w:p>
      <w:pPr>
        <w:pStyle w:val="18"/>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highlight w:val="none"/>
          <w:lang w:bidi="ar"/>
        </w:rPr>
      </w:pPr>
      <w:r>
        <w:rPr>
          <w:rFonts w:hint="eastAsia" w:ascii="仿宋_GB2312" w:hAnsi="仿宋" w:eastAsia="仿宋_GB2312" w:cs="宋体"/>
          <w:b/>
          <w:bCs/>
          <w:sz w:val="32"/>
          <w:szCs w:val="32"/>
          <w:highlight w:val="none"/>
          <w:lang w:bidi="ar"/>
        </w:rPr>
        <w:t>项目产出情况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本项目新建门诊楼一栋，总建筑面积为2800平方米，预计使用50年，项目在签订合同后及时开工实施，门诊楼建设项目预计会给我院提高门诊的人流量，增加我院门诊收入，为了进一步完善叶城县人民医院的医疗设施，进一步解决人民群众看病就医困难，提高叶城县人民医院就医健康水平。全面改善医疗卫生基础设施建设，提升医疗卫生服务能力，不断提高人民群众的获得感和幸福感。</w:t>
      </w:r>
    </w:p>
    <w:tbl>
      <w:tblPr>
        <w:tblStyle w:val="13"/>
        <w:tblW w:w="8235" w:type="dxa"/>
        <w:tblInd w:w="0" w:type="dxa"/>
        <w:shd w:val="clear" w:color="auto" w:fill="auto"/>
        <w:tblLayout w:type="autofit"/>
        <w:tblCellMar>
          <w:top w:w="0" w:type="dxa"/>
          <w:left w:w="0" w:type="dxa"/>
          <w:bottom w:w="0" w:type="dxa"/>
          <w:right w:w="0" w:type="dxa"/>
        </w:tblCellMar>
      </w:tblPr>
      <w:tblGrid>
        <w:gridCol w:w="1080"/>
        <w:gridCol w:w="1110"/>
        <w:gridCol w:w="2805"/>
        <w:gridCol w:w="1620"/>
        <w:gridCol w:w="1620"/>
      </w:tblGrid>
      <w:tr>
        <w:tblPrEx>
          <w:shd w:val="clear" w:color="auto" w:fill="auto"/>
          <w:tblCellMar>
            <w:top w:w="0" w:type="dxa"/>
            <w:left w:w="0" w:type="dxa"/>
            <w:bottom w:w="0" w:type="dxa"/>
            <w:right w:w="0" w:type="dxa"/>
          </w:tblCellMar>
        </w:tblPrEx>
        <w:trPr>
          <w:trHeight w:val="5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62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1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医院业务用房建设面积（平方米）</w:t>
            </w:r>
          </w:p>
        </w:tc>
        <w:tc>
          <w:tcPr>
            <w:tcW w:w="162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2800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2800</w:t>
            </w:r>
          </w:p>
        </w:tc>
      </w:tr>
      <w:tr>
        <w:tblPrEx>
          <w:tblCellMar>
            <w:top w:w="0" w:type="dxa"/>
            <w:left w:w="0" w:type="dxa"/>
            <w:bottom w:w="0" w:type="dxa"/>
            <w:right w:w="0"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工程项目建设验收合格率（%）</w:t>
            </w:r>
          </w:p>
        </w:tc>
        <w:tc>
          <w:tcPr>
            <w:tcW w:w="162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项目开工率（%）</w:t>
            </w:r>
          </w:p>
        </w:tc>
        <w:tc>
          <w:tcPr>
            <w:tcW w:w="162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项目完工率（%）</w:t>
            </w:r>
          </w:p>
        </w:tc>
        <w:tc>
          <w:tcPr>
            <w:tcW w:w="162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建设项目成本标准（元/平方米）</w:t>
            </w:r>
          </w:p>
        </w:tc>
        <w:tc>
          <w:tcPr>
            <w:tcW w:w="162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1389</w:t>
            </w:r>
          </w:p>
        </w:tc>
        <w:tc>
          <w:tcPr>
            <w:tcW w:w="1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1389</w:t>
            </w:r>
          </w:p>
        </w:tc>
      </w:tr>
    </w:tbl>
    <w:p>
      <w:pPr>
        <w:pStyle w:val="18"/>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（四）项目效益情况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lang w:val="en-US" w:eastAsia="zh-CN"/>
        </w:rPr>
      </w:pPr>
      <w:r>
        <w:rPr>
          <w:rFonts w:hint="eastAsia" w:ascii="仿宋_GB2312" w:hAnsi="仿宋" w:eastAsia="仿宋_GB2312"/>
          <w:bCs/>
          <w:spacing w:val="-4"/>
          <w:sz w:val="32"/>
          <w:szCs w:val="32"/>
        </w:rPr>
        <w:t>医院自实施药品零差价销售政策制度以来，大大降低了群众医药费用负担，通过调整医疗服务价格，提升了医务人员服务质量和公立医院医疗技术水平，很好地改善了医患关系，有效地推进了社会医疗的和谐发展。随着改革深化，医疗服务能力进一步增强，患者对公立医院信任度越来越提高，公立医院成了广大患者生病时首选看病的第一选择，</w:t>
      </w:r>
      <w:r>
        <w:rPr>
          <w:rFonts w:hint="eastAsia" w:ascii="仿宋_GB2312" w:hAnsi="仿宋" w:eastAsia="仿宋_GB2312"/>
          <w:bCs/>
          <w:spacing w:val="-4"/>
          <w:sz w:val="32"/>
          <w:szCs w:val="32"/>
          <w:lang w:val="en-US" w:eastAsia="zh-CN"/>
        </w:rPr>
        <w:t>提高门诊病人就诊量增加收入95%，不断提高人民群众的获得感和幸福感。</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lang w:eastAsia="zh-CN"/>
        </w:rPr>
      </w:pPr>
      <w:r>
        <w:rPr>
          <w:rFonts w:hint="eastAsia" w:ascii="仿宋_GB2312" w:hAnsi="仿宋" w:eastAsia="仿宋_GB2312"/>
          <w:bCs/>
          <w:spacing w:val="-4"/>
          <w:sz w:val="32"/>
          <w:szCs w:val="32"/>
        </w:rPr>
        <w:t>通过对患者发放满意度调查表发现除部分患者因不识字调查表没有收回来和接受部分患者因病床紧张没有能够及时办理入院手续、医保系统被上级单位维护升级时不能够办理出院手续的意见外，满意度指标完成率达到</w:t>
      </w:r>
      <w:r>
        <w:rPr>
          <w:rFonts w:hint="eastAsia" w:ascii="仿宋_GB2312" w:hAnsi="仿宋" w:eastAsia="仿宋_GB2312"/>
          <w:bCs/>
          <w:spacing w:val="-4"/>
          <w:sz w:val="32"/>
          <w:szCs w:val="32"/>
          <w:lang w:val="en-US" w:eastAsia="zh-CN"/>
        </w:rPr>
        <w:t>76</w:t>
      </w:r>
      <w:r>
        <w:rPr>
          <w:rFonts w:hint="eastAsia" w:ascii="仿宋_GB2312" w:hAnsi="仿宋" w:eastAsia="仿宋_GB2312"/>
          <w:bCs/>
          <w:spacing w:val="-4"/>
          <w:sz w:val="32"/>
          <w:szCs w:val="32"/>
        </w:rPr>
        <w:t>%</w:t>
      </w:r>
      <w:r>
        <w:rPr>
          <w:rFonts w:hint="eastAsia" w:ascii="仿宋_GB2312" w:hAnsi="仿宋" w:eastAsia="仿宋_GB2312"/>
          <w:bCs/>
          <w:spacing w:val="-4"/>
          <w:sz w:val="32"/>
          <w:szCs w:val="32"/>
          <w:lang w:eastAsia="zh-CN"/>
        </w:rPr>
        <w:t>。</w:t>
      </w:r>
    </w:p>
    <w:tbl>
      <w:tblPr>
        <w:tblStyle w:val="13"/>
        <w:tblW w:w="8235" w:type="dxa"/>
        <w:tblInd w:w="0" w:type="dxa"/>
        <w:shd w:val="clear" w:color="auto" w:fill="auto"/>
        <w:tblLayout w:type="autofit"/>
        <w:tblCellMar>
          <w:top w:w="0" w:type="dxa"/>
          <w:left w:w="0" w:type="dxa"/>
          <w:bottom w:w="0" w:type="dxa"/>
          <w:right w:w="0" w:type="dxa"/>
        </w:tblCellMar>
      </w:tblPr>
      <w:tblGrid>
        <w:gridCol w:w="1080"/>
        <w:gridCol w:w="1110"/>
        <w:gridCol w:w="2805"/>
        <w:gridCol w:w="1620"/>
        <w:gridCol w:w="1620"/>
      </w:tblGrid>
      <w:tr>
        <w:tblPrEx>
          <w:shd w:val="clear" w:color="auto" w:fill="auto"/>
          <w:tblCellMar>
            <w:top w:w="0" w:type="dxa"/>
            <w:left w:w="0" w:type="dxa"/>
            <w:bottom w:w="0" w:type="dxa"/>
            <w:right w:w="0" w:type="dxa"/>
          </w:tblCellMar>
        </w:tblPrEx>
        <w:trPr>
          <w:trHeight w:val="500" w:hRule="atLeast"/>
        </w:trPr>
        <w:tc>
          <w:tcPr>
            <w:tcW w:w="108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11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8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62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62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080" w:type="dxa"/>
            <w:vMerge w:val="restart"/>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110" w:type="dxa"/>
            <w:tcBorders>
              <w:top w:val="single" w:color="auto"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80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提高门诊病人就诊量增加收入（%）</w:t>
            </w:r>
          </w:p>
        </w:tc>
        <w:tc>
          <w:tcPr>
            <w:tcW w:w="1620"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620"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r>
      <w:tr>
        <w:tblPrEx>
          <w:tblCellMar>
            <w:top w:w="0" w:type="dxa"/>
            <w:left w:w="0" w:type="dxa"/>
            <w:bottom w:w="0" w:type="dxa"/>
            <w:right w:w="0" w:type="dxa"/>
          </w:tblCellMar>
        </w:tblPrEx>
        <w:trPr>
          <w:trHeight w:val="500" w:hRule="atLeast"/>
        </w:trPr>
        <w:tc>
          <w:tcPr>
            <w:tcW w:w="1080"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不断提高人民群众的获得感和幸福感（%）</w:t>
            </w:r>
          </w:p>
        </w:tc>
        <w:tc>
          <w:tcPr>
            <w:tcW w:w="162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620"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080"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20"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0" w:hRule="atLeast"/>
        </w:trPr>
        <w:tc>
          <w:tcPr>
            <w:tcW w:w="1080"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门诊楼建设使用年限（年）</w:t>
            </w:r>
          </w:p>
        </w:tc>
        <w:tc>
          <w:tcPr>
            <w:tcW w:w="162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1620"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r>
      <w:tr>
        <w:tblPrEx>
          <w:tblCellMar>
            <w:top w:w="0" w:type="dxa"/>
            <w:left w:w="0" w:type="dxa"/>
            <w:bottom w:w="0" w:type="dxa"/>
            <w:right w:w="0" w:type="dxa"/>
          </w:tblCellMar>
        </w:tblPrEx>
        <w:trPr>
          <w:trHeight w:val="500" w:hRule="atLeast"/>
        </w:trPr>
        <w:tc>
          <w:tcPr>
            <w:tcW w:w="1080" w:type="dxa"/>
            <w:tcBorders>
              <w:top w:val="single" w:color="000000"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11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8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受益患者满意度（%）</w:t>
            </w:r>
          </w:p>
        </w:tc>
        <w:tc>
          <w:tcPr>
            <w:tcW w:w="1620"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620"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76%</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bidi="ar"/>
        </w:rPr>
      </w:pPr>
      <w:r>
        <w:rPr>
          <w:rFonts w:hint="eastAsia" w:ascii="黑体" w:hAnsi="黑体" w:eastAsia="黑体" w:cs="黑体"/>
          <w:sz w:val="32"/>
          <w:szCs w:val="32"/>
          <w:lang w:val="en-US" w:eastAsia="zh-CN"/>
        </w:rPr>
        <w:t>五、</w:t>
      </w:r>
      <w:r>
        <w:rPr>
          <w:rFonts w:hint="eastAsia" w:ascii="黑体" w:hAnsi="黑体" w:eastAsia="黑体" w:cs="黑体"/>
          <w:sz w:val="32"/>
          <w:szCs w:val="32"/>
        </w:rPr>
        <w:t>主要经验及做法、存在的问题及原因分析</w:t>
      </w:r>
    </w:p>
    <w:p>
      <w:pPr>
        <w:pStyle w:val="24"/>
        <w:keepNext w:val="0"/>
        <w:keepLines w:val="0"/>
        <w:pageBreakBefore w:val="0"/>
        <w:widowControl w:val="0"/>
        <w:numPr>
          <w:ilvl w:val="0"/>
          <w:numId w:val="9"/>
        </w:numPr>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r>
        <w:rPr>
          <w:rFonts w:hint="eastAsia"/>
          <w:lang w:bidi="ar"/>
        </w:rPr>
        <w:t>主要经验及做法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本项目实施效果较好的原因主要是管理制度完善、责任落实到位，跟踪考核机制完善且运行有效，在项目实施过程中创新管理办法，项目前期做好可行性研究报告，更加细化实施方案，严格执行资金管理办法和财政资金管理制度，严格按照项目实施方案、招投标管理办法等稳步推进工作。项目启动时同步做好档案的归档与整理，及时整理、收集、汇总，健全档案资料，通过预算绩效管理，总结了工作中的较好的经验，如：设备项目建设涉及财政、卫生、等多个部门，通过强有力的组织领导和统一、高效、科学、务实的管理机构和运行机制。负责全面协调项目实施过程中的各项工作，保证项目的顺利实施。</w:t>
      </w:r>
    </w:p>
    <w:p>
      <w:pPr>
        <w:pStyle w:val="24"/>
        <w:keepNext w:val="0"/>
        <w:keepLines w:val="0"/>
        <w:pageBreakBefore w:val="0"/>
        <w:widowControl w:val="0"/>
        <w:numPr>
          <w:ilvl w:val="0"/>
          <w:numId w:val="9"/>
        </w:numPr>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r>
        <w:rPr>
          <w:rFonts w:hint="eastAsia"/>
          <w:lang w:bidi="ar"/>
        </w:rPr>
        <w:t>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存在的问题；叶城县人民医院门诊楼建设项目偏离绩效目标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原因；春节后，因新冠肺炎疫情影响，直至3月中旬才复工复产，导致项目进度进一步延后。</w:t>
      </w:r>
    </w:p>
    <w:p>
      <w:pPr>
        <w:pStyle w:val="22"/>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ascii="黑体" w:hAnsi="黑体"/>
          <w:b w:val="0"/>
          <w:bCs w:val="0"/>
        </w:rPr>
      </w:pPr>
      <w:r>
        <w:rPr>
          <w:rFonts w:hint="eastAsia" w:ascii="黑体" w:hAnsi="黑体"/>
          <w:b w:val="0"/>
          <w:bCs w:val="0"/>
          <w:lang w:val="en-US" w:eastAsia="zh-CN"/>
        </w:rPr>
        <w:t>六、</w:t>
      </w:r>
      <w:r>
        <w:rPr>
          <w:rFonts w:hint="eastAsia" w:ascii="黑体" w:hAnsi="黑体"/>
          <w:b w:val="0"/>
          <w:bCs w:val="0"/>
        </w:rPr>
        <w:t>有关建议</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b w:val="0"/>
          <w:highlight w:val="yellow"/>
          <w:lang w:eastAsia="zh-CN" w:bidi="ar"/>
        </w:rPr>
      </w:pPr>
      <w:r>
        <w:rPr>
          <w:rFonts w:hint="eastAsia" w:ascii="仿宋_GB2312" w:hAnsi="仿宋" w:eastAsia="仿宋_GB2312" w:cs="Times New Roman"/>
          <w:sz w:val="32"/>
          <w:szCs w:val="32"/>
          <w:lang w:val="en-US" w:eastAsia="zh-CN"/>
        </w:rPr>
        <w:t xml:space="preserve"> 存在的问题；叶城县人民医院门诊楼建设项目偏离绩效目标，下一步改进措施：复工复产后，目前项目已全部开工，正在协调一切资源全力抢工，预计5月份完工。年初做好资金计划，按照项目进度及时拨付资金，使资金使用效益最大化，减少不必要的浪费，节约成本，在今后的医疗服务工作中，我院将不断提高工作人员业务水平和职业道德，注重人才建设和各项设施配套，加强对管理人员和工作人员的专业技能、专业知识培训，激励工作人员大胆创新，不断提高工作质量，更好满足广大患者的需求。</w:t>
      </w:r>
    </w:p>
    <w:p>
      <w:pPr>
        <w:pStyle w:val="22"/>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ascii="黑体" w:hAnsi="黑体"/>
          <w:b w:val="0"/>
          <w:bCs w:val="0"/>
        </w:rPr>
      </w:pPr>
      <w:r>
        <w:rPr>
          <w:rFonts w:hint="eastAsia" w:ascii="黑体" w:hAnsi="黑体"/>
          <w:b w:val="0"/>
          <w:bCs w:val="0"/>
          <w:lang w:val="en-US" w:eastAsia="zh-CN"/>
        </w:rPr>
        <w:t>七、</w:t>
      </w:r>
      <w:r>
        <w:rPr>
          <w:rFonts w:hint="eastAsia" w:ascii="黑体" w:hAnsi="黑体"/>
          <w:b w:val="0"/>
          <w:bCs w:val="0"/>
        </w:rPr>
        <w:t>其他需要说明的问题</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 w:val="0"/>
          <w:kern w:val="2"/>
          <w:sz w:val="32"/>
          <w:szCs w:val="32"/>
          <w:lang w:val="en-US" w:eastAsia="zh-CN" w:bidi="ar"/>
        </w:rPr>
      </w:pPr>
      <w:r>
        <w:rPr>
          <w:rFonts w:hint="eastAsia" w:ascii="仿宋_GB2312" w:hAnsi="仿宋" w:eastAsia="仿宋_GB2312" w:cs="宋体"/>
          <w:b w:val="0"/>
          <w:kern w:val="2"/>
          <w:sz w:val="32"/>
          <w:szCs w:val="32"/>
          <w:lang w:val="en-US" w:eastAsia="zh-CN" w:bidi="ar"/>
        </w:rPr>
        <w:t>该项目无其他说明问题</w:t>
      </w:r>
    </w:p>
    <w:p>
      <w:pPr>
        <w:pStyle w:val="2"/>
        <w:keepNext w:val="0"/>
        <w:keepLines w:val="0"/>
        <w:pageBreakBefore w:val="0"/>
        <w:widowControl w:val="0"/>
        <w:kinsoku/>
        <w:wordWrap/>
        <w:overflowPunct/>
        <w:topLinePunct w:val="0"/>
        <w:autoSpaceDE/>
        <w:autoSpaceDN/>
        <w:bidi w:val="0"/>
        <w:adjustRightInd/>
        <w:snapToGrid/>
        <w:spacing w:before="0" w:line="560" w:lineRule="exact"/>
        <w:ind w:leftChars="0" w:firstLine="562" w:firstLineChars="200"/>
        <w:textAlignment w:val="auto"/>
        <w:rPr>
          <w:rFonts w:hint="default"/>
          <w:lang w:val="en-US"/>
        </w:rPr>
      </w:pP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附件1：喀什地区人民医院门诊楼项目支出绩效目标申报表</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附件2：喀什地区人民医院门诊楼项目支出绩效自评表</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附件3：喀什地区人民医院门诊楼项目支出绩效评价指标体系</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3EC64C"/>
    <w:multiLevelType w:val="singleLevel"/>
    <w:tmpl w:val="B53EC64C"/>
    <w:lvl w:ilvl="0" w:tentative="0">
      <w:start w:val="2"/>
      <w:numFmt w:val="chineseCounting"/>
      <w:suff w:val="nothing"/>
      <w:lvlText w:val="（%1）"/>
      <w:lvlJc w:val="left"/>
      <w:rPr>
        <w:rFonts w:hint="eastAsia"/>
      </w:rPr>
    </w:lvl>
  </w:abstractNum>
  <w:abstractNum w:abstractNumId="1">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2">
    <w:nsid w:val="3A7260C0"/>
    <w:multiLevelType w:val="multilevel"/>
    <w:tmpl w:val="3A7260C0"/>
    <w:lvl w:ilvl="0" w:tentative="0">
      <w:start w:val="1"/>
      <w:numFmt w:val="chineseCountingThousand"/>
      <w:pStyle w:val="24"/>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5">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5D5DB245"/>
    <w:multiLevelType w:val="singleLevel"/>
    <w:tmpl w:val="5D5DB245"/>
    <w:lvl w:ilvl="0" w:tentative="0">
      <w:start w:val="3"/>
      <w:numFmt w:val="chineseCounting"/>
      <w:suff w:val="nothing"/>
      <w:lvlText w:val="%1．"/>
      <w:lvlJc w:val="left"/>
      <w:rPr>
        <w:rFonts w:hint="eastAsia"/>
      </w:rPr>
    </w:lvl>
  </w:abstractNum>
  <w:abstractNum w:abstractNumId="7">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2"/>
  </w:num>
  <w:num w:numId="2">
    <w:abstractNumId w:val="7"/>
  </w:num>
  <w:num w:numId="3">
    <w:abstractNumId w:val="4"/>
  </w:num>
  <w:num w:numId="4">
    <w:abstractNumId w:val="3"/>
  </w:num>
  <w:num w:numId="5">
    <w:abstractNumId w:val="1"/>
  </w:num>
  <w:num w:numId="6">
    <w:abstractNumId w:val="0"/>
  </w:num>
  <w:num w:numId="7">
    <w:abstractNumId w:val="6"/>
  </w:num>
  <w:num w:numId="8">
    <w:abstractNumId w:val="5"/>
  </w:num>
  <w:num w:numId="9">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07AE4845"/>
    <w:rsid w:val="0E185AB7"/>
    <w:rsid w:val="12A353C8"/>
    <w:rsid w:val="12E519B1"/>
    <w:rsid w:val="1389659B"/>
    <w:rsid w:val="1A090D18"/>
    <w:rsid w:val="217F35A7"/>
    <w:rsid w:val="24E73B1F"/>
    <w:rsid w:val="26F03C06"/>
    <w:rsid w:val="2A547683"/>
    <w:rsid w:val="2EC539C0"/>
    <w:rsid w:val="306A4501"/>
    <w:rsid w:val="318D0B7C"/>
    <w:rsid w:val="31C366C0"/>
    <w:rsid w:val="33CA34B6"/>
    <w:rsid w:val="35FA1EC2"/>
    <w:rsid w:val="3B476E39"/>
    <w:rsid w:val="3BBC600E"/>
    <w:rsid w:val="3BC01B4C"/>
    <w:rsid w:val="42DF0FB6"/>
    <w:rsid w:val="46C16BC4"/>
    <w:rsid w:val="509F44DE"/>
    <w:rsid w:val="52F52F7C"/>
    <w:rsid w:val="55945462"/>
    <w:rsid w:val="57964064"/>
    <w:rsid w:val="587C6D0C"/>
    <w:rsid w:val="5A781A20"/>
    <w:rsid w:val="5EC352DB"/>
    <w:rsid w:val="667765BF"/>
    <w:rsid w:val="66EA4FF8"/>
    <w:rsid w:val="68AC0EA3"/>
    <w:rsid w:val="69C47077"/>
    <w:rsid w:val="72397DAD"/>
    <w:rsid w:val="7775238E"/>
    <w:rsid w:val="781363BC"/>
    <w:rsid w:val="78D25E9F"/>
    <w:rsid w:val="7A8638D9"/>
    <w:rsid w:val="7AA53C5F"/>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7"/>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toc 3"/>
    <w:basedOn w:val="1"/>
    <w:next w:val="1"/>
    <w:semiHidden/>
    <w:unhideWhenUsed/>
    <w:qFormat/>
    <w:uiPriority w:val="39"/>
    <w:rPr>
      <w:rFonts w:eastAsia="仿宋_GB2312"/>
      <w:sz w:val="28"/>
    </w:rPr>
  </w:style>
  <w:style w:type="paragraph" w:styleId="7">
    <w:name w:val="Balloon Text"/>
    <w:basedOn w:val="1"/>
    <w:link w:val="21"/>
    <w:semiHidden/>
    <w:unhideWhenUsed/>
    <w:qFormat/>
    <w:uiPriority w:val="99"/>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qFormat/>
    <w:uiPriority w:val="99"/>
    <w:rPr>
      <w:color w:val="0563C1" w:themeColor="hyperlink"/>
      <w:u w:val="single"/>
      <w14:textFill>
        <w14:solidFill>
          <w14:schemeClr w14:val="hlink"/>
        </w14:solidFill>
      </w14:textFill>
    </w:rPr>
  </w:style>
  <w:style w:type="character" w:customStyle="1" w:styleId="17">
    <w:name w:val="标题 1 字符"/>
    <w:basedOn w:val="15"/>
    <w:link w:val="2"/>
    <w:qFormat/>
    <w:uiPriority w:val="9"/>
    <w:rPr>
      <w:rFonts w:ascii="Times New Roman" w:hAnsi="Times New Roman" w:eastAsia="黑体" w:cs="Arial"/>
      <w:b/>
      <w:bCs/>
      <w:kern w:val="44"/>
      <w:sz w:val="28"/>
      <w:szCs w:val="44"/>
    </w:rPr>
  </w:style>
  <w:style w:type="paragraph" w:styleId="18">
    <w:name w:val="List Paragraph"/>
    <w:basedOn w:val="1"/>
    <w:qFormat/>
    <w:uiPriority w:val="34"/>
    <w:pPr>
      <w:ind w:firstLine="420" w:firstLineChars="200"/>
    </w:pPr>
  </w:style>
  <w:style w:type="character" w:customStyle="1" w:styleId="19">
    <w:name w:val="页眉 字符"/>
    <w:basedOn w:val="15"/>
    <w:link w:val="9"/>
    <w:qFormat/>
    <w:uiPriority w:val="99"/>
    <w:rPr>
      <w:sz w:val="18"/>
      <w:szCs w:val="18"/>
    </w:rPr>
  </w:style>
  <w:style w:type="character" w:customStyle="1" w:styleId="20">
    <w:name w:val="页脚 字符"/>
    <w:basedOn w:val="15"/>
    <w:link w:val="8"/>
    <w:qFormat/>
    <w:uiPriority w:val="99"/>
    <w:rPr>
      <w:sz w:val="18"/>
      <w:szCs w:val="18"/>
    </w:rPr>
  </w:style>
  <w:style w:type="character" w:customStyle="1" w:styleId="21">
    <w:name w:val="批注框文本 字符"/>
    <w:basedOn w:val="15"/>
    <w:link w:val="7"/>
    <w:semiHidden/>
    <w:qFormat/>
    <w:uiPriority w:val="99"/>
    <w:rPr>
      <w:sz w:val="18"/>
      <w:szCs w:val="18"/>
    </w:rPr>
  </w:style>
  <w:style w:type="paragraph" w:customStyle="1" w:styleId="22">
    <w:name w:val="标题1"/>
    <w:basedOn w:val="2"/>
    <w:qFormat/>
    <w:uiPriority w:val="0"/>
    <w:pPr>
      <w:spacing w:before="120" w:after="120" w:line="500" w:lineRule="exact"/>
      <w:ind w:firstLine="200" w:firstLineChars="200"/>
    </w:pPr>
    <w:rPr>
      <w:rFonts w:cs="Times New Roman"/>
      <w:sz w:val="32"/>
      <w:szCs w:val="32"/>
    </w:rPr>
  </w:style>
  <w:style w:type="character" w:customStyle="1" w:styleId="23">
    <w:name w:val="标题 2 字符"/>
    <w:basedOn w:val="15"/>
    <w:link w:val="3"/>
    <w:qFormat/>
    <w:uiPriority w:val="9"/>
    <w:rPr>
      <w:rFonts w:asciiTheme="majorHAnsi" w:hAnsiTheme="majorHAnsi" w:eastAsiaTheme="majorEastAsia" w:cstheme="majorBidi"/>
      <w:b/>
      <w:bCs/>
      <w:sz w:val="32"/>
      <w:szCs w:val="32"/>
    </w:rPr>
  </w:style>
  <w:style w:type="paragraph" w:customStyle="1" w:styleId="24">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6">
    <w:name w:val="闻政正文 Char"/>
    <w:link w:val="27"/>
    <w:qFormat/>
    <w:uiPriority w:val="0"/>
    <w:rPr>
      <w:rFonts w:ascii="Times New Roman" w:hAnsi="Times New Roman" w:eastAsia="仿宋_GB2312" w:cs="Times New Roman"/>
      <w:sz w:val="28"/>
      <w:szCs w:val="28"/>
    </w:rPr>
  </w:style>
  <w:style w:type="paragraph" w:customStyle="1" w:styleId="27">
    <w:name w:val="闻政正文"/>
    <w:basedOn w:val="1"/>
    <w:link w:val="26"/>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8">
    <w:name w:val="闻政表 Char"/>
    <w:link w:val="29"/>
    <w:qFormat/>
    <w:uiPriority w:val="0"/>
    <w:rPr>
      <w:rFonts w:ascii="Times New Roman" w:hAnsi="Times New Roman" w:eastAsia="仿宋_GB2312" w:cs="Times New Roman"/>
      <w:b/>
      <w:sz w:val="24"/>
      <w:szCs w:val="28"/>
    </w:rPr>
  </w:style>
  <w:style w:type="paragraph" w:customStyle="1" w:styleId="29">
    <w:name w:val="闻政表"/>
    <w:basedOn w:val="1"/>
    <w:link w:val="28"/>
    <w:qFormat/>
    <w:uiPriority w:val="0"/>
    <w:pPr>
      <w:spacing w:before="60" w:after="60"/>
      <w:jc w:val="center"/>
    </w:pPr>
    <w:rPr>
      <w:rFonts w:ascii="Times New Roman" w:hAnsi="Times New Roman" w:eastAsia="仿宋_GB2312" w:cs="Times New Roman"/>
      <w:b/>
      <w:sz w:val="24"/>
      <w:szCs w:val="28"/>
    </w:rPr>
  </w:style>
  <w:style w:type="paragraph" w:customStyle="1" w:styleId="30">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1">
    <w:name w:val="闻政标题3 Char"/>
    <w:link w:val="32"/>
    <w:qFormat/>
    <w:uiPriority w:val="0"/>
    <w:rPr>
      <w:rFonts w:ascii="黑体" w:hAnsi="黑体" w:eastAsia="黑体" w:cs="Times New Roman"/>
      <w:bCs/>
      <w:sz w:val="32"/>
      <w:szCs w:val="32"/>
    </w:rPr>
  </w:style>
  <w:style w:type="paragraph" w:customStyle="1" w:styleId="32">
    <w:name w:val="闻政标题3"/>
    <w:basedOn w:val="4"/>
    <w:link w:val="31"/>
    <w:qFormat/>
    <w:uiPriority w:val="99"/>
    <w:pPr>
      <w:spacing w:before="120" w:after="60" w:line="500" w:lineRule="exact"/>
      <w:jc w:val="left"/>
      <w:outlineLvl w:val="0"/>
    </w:pPr>
    <w:rPr>
      <w:rFonts w:ascii="黑体" w:hAnsi="黑体" w:eastAsia="黑体" w:cs="Times New Roman"/>
      <w:b w:val="0"/>
    </w:rPr>
  </w:style>
  <w:style w:type="character" w:customStyle="1" w:styleId="33">
    <w:name w:val="标题 3 字符"/>
    <w:basedOn w:val="15"/>
    <w:link w:val="4"/>
    <w:semiHidden/>
    <w:qFormat/>
    <w:uiPriority w:val="9"/>
    <w:rPr>
      <w:b/>
      <w:bCs/>
      <w:sz w:val="32"/>
      <w:szCs w:val="32"/>
    </w:rPr>
  </w:style>
  <w:style w:type="paragraph" w:customStyle="1" w:styleId="34">
    <w:name w:val="Body text|1"/>
    <w:basedOn w:val="1"/>
    <w:link w:val="35"/>
    <w:qFormat/>
    <w:uiPriority w:val="0"/>
    <w:pPr>
      <w:spacing w:after="40" w:line="334" w:lineRule="auto"/>
    </w:pPr>
    <w:rPr>
      <w:rFonts w:ascii="MingLiU" w:hAnsi="MingLiU" w:eastAsia="MingLiU" w:cs="MingLiU"/>
      <w:sz w:val="20"/>
      <w:szCs w:val="20"/>
      <w:lang w:val="zh-TW" w:eastAsia="zh-TW" w:bidi="zh-TW"/>
    </w:rPr>
  </w:style>
  <w:style w:type="character" w:customStyle="1" w:styleId="35">
    <w:name w:val="Body text|1_"/>
    <w:basedOn w:val="15"/>
    <w:link w:val="34"/>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12F1EB-F90A-43BA-ADA9-C32044478457}">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898</Words>
  <Characters>5120</Characters>
  <Lines>42</Lines>
  <Paragraphs>12</Paragraphs>
  <TotalTime>3</TotalTime>
  <ScaleCrop>false</ScaleCrop>
  <LinksUpToDate>false</LinksUpToDate>
  <CharactersWithSpaces>6006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2023-12-01T08:05:17Z</dcterms:modified>
  <dc:title>新疆普天鹏华商务信息咨询有限公司</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