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r>
        <w:rPr>
          <w:rFonts w:hint="eastAsia" w:ascii="方正小标宋简体" w:eastAsia="方正小标宋简体"/>
          <w:sz w:val="44"/>
          <w:szCs w:val="44"/>
        </w:rPr>
        <w:t>喀什地区叶城县劳动就业保险管理局中人职业年金补助项目支出绩效评价报告</w:t>
      </w: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spacing w:val="-2"/>
          <w:sz w:val="36"/>
          <w:szCs w:val="36"/>
        </w:rPr>
      </w:pPr>
      <w:r>
        <w:rPr>
          <w:rFonts w:hint="eastAsia" w:ascii="仿宋_GB2312" w:hAnsi="仿宋" w:eastAsia="仿宋_GB2312"/>
          <w:spacing w:val="-2"/>
          <w:sz w:val="36"/>
          <w:szCs w:val="36"/>
        </w:rPr>
        <w:t>项目名称：中人职业年金补助项目</w:t>
      </w:r>
    </w:p>
    <w:p>
      <w:pPr>
        <w:autoSpaceDE w:val="0"/>
        <w:autoSpaceDN w:val="0"/>
        <w:spacing w:line="540" w:lineRule="exact"/>
        <w:ind w:firstLine="712" w:firstLineChars="200"/>
        <w:rPr>
          <w:rFonts w:ascii="仿宋_GB2312" w:hAnsi="仿宋" w:eastAsia="仿宋_GB2312"/>
          <w:spacing w:val="-2"/>
          <w:sz w:val="36"/>
          <w:szCs w:val="36"/>
        </w:rPr>
      </w:pPr>
      <w:r>
        <w:rPr>
          <w:rFonts w:hint="eastAsia" w:ascii="仿宋_GB2312" w:hAnsi="仿宋" w:eastAsia="仿宋_GB2312"/>
          <w:spacing w:val="-2"/>
          <w:sz w:val="36"/>
          <w:szCs w:val="36"/>
        </w:rPr>
        <w:t>实施单位：叶城县劳动就业保险管理局</w:t>
      </w:r>
    </w:p>
    <w:p>
      <w:pPr>
        <w:autoSpaceDE w:val="0"/>
        <w:autoSpaceDN w:val="0"/>
        <w:spacing w:line="540" w:lineRule="exact"/>
        <w:ind w:firstLine="712" w:firstLineChars="200"/>
        <w:rPr>
          <w:rFonts w:ascii="仿宋_GB2312" w:hAnsi="仿宋" w:eastAsia="仿宋_GB2312"/>
          <w:spacing w:val="-2"/>
          <w:sz w:val="36"/>
          <w:szCs w:val="36"/>
        </w:rPr>
      </w:pPr>
      <w:r>
        <w:rPr>
          <w:rFonts w:hint="eastAsia" w:ascii="仿宋_GB2312" w:hAnsi="仿宋" w:eastAsia="仿宋_GB2312"/>
          <w:spacing w:val="-2"/>
          <w:sz w:val="36"/>
          <w:szCs w:val="36"/>
        </w:rPr>
        <w:t>评价部门：叶城县劳动就业保险管理局</w:t>
      </w:r>
    </w:p>
    <w:p>
      <w:pPr>
        <w:autoSpaceDE w:val="0"/>
        <w:autoSpaceDN w:val="0"/>
        <w:spacing w:line="540" w:lineRule="exact"/>
        <w:ind w:firstLine="712" w:firstLineChars="200"/>
        <w:rPr>
          <w:rFonts w:ascii="仿宋_GB2312" w:hAnsi="仿宋" w:eastAsia="仿宋_GB2312"/>
          <w:spacing w:val="-2"/>
          <w:sz w:val="36"/>
          <w:szCs w:val="36"/>
        </w:rPr>
      </w:pPr>
    </w:p>
    <w:p>
      <w:pPr>
        <w:autoSpaceDE w:val="0"/>
        <w:autoSpaceDN w:val="0"/>
        <w:spacing w:line="540" w:lineRule="exact"/>
        <w:ind w:firstLine="712" w:firstLineChars="200"/>
        <w:rPr>
          <w:rFonts w:ascii="仿宋_GB2312" w:hAnsi="仿宋" w:eastAsia="仿宋_GB2312"/>
          <w:spacing w:val="-2"/>
          <w:sz w:val="36"/>
          <w:szCs w:val="36"/>
        </w:rPr>
      </w:pPr>
    </w:p>
    <w:p>
      <w:pPr>
        <w:autoSpaceDE w:val="0"/>
        <w:autoSpaceDN w:val="0"/>
        <w:spacing w:line="540" w:lineRule="exact"/>
        <w:ind w:firstLine="2136" w:firstLineChars="600"/>
        <w:rPr>
          <w:rFonts w:ascii="仿宋_GB2312" w:hAnsi="仿宋" w:eastAsia="仿宋_GB2312"/>
          <w:spacing w:val="-2"/>
          <w:sz w:val="36"/>
          <w:szCs w:val="36"/>
        </w:rPr>
      </w:pPr>
    </w:p>
    <w:p>
      <w:pPr>
        <w:autoSpaceDE w:val="0"/>
        <w:autoSpaceDN w:val="0"/>
        <w:spacing w:line="540" w:lineRule="exact"/>
        <w:ind w:firstLine="2848" w:firstLineChars="800"/>
        <w:rPr>
          <w:rFonts w:ascii="仿宋_GB2312" w:hAnsi="仿宋" w:eastAsia="仿宋_GB2312"/>
          <w:spacing w:val="-2"/>
          <w:sz w:val="36"/>
          <w:szCs w:val="36"/>
        </w:rPr>
      </w:pPr>
      <w:r>
        <w:rPr>
          <w:rFonts w:hint="eastAsia" w:ascii="仿宋_GB2312" w:hAnsi="仿宋" w:eastAsia="仿宋_GB2312"/>
          <w:spacing w:val="-2"/>
          <w:sz w:val="36"/>
          <w:szCs w:val="36"/>
        </w:rPr>
        <w:t>二零二零年四月</w:t>
      </w:r>
    </w:p>
    <w:p>
      <w:pPr>
        <w:spacing w:beforeLines="50" w:line="240" w:lineRule="atLeast"/>
        <w:jc w:val="left"/>
        <w:rPr>
          <w:rFonts w:eastAsia="Times New Roman"/>
          <w:sz w:val="28"/>
          <w:szCs w:val="28"/>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pStyle w:val="19"/>
        <w:numPr>
          <w:ilvl w:val="0"/>
          <w:numId w:val="2"/>
        </w:numPr>
        <w:ind w:firstLineChars="0"/>
      </w:pPr>
      <w:r>
        <w:rPr>
          <w:rFonts w:hint="eastAsia"/>
        </w:rPr>
        <w:t>基本情况</w:t>
      </w:r>
    </w:p>
    <w:p>
      <w:pPr>
        <w:pStyle w:val="20"/>
        <w:ind w:left="0" w:firstLine="643" w:firstLineChars="200"/>
      </w:pPr>
      <w:bookmarkStart w:id="0" w:name="_Toc26401549"/>
      <w:r>
        <w:rPr>
          <w:rFonts w:hint="eastAsia"/>
        </w:rPr>
        <w:t>项目概况</w:t>
      </w:r>
      <w:bookmarkEnd w:id="0"/>
    </w:p>
    <w:p>
      <w:pPr>
        <w:pStyle w:val="18"/>
        <w:keepNext w:val="0"/>
        <w:keepLines w:val="0"/>
        <w:pageBreakBefore w:val="0"/>
        <w:widowControl w:val="0"/>
        <w:numPr>
          <w:ilvl w:val="0"/>
          <w:numId w:val="3"/>
        </w:numPr>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本项目根据《自治区机关事业单位职业年金补助项目》文件、项目资金管理办法的要求，叶城县严格按照《机关事业单位职业年金办法》的精神，项目资金规定的专项资金支持的项目条件和范围要求，严格按照有关规定使用管理项目资金。</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叶城县劳动就业保险管理局为行政单位，内设机构为六个，即：行政办公室、基金征缴股、医疗保险股、待遇支付股、基金财务、统计股和城乡居民社会养老保险办公室。叶城县劳动就业保险管理2019年末人员编制39名，其中：行政编制0名，工勤编制0名；事业编制39名。2019年末实有人员数18名行政人员和事业人员。</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作为叶城县人民政府职能部门，该局负责经办叶城县范围内养老保险、医疗保险、失业保险、工伤保险、生育保险五大社会保险及其配套险种有关业务，并履行《社会保险法》等法律法规赋予的行政职能。</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项目主要内容及实施情况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lang w:val="en-US" w:eastAsia="zh-CN"/>
        </w:rPr>
      </w:pPr>
      <w:r>
        <w:rPr>
          <w:rFonts w:hint="eastAsia" w:ascii="仿宋_GB2312" w:hAnsi="仿宋" w:eastAsia="仿宋_GB2312" w:cs="宋体"/>
          <w:sz w:val="32"/>
          <w:szCs w:val="32"/>
          <w:lang w:val="en-US" w:eastAsia="zh-CN"/>
        </w:rPr>
        <w:t>项目的主要内容为：本项目的主管部门为叶城县人社局,实施单位为叶城县劳动就业保险管理局，主要职责为保障项目的顺利实施，组织叶城县人事局进行全县中人职业年金补助发放工作，保质保量完成。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lang w:val="en-US" w:eastAsia="zh-CN"/>
        </w:rPr>
      </w:pPr>
      <w:r>
        <w:rPr>
          <w:rFonts w:hint="eastAsia" w:ascii="仿宋_GB2312" w:hAnsi="仿宋" w:eastAsia="仿宋_GB2312" w:cs="宋体"/>
          <w:sz w:val="32"/>
          <w:szCs w:val="32"/>
          <w:lang w:val="en-US" w:eastAsia="zh-CN"/>
        </w:rPr>
        <w:t>项目的实施情况：本项目自2019年3月5日经根据《自治区机关事业单位职业年金补助项目》文件批复，经《叶城县劳动就业保险管理局中人职业年金补助项目》会议，确定了项目领导小组，明确了责任分工：由本单位完成项目初步设计，编制了实施方案、贯彻执行社会养老保险的各项法律，法规以及党和国家有关社会保险的方针，政策，深化社会保险制度改革，贯彻落实自治区、地区人社工作会议精神和县委全委（扩大）会议提出的各项目标及措施始终坚持群众第一、民生优先，紧紧围绕社会保险</w:t>
      </w:r>
      <w:bookmarkStart w:id="8" w:name="_GoBack"/>
      <w:bookmarkEnd w:id="8"/>
      <w:r>
        <w:rPr>
          <w:rFonts w:hint="eastAsia" w:ascii="仿宋_GB2312" w:hAnsi="仿宋" w:eastAsia="仿宋_GB2312" w:cs="宋体"/>
          <w:sz w:val="32"/>
          <w:szCs w:val="32"/>
          <w:lang w:val="en-US" w:eastAsia="zh-CN"/>
        </w:rPr>
        <w:t>工作，把围绕群众急需解决的民生难题，加大监督力度，狠抓各项工作落实力度，确保上级各项决策部署落到实处，全面推进我县社会养老保险事业的发展。</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lang w:val="en-US" w:eastAsia="zh-CN"/>
        </w:rPr>
      </w:pPr>
      <w:r>
        <w:rPr>
          <w:rFonts w:hint="eastAsia" w:ascii="仿宋_GB2312" w:hAnsi="仿宋" w:eastAsia="仿宋_GB2312" w:cs="宋体"/>
          <w:sz w:val="32"/>
          <w:szCs w:val="32"/>
          <w:lang w:val="en-US" w:eastAsia="zh-CN"/>
        </w:rPr>
        <w:t>项目实施前资金管理和发放方面做好项目预算工作进行充分调研，制定了实施方案，项目实施过程中严格按照实施方案进行实施并及时进行监督管理。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lang w:val="en-US" w:eastAsia="zh-CN"/>
        </w:rPr>
      </w:pPr>
      <w:r>
        <w:rPr>
          <w:rFonts w:hint="eastAsia" w:ascii="仿宋_GB2312" w:hAnsi="仿宋" w:eastAsia="仿宋_GB2312" w:cs="宋体"/>
          <w:kern w:val="2"/>
          <w:sz w:val="32"/>
          <w:szCs w:val="32"/>
          <w:lang w:val="en-US" w:eastAsia="zh-CN" w:bidi="ar-SA"/>
        </w:rPr>
        <w:t>3.项</w:t>
      </w:r>
      <w:r>
        <w:rPr>
          <w:rFonts w:hint="eastAsia" w:ascii="仿宋_GB2312" w:hAnsi="仿宋" w:eastAsia="仿宋_GB2312" w:cs="宋体"/>
          <w:sz w:val="32"/>
          <w:szCs w:val="32"/>
          <w:lang w:val="en-US" w:eastAsia="zh-CN"/>
        </w:rPr>
        <w:t>目负责人为张江全，主要职责为对整个项目的组织机构设置、成本、质量、进度、安全文明、经济合同审核签字、财务等总负责，负责医院项目工作开展的协调、准备、保障及落实工作，负责完成项目执行科室有关项目推进的考核评价工作，及时解决项目推进过程中发现的问题，或逐级上报主管院领导研究解决，负责与项目合作单位的沟通和协调，组织项目相关会议及活动。</w:t>
      </w:r>
    </w:p>
    <w:p>
      <w:pPr>
        <w:pStyle w:val="20"/>
        <w:keepNext w:val="0"/>
        <w:keepLines w:val="0"/>
        <w:pageBreakBefore w:val="0"/>
        <w:widowControl w:val="0"/>
        <w:kinsoku/>
        <w:wordWrap/>
        <w:overflowPunct/>
        <w:topLinePunct w:val="0"/>
        <w:autoSpaceDE/>
        <w:autoSpaceDN/>
        <w:bidi w:val="0"/>
        <w:spacing w:before="0" w:after="0" w:line="560" w:lineRule="exact"/>
        <w:ind w:left="0" w:leftChars="0" w:firstLine="643" w:firstLineChars="200"/>
        <w:textAlignment w:val="auto"/>
      </w:pPr>
      <w:bookmarkStart w:id="1" w:name="_Toc26401550"/>
      <w:r>
        <w:rPr>
          <w:rFonts w:hint="eastAsia"/>
        </w:rPr>
        <w:t>资金</w:t>
      </w:r>
      <w:bookmarkEnd w:id="1"/>
      <w:r>
        <w:rPr>
          <w:rFonts w:hint="eastAsia"/>
        </w:rPr>
        <w:t>投入和使用情况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根据《自治区机关事业单位职业年金补助项目》文件要求，下达中人职业年金补助资金1319.69万元，到位资金1319.69万元，专项转移支付项目资金1319.69万元，其中：财政资金1319.69万元，其他资金0万元、预算执行率100%。</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本项目总投资1319.69元，资金来源为县级专项资金、一般债券资金中央债券转贷资金0元。</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中人职业年金补助项目资金的使用范围：全县参加职业年金计划的机关事业单位</w:t>
      </w:r>
      <w:r>
        <w:rPr>
          <w:rFonts w:hint="eastAsia" w:ascii="仿宋_GB2312" w:hAnsi="仿宋" w:eastAsia="仿宋_GB2312" w:cs="宋体"/>
          <w:sz w:val="32"/>
          <w:szCs w:val="32"/>
          <w:lang w:eastAsia="zh-CN"/>
        </w:rPr>
        <w:t>在职人员</w:t>
      </w:r>
      <w:r>
        <w:rPr>
          <w:rFonts w:hint="eastAsia" w:ascii="仿宋_GB2312" w:hAnsi="仿宋" w:eastAsia="仿宋_GB2312" w:cs="宋体"/>
          <w:sz w:val="32"/>
          <w:szCs w:val="32"/>
        </w:rPr>
        <w:t>退休</w:t>
      </w:r>
      <w:r>
        <w:rPr>
          <w:rFonts w:hint="eastAsia" w:ascii="仿宋_GB2312" w:hAnsi="仿宋" w:eastAsia="仿宋_GB2312" w:cs="宋体"/>
          <w:sz w:val="32"/>
          <w:szCs w:val="32"/>
          <w:lang w:eastAsia="zh-CN"/>
        </w:rPr>
        <w:t>后的</w:t>
      </w:r>
      <w:r>
        <w:rPr>
          <w:rFonts w:hint="eastAsia" w:ascii="仿宋_GB2312" w:hAnsi="仿宋" w:eastAsia="仿宋_GB2312" w:cs="宋体"/>
          <w:sz w:val="32"/>
          <w:szCs w:val="32"/>
        </w:rPr>
        <w:t>工资待遇发放。</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lang w:eastAsia="zh-CN"/>
        </w:rPr>
        <w:t>本单位</w:t>
      </w:r>
      <w:r>
        <w:rPr>
          <w:rFonts w:hint="eastAsia" w:ascii="仿宋_GB2312" w:hAnsi="仿宋" w:eastAsia="仿宋_GB2312" w:cs="宋体"/>
          <w:sz w:val="32"/>
          <w:szCs w:val="32"/>
        </w:rPr>
        <w:t>制定了《叶城县劳动就业保险管理局资金管理办法》和《中人职业年金补助项目工作方案》支付资金：按照人力资源和社会保障部、财政部、人社部发【2016】92号文件</w:t>
      </w:r>
      <w:r>
        <w:rPr>
          <w:rFonts w:hint="eastAsia" w:ascii="仿宋_GB2312" w:hAnsi="仿宋" w:eastAsia="仿宋_GB2312" w:cs="宋体"/>
          <w:sz w:val="32"/>
          <w:szCs w:val="32"/>
          <w:lang w:eastAsia="zh-CN"/>
        </w:rPr>
        <w:t>落实本项目相关工作。</w:t>
      </w:r>
    </w:p>
    <w:p>
      <w:pPr>
        <w:pStyle w:val="20"/>
        <w:keepNext w:val="0"/>
        <w:keepLines w:val="0"/>
        <w:pageBreakBefore w:val="0"/>
        <w:widowControl w:val="0"/>
        <w:kinsoku/>
        <w:wordWrap/>
        <w:overflowPunct/>
        <w:topLinePunct w:val="0"/>
        <w:autoSpaceDE/>
        <w:autoSpaceDN/>
        <w:bidi w:val="0"/>
        <w:spacing w:before="0" w:after="0" w:line="560" w:lineRule="exact"/>
        <w:ind w:left="0" w:leftChars="0" w:firstLine="643" w:firstLineChars="200"/>
        <w:textAlignment w:val="auto"/>
      </w:pPr>
      <w:bookmarkStart w:id="2" w:name="_Toc26401551"/>
      <w:r>
        <w:rPr>
          <w:rFonts w:hint="eastAsia"/>
        </w:rPr>
        <w:t>绩效目标</w:t>
      </w:r>
      <w:bookmarkEnd w:id="2"/>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总体目标为：保障全县退休人员的工资待遇的正常发放,为他们安度晚年生活提供资金保障，职业年金补助人数783人。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 xml:space="preserve">阶段性目标为：我局根据地区要求和我县的实际情况制定了2019年中人职业年金补助项目实施计划,为建立多层次养老保险体系，提高事业单位工作人员退休后的生活水平，促进人才的合理流动，根据分类推进事业单位改革的总体部署和要求特制定本项目管理办法，项目资金主要用于事业单位及其工作人员依法参加事业单位工作人员基本养老保险的基础上，补充养老保险、全县职业年金补助人数783人，人均职业年金补助标准1.62万元/人。       </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保障全县退休人员的工资待遇的正常发放，落实县财政、民政补助资金; 通过构建覆盖中人职业年金补助制度，参保人员获得中人职业年金补助项目人员能够获得中人职业年金补助服务,为他们安度晚年生活提供资金保障。</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项目实施过程中，我单位建立了《中人职业年金补助项目制度》保障项目的顺利实施。项目的实施遵守相关法律法规和业务管理规定，项目资料齐全并及时装订、归档。已建立《中人职业年金补助缴费管理制度》，不定期对项目进度情况进行督导检查，对检查过程中发现的问题及时督促整改，确保了项目按时保质完成、该项目资金的申报、批复符合资金管理相关规定。</w:t>
      </w:r>
    </w:p>
    <w:p>
      <w:pPr>
        <w:pStyle w:val="19"/>
        <w:keepNext w:val="0"/>
        <w:keepLines w:val="0"/>
        <w:pageBreakBefore w:val="0"/>
        <w:widowControl w:val="0"/>
        <w:numPr>
          <w:ilvl w:val="0"/>
          <w:numId w:val="2"/>
        </w:numPr>
        <w:kinsoku/>
        <w:wordWrap/>
        <w:overflowPunct/>
        <w:topLinePunct w:val="0"/>
        <w:autoSpaceDE/>
        <w:autoSpaceDN/>
        <w:bidi w:val="0"/>
        <w:spacing w:before="0" w:after="0" w:line="560" w:lineRule="exact"/>
        <w:ind w:left="0" w:leftChars="0" w:firstLine="643" w:firstLineChars="200"/>
        <w:textAlignment w:val="auto"/>
      </w:pPr>
      <w:bookmarkStart w:id="3" w:name="_Toc26401552"/>
      <w:r>
        <w:rPr>
          <w:rFonts w:hint="eastAsia"/>
        </w:rPr>
        <w:t>评价工作简述</w:t>
      </w:r>
      <w:bookmarkEnd w:id="3"/>
    </w:p>
    <w:p>
      <w:pPr>
        <w:pStyle w:val="20"/>
        <w:keepNext w:val="0"/>
        <w:keepLines w:val="0"/>
        <w:pageBreakBefore w:val="0"/>
        <w:widowControl w:val="0"/>
        <w:numPr>
          <w:ilvl w:val="0"/>
          <w:numId w:val="4"/>
        </w:numPr>
        <w:kinsoku/>
        <w:wordWrap/>
        <w:overflowPunct/>
        <w:topLinePunct w:val="0"/>
        <w:autoSpaceDE/>
        <w:autoSpaceDN/>
        <w:bidi w:val="0"/>
        <w:spacing w:before="0" w:after="0" w:line="560" w:lineRule="exact"/>
        <w:ind w:left="0" w:leftChars="0" w:firstLine="643" w:firstLineChars="200"/>
        <w:textAlignment w:val="auto"/>
      </w:pPr>
      <w:bookmarkStart w:id="4" w:name="_Toc26401553"/>
      <w:r>
        <w:rPr>
          <w:rFonts w:hint="eastAsia"/>
        </w:rPr>
        <w:t>评价目的</w:t>
      </w:r>
      <w:bookmarkEnd w:id="4"/>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本次绩效评价遵循财政部《项目支出绩效评价管理办法》（财预〔2020〕10号）和自治区财政厅《自治区财政支出绩效评价管理暂行办法》（新财预〔2018〕189号）等相关政策文件与规定，旨在评价中人职业年金补助项目实施前期、过程及效果，评价财政预算资金使用的效率及效益。</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通过部门项目支出绩效自评,进一步严格落实《预算法》以及党中央、国务院关于加强预算绩效管理的指示精神,建立健全“花钱问效”的绩效预算管理机制、提升政府效能。通过部门项目支出绩效评价,进一步做实绩效目标,根据项目绩效目标,细化形成多维度绩效指标,将绩效指标细化为数量、质量、时效、成本、经济效益、社会效益、可持续影响、服务对象满意度等内容,保证项目绩效指标设置规范、合理、可衡量。通过项目绩效自评,进一步纠正对绩效管理理解上的偏差,建立更加全面科学的绩效指标体系。督促在预算编制中,将资金申请、绩效目标和具体指标统筹考虑,形成“花钱必问效、无效必问责”的责任契约机制,进一步强化预算绩效管理的严肃性和约束力,推动绩效管理向全方位的绩效预算转变,逐步建立“以绩效目标为导向,以绩效评价为手段,以评价结果应用为保障,全覆盖、全过程”的绩效预算管理新体制。</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本项目为财政支出绩效评价,是通过对该项目决策、项目管理和项目绩效作出评定,全面了解财政预算资金支出安排情况、资金实际使用状况和项目的绩效,帮助健全和完善科学的、符合实际情况的项目绩效目标,肯定取得的成绩,提出存在的问题,给出相应的建议,以而保证项目的持续开展,推进财政绩效预算工作的顺利实施。</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本次评价从中人职业年金补助项目产生的效果角度出发,力求从绩效的角度发现</w:t>
      </w:r>
      <w:r>
        <w:rPr>
          <w:rFonts w:hint="eastAsia" w:ascii="仿宋_GB2312" w:hAnsi="仿宋" w:eastAsia="仿宋_GB2312" w:cs="宋体"/>
          <w:sz w:val="32"/>
          <w:szCs w:val="32"/>
          <w:lang w:val="en-US" w:eastAsia="zh-CN"/>
        </w:rPr>
        <w:t>2019</w:t>
      </w:r>
      <w:r>
        <w:rPr>
          <w:rFonts w:hint="eastAsia" w:ascii="仿宋_GB2312" w:hAnsi="仿宋" w:eastAsia="仿宋_GB2312" w:cs="宋体"/>
          <w:sz w:val="32"/>
          <w:szCs w:val="32"/>
        </w:rPr>
        <w:t>年度中人职业年金补助项目中取得的成绩和产生的问题,优化财政支出管理改革,为下一步实施绩效预算奠定基础。</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1.通过评价,了解2019年度中人职业年金补助项目的基本情况对项目背景和目的、项目内容和现状、项目预算做深入调研和分析;</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2.通过评价,了解2019年度中人职业年金补助项目的产出和效果情况,及整体绩效状况</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3,通过评价,发掘2019年度中人职业年金补助项目所产生的现实意义和实际价值:</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4,通过评价,从绩效的角度发现该项目在决策、实施和管理过程中存在的问题,寻求解决方案,为进一步深化项目管理工作提供依据,以促进</w:t>
      </w:r>
      <w:r>
        <w:rPr>
          <w:rFonts w:hint="eastAsia" w:ascii="仿宋_GB2312" w:hAnsi="仿宋" w:eastAsia="仿宋_GB2312" w:cs="宋体"/>
          <w:sz w:val="32"/>
          <w:szCs w:val="32"/>
          <w:lang w:eastAsia="zh-CN"/>
        </w:rPr>
        <w:t>项目实施顺利开展。</w:t>
      </w:r>
    </w:p>
    <w:p>
      <w:pPr>
        <w:pStyle w:val="20"/>
        <w:keepNext w:val="0"/>
        <w:keepLines w:val="0"/>
        <w:pageBreakBefore w:val="0"/>
        <w:widowControl w:val="0"/>
        <w:numPr>
          <w:ilvl w:val="0"/>
          <w:numId w:val="4"/>
        </w:numPr>
        <w:kinsoku/>
        <w:wordWrap/>
        <w:overflowPunct/>
        <w:topLinePunct w:val="0"/>
        <w:autoSpaceDE/>
        <w:autoSpaceDN/>
        <w:bidi w:val="0"/>
        <w:adjustRightInd/>
        <w:snapToGrid/>
        <w:spacing w:before="0" w:after="0" w:line="560" w:lineRule="exact"/>
        <w:ind w:left="0" w:leftChars="0" w:firstLine="643" w:firstLineChars="200"/>
        <w:textAlignment w:val="auto"/>
      </w:pPr>
      <w:r>
        <w:rPr>
          <w:rFonts w:hint="eastAsia"/>
        </w:rPr>
        <w:t>本次绩效评价的对象及范围</w:t>
      </w:r>
      <w:bookmarkStart w:id="5" w:name="_Toc26401554"/>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本次评价对象为中人职业年金补助项目资金，评价范围包括专项资金的安排、组织及使用效益。</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本次评价对象</w:t>
      </w:r>
      <w:r>
        <w:rPr>
          <w:rFonts w:hint="default" w:ascii="仿宋_GB2312" w:hAnsi="仿宋" w:eastAsia="仿宋_GB2312" w:cs="宋体"/>
          <w:sz w:val="32"/>
          <w:szCs w:val="32"/>
          <w:lang w:val="en-US" w:eastAsia="zh-CN"/>
        </w:rPr>
        <w:t>为</w:t>
      </w:r>
      <w:r>
        <w:rPr>
          <w:rFonts w:hint="eastAsia" w:ascii="仿宋_GB2312" w:hAnsi="仿宋" w:eastAsia="仿宋_GB2312" w:cs="宋体"/>
          <w:sz w:val="32"/>
          <w:szCs w:val="32"/>
          <w:lang w:val="en-US" w:eastAsia="zh-CN"/>
        </w:rPr>
        <w:t>2019年度中人职业年金补助项目</w:t>
      </w:r>
      <w:r>
        <w:rPr>
          <w:rFonts w:hint="eastAsia" w:ascii="仿宋_GB2312" w:hAnsi="仿宋" w:eastAsia="仿宋_GB2312" w:cs="宋体"/>
          <w:sz w:val="32"/>
          <w:szCs w:val="32"/>
          <w:lang w:eastAsia="zh-CN"/>
        </w:rPr>
        <w:t>，</w:t>
      </w:r>
      <w:r>
        <w:rPr>
          <w:rFonts w:hint="default" w:ascii="仿宋_GB2312" w:hAnsi="仿宋" w:eastAsia="仿宋_GB2312" w:cs="宋体"/>
          <w:sz w:val="32"/>
          <w:szCs w:val="32"/>
          <w:lang w:val="en-US" w:eastAsia="zh-CN"/>
        </w:rPr>
        <w:t>针对</w:t>
      </w:r>
      <w:r>
        <w:rPr>
          <w:rFonts w:hint="eastAsia" w:ascii="仿宋_GB2312" w:hAnsi="仿宋" w:eastAsia="仿宋_GB2312" w:cs="宋体"/>
          <w:sz w:val="32"/>
          <w:szCs w:val="32"/>
        </w:rPr>
        <w:t>全县参加职业年金计划的机关事业单位退休</w:t>
      </w:r>
      <w:r>
        <w:rPr>
          <w:rFonts w:hint="eastAsia" w:ascii="仿宋_GB2312" w:hAnsi="仿宋" w:eastAsia="仿宋_GB2312" w:cs="宋体"/>
          <w:sz w:val="32"/>
          <w:szCs w:val="32"/>
          <w:lang w:eastAsia="zh-CN"/>
        </w:rPr>
        <w:t>人员的</w:t>
      </w:r>
      <w:r>
        <w:rPr>
          <w:rFonts w:hint="eastAsia" w:ascii="仿宋_GB2312" w:hAnsi="仿宋" w:eastAsia="仿宋_GB2312" w:cs="宋体"/>
          <w:sz w:val="32"/>
          <w:szCs w:val="32"/>
        </w:rPr>
        <w:t>工资待遇发放</w:t>
      </w:r>
      <w:r>
        <w:rPr>
          <w:rFonts w:hint="default" w:ascii="仿宋_GB2312" w:hAnsi="仿宋" w:eastAsia="仿宋_GB2312" w:cs="宋体"/>
          <w:sz w:val="32"/>
          <w:szCs w:val="32"/>
          <w:lang w:val="en-US" w:eastAsia="zh-CN"/>
        </w:rPr>
        <w:t>。目前，</w:t>
      </w:r>
      <w:r>
        <w:rPr>
          <w:rFonts w:hint="eastAsia" w:ascii="仿宋_GB2312" w:hAnsi="仿宋" w:eastAsia="仿宋_GB2312" w:cs="宋体"/>
          <w:sz w:val="32"/>
          <w:szCs w:val="32"/>
          <w:lang w:val="en-US" w:eastAsia="zh-CN"/>
        </w:rPr>
        <w:t>中人职业年金补助</w:t>
      </w:r>
      <w:r>
        <w:rPr>
          <w:rFonts w:hint="default" w:ascii="仿宋_GB2312" w:hAnsi="仿宋" w:eastAsia="仿宋_GB2312" w:cs="宋体"/>
          <w:sz w:val="32"/>
          <w:szCs w:val="32"/>
          <w:lang w:val="en-US" w:eastAsia="zh-CN"/>
        </w:rPr>
        <w:t>项目包括</w:t>
      </w:r>
      <w:r>
        <w:rPr>
          <w:rFonts w:hint="eastAsia" w:ascii="仿宋_GB2312" w:hAnsi="仿宋" w:eastAsia="仿宋_GB2312" w:cs="宋体"/>
          <w:sz w:val="32"/>
          <w:szCs w:val="32"/>
          <w:lang w:val="en-US" w:eastAsia="zh-CN"/>
        </w:rPr>
        <w:t>正常缴纳养老保险的机关事业单位退休人员，对机关事业单位退休人员补充养老金</w:t>
      </w:r>
      <w:r>
        <w:rPr>
          <w:rFonts w:hint="default" w:ascii="仿宋_GB2312" w:hAnsi="仿宋" w:eastAsia="仿宋_GB2312" w:cs="宋体"/>
          <w:sz w:val="32"/>
          <w:szCs w:val="32"/>
          <w:lang w:val="en-US" w:eastAsia="zh-CN"/>
        </w:rPr>
        <w:t>规划</w:t>
      </w:r>
      <w:r>
        <w:rPr>
          <w:rFonts w:hint="eastAsia" w:ascii="仿宋_GB2312" w:hAnsi="仿宋" w:eastAsia="仿宋_GB2312" w:cs="宋体"/>
          <w:sz w:val="32"/>
          <w:szCs w:val="32"/>
          <w:lang w:val="en-US" w:eastAsia="zh-CN"/>
        </w:rPr>
        <w:t>、</w:t>
      </w:r>
      <w:r>
        <w:rPr>
          <w:rFonts w:hint="default" w:ascii="仿宋_GB2312" w:hAnsi="仿宋" w:eastAsia="仿宋_GB2312" w:cs="宋体"/>
          <w:sz w:val="32"/>
          <w:szCs w:val="32"/>
          <w:lang w:val="en-US" w:eastAsia="zh-CN"/>
        </w:rPr>
        <w:t>为</w:t>
      </w:r>
      <w:r>
        <w:rPr>
          <w:rFonts w:hint="eastAsia" w:ascii="仿宋_GB2312" w:hAnsi="仿宋" w:eastAsia="仿宋_GB2312" w:cs="宋体"/>
          <w:sz w:val="32"/>
          <w:szCs w:val="32"/>
          <w:lang w:val="en-US" w:eastAsia="zh-CN"/>
        </w:rPr>
        <w:t>正常缴纳养老金的机关事业单位退休</w:t>
      </w:r>
      <w:r>
        <w:rPr>
          <w:rFonts w:hint="default" w:ascii="仿宋_GB2312" w:hAnsi="仿宋" w:eastAsia="仿宋_GB2312" w:cs="宋体"/>
          <w:sz w:val="32"/>
          <w:szCs w:val="32"/>
          <w:lang w:val="en-US" w:eastAsia="zh-CN"/>
        </w:rPr>
        <w:t>人群补</w:t>
      </w:r>
      <w:r>
        <w:rPr>
          <w:rFonts w:hint="eastAsia" w:ascii="仿宋_GB2312" w:hAnsi="仿宋" w:eastAsia="仿宋_GB2312" w:cs="宋体"/>
          <w:sz w:val="32"/>
          <w:szCs w:val="32"/>
          <w:lang w:val="en-US" w:eastAsia="zh-CN"/>
        </w:rPr>
        <w:t>养老金</w:t>
      </w:r>
      <w:r>
        <w:rPr>
          <w:rFonts w:hint="default" w:ascii="仿宋_GB2312" w:hAnsi="仿宋" w:eastAsia="仿宋_GB2312" w:cs="宋体"/>
          <w:sz w:val="32"/>
          <w:szCs w:val="32"/>
          <w:lang w:val="en-US" w:eastAsia="zh-CN"/>
        </w:rPr>
        <w:t>；</w:t>
      </w:r>
      <w:r>
        <w:rPr>
          <w:rFonts w:hint="eastAsia" w:ascii="仿宋_GB2312" w:hAnsi="仿宋" w:eastAsia="仿宋_GB2312" w:cs="宋体"/>
          <w:sz w:val="32"/>
          <w:szCs w:val="32"/>
          <w:lang w:val="en-US" w:eastAsia="zh-CN"/>
        </w:rPr>
        <w:t>减少退休人员的生活负担，为退休人员度过晚年生活提供资金保障，本项目产生良好的社会效益</w:t>
      </w:r>
      <w:r>
        <w:rPr>
          <w:rFonts w:hint="eastAsia" w:ascii="仿宋_GB2312" w:hAnsi="仿宋" w:eastAsia="仿宋_GB2312" w:cs="宋体"/>
          <w:sz w:val="32"/>
          <w:szCs w:val="32"/>
          <w:lang w:eastAsia="zh-CN"/>
        </w:rPr>
        <w:t>全面推进我县社会保险事业的发展。</w:t>
      </w:r>
    </w:p>
    <w:p>
      <w:pPr>
        <w:pStyle w:val="20"/>
        <w:keepNext w:val="0"/>
        <w:keepLines w:val="0"/>
        <w:pageBreakBefore w:val="0"/>
        <w:widowControl w:val="0"/>
        <w:numPr>
          <w:ilvl w:val="0"/>
          <w:numId w:val="4"/>
        </w:numPr>
        <w:kinsoku/>
        <w:wordWrap/>
        <w:overflowPunct/>
        <w:topLinePunct w:val="0"/>
        <w:autoSpaceDE/>
        <w:autoSpaceDN/>
        <w:bidi w:val="0"/>
        <w:adjustRightInd/>
        <w:snapToGrid/>
        <w:spacing w:before="0" w:after="0" w:line="560" w:lineRule="exact"/>
        <w:ind w:left="0" w:leftChars="0" w:firstLine="643" w:firstLineChars="200"/>
        <w:textAlignment w:val="auto"/>
      </w:pPr>
      <w:r>
        <w:rPr>
          <w:rFonts w:hint="eastAsia"/>
        </w:rPr>
        <w:t>绩效评价原则</w:t>
      </w:r>
      <w:bookmarkEnd w:id="5"/>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lang w:val="en-US" w:eastAsia="zh-CN"/>
        </w:rPr>
        <w:t>1.</w:t>
      </w:r>
      <w:r>
        <w:rPr>
          <w:rFonts w:hint="eastAsia" w:ascii="仿宋_GB2312" w:hAnsi="仿宋" w:eastAsia="仿宋_GB2312" w:cs="宋体"/>
          <w:sz w:val="32"/>
          <w:szCs w:val="32"/>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lang w:val="en-US" w:eastAsia="zh-CN"/>
        </w:rPr>
        <w:t>2.</w:t>
      </w:r>
      <w:r>
        <w:rPr>
          <w:rFonts w:hint="eastAsia" w:ascii="仿宋_GB2312" w:hAnsi="仿宋" w:eastAsia="仿宋_GB2312" w:cs="宋体"/>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lang w:val="en-US" w:eastAsia="zh-CN"/>
        </w:rPr>
        <w:t>3.</w:t>
      </w:r>
      <w:r>
        <w:rPr>
          <w:rFonts w:hint="eastAsia" w:ascii="仿宋_GB2312" w:hAnsi="仿宋" w:eastAsia="仿宋_GB2312" w:cs="宋体"/>
          <w:sz w:val="32"/>
          <w:szCs w:val="32"/>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lang w:val="en-US" w:eastAsia="zh-CN"/>
        </w:rPr>
        <w:t>4.</w:t>
      </w:r>
      <w:r>
        <w:rPr>
          <w:rFonts w:hint="eastAsia" w:ascii="仿宋_GB2312" w:hAnsi="仿宋" w:eastAsia="仿宋_GB2312" w:cs="宋体"/>
          <w:sz w:val="32"/>
          <w:szCs w:val="32"/>
        </w:rPr>
        <w:t>公开透明。绩效评价结果应依法依规公开，并自觉接受社会监督。</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绩效评价体系根据以上原则,绩效评价应遵循如下要求:</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在数据采集时,采取客观数据,主管部门审查、与问卷调查相结合的形式,以保证各项指标的真实性。</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保证评价结果的真实性、公正性,提高评价报告的公信力。</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(3)绩教评价报告应当简明扼要,除了对绩效评价的过程、结果描述外,还应总结经验,指出问题,并就共性问题提出可操作性改进建议。</w:t>
      </w:r>
    </w:p>
    <w:p>
      <w:pPr>
        <w:keepNext w:val="0"/>
        <w:keepLines w:val="0"/>
        <w:pageBreakBefore w:val="0"/>
        <w:widowControl w:val="0"/>
        <w:kinsoku/>
        <w:wordWrap/>
        <w:overflowPunct/>
        <w:topLinePunct w:val="0"/>
        <w:autoSpaceDE/>
        <w:autoSpaceDN/>
        <w:bidi w:val="0"/>
        <w:adjustRightInd/>
        <w:snapToGrid/>
        <w:spacing w:line="560" w:lineRule="exact"/>
        <w:ind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（四）本项目绩效评价体系</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遵循“科学性、规范性、客观性和公正性”的绩效评价原则</w:t>
      </w:r>
      <w:r>
        <w:rPr>
          <w:rFonts w:ascii="仿宋_GB2312" w:hAnsi="仿宋" w:eastAsia="仿宋_GB2312" w:cs="宋体"/>
          <w:sz w:val="32"/>
          <w:szCs w:val="32"/>
        </w:rPr>
        <w:t>,</w:t>
      </w:r>
      <w:r>
        <w:rPr>
          <w:rFonts w:hint="eastAsia" w:ascii="仿宋_GB2312" w:hAnsi="仿宋" w:eastAsia="仿宋_GB2312" w:cs="宋体"/>
          <w:sz w:val="32"/>
          <w:szCs w:val="32"/>
        </w:rPr>
        <w:t>根据财政部制定的《项目支出绩效评价共性指标体系框架》,结合中人职业年金补助项目特性、</w:t>
      </w:r>
      <w:r>
        <w:rPr>
          <w:rFonts w:hint="eastAsia" w:ascii="仿宋_GB2312" w:hAnsi="仿宋" w:eastAsia="仿宋_GB2312" w:cs="宋体"/>
          <w:sz w:val="32"/>
          <w:szCs w:val="32"/>
          <w:lang w:eastAsia="zh-CN"/>
        </w:rPr>
        <w:t>我</w:t>
      </w:r>
      <w:r>
        <w:rPr>
          <w:rFonts w:hint="eastAsia" w:ascii="仿宋_GB2312" w:hAnsi="仿宋" w:eastAsia="仿宋_GB2312" w:cs="宋体"/>
          <w:sz w:val="32"/>
          <w:szCs w:val="32"/>
        </w:rPr>
        <w:t>单位实际情况</w:t>
      </w:r>
      <w:r>
        <w:rPr>
          <w:rFonts w:ascii="仿宋_GB2312" w:hAnsi="仿宋" w:eastAsia="仿宋_GB2312" w:cs="宋体"/>
          <w:sz w:val="32"/>
          <w:szCs w:val="32"/>
        </w:rPr>
        <w:t>,</w:t>
      </w:r>
      <w:r>
        <w:rPr>
          <w:rFonts w:hint="eastAsia" w:ascii="仿宋_GB2312" w:hAnsi="仿宋" w:eastAsia="仿宋_GB2312" w:cs="宋体"/>
          <w:sz w:val="32"/>
          <w:szCs w:val="32"/>
        </w:rPr>
        <w:t>本项目按照财预﹝2020﹞10号文件制定评价指标体系。</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我单位选取共性指标：决策中一级指</w:t>
      </w:r>
      <w:r>
        <w:rPr>
          <w:rFonts w:hint="eastAsia" w:ascii="仿宋_GB2312" w:hAnsi="仿宋" w:eastAsia="仿宋_GB2312" w:cs="宋体"/>
          <w:sz w:val="32"/>
          <w:szCs w:val="32"/>
          <w:lang w:val="en-US" w:eastAsia="zh-CN"/>
        </w:rPr>
        <w:t>标1</w:t>
      </w:r>
      <w:r>
        <w:rPr>
          <w:rFonts w:hint="eastAsia" w:ascii="仿宋_GB2312" w:hAnsi="仿宋" w:eastAsia="仿宋_GB2312" w:cs="宋体"/>
          <w:sz w:val="32"/>
          <w:szCs w:val="32"/>
        </w:rPr>
        <w:t>个</w:t>
      </w:r>
      <w:r>
        <w:rPr>
          <w:rFonts w:hint="eastAsia" w:ascii="仿宋_GB2312" w:hAnsi="仿宋" w:eastAsia="仿宋_GB2312" w:cs="宋体"/>
          <w:sz w:val="32"/>
          <w:szCs w:val="32"/>
          <w:lang w:eastAsia="zh-CN"/>
        </w:rPr>
        <w:t>，</w:t>
      </w:r>
      <w:r>
        <w:rPr>
          <w:rFonts w:hint="eastAsia" w:ascii="仿宋_GB2312" w:hAnsi="仿宋" w:eastAsia="仿宋_GB2312" w:cs="宋体"/>
          <w:sz w:val="32"/>
          <w:szCs w:val="32"/>
          <w:lang w:val="en-US" w:eastAsia="zh-CN"/>
        </w:rPr>
        <w:t>二级指标2个（绩效目标，资金投入），三级指标3个（</w:t>
      </w:r>
      <w:r>
        <w:rPr>
          <w:rFonts w:hint="eastAsia" w:ascii="仿宋_GB2312" w:hAnsi="仿宋" w:eastAsia="仿宋_GB2312" w:cs="宋体"/>
          <w:sz w:val="32"/>
          <w:szCs w:val="32"/>
        </w:rPr>
        <w:t>绩效目标</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sz w:val="32"/>
          <w:szCs w:val="32"/>
          <w:lang w:val="en-US" w:eastAsia="zh-CN"/>
        </w:rPr>
      </w:pPr>
      <w:r>
        <w:rPr>
          <w:rFonts w:hint="eastAsia" w:ascii="仿宋_GB2312" w:hAnsi="仿宋" w:eastAsia="仿宋_GB2312" w:cs="宋体"/>
          <w:sz w:val="32"/>
          <w:szCs w:val="32"/>
        </w:rPr>
        <w:t>合理性</w:t>
      </w:r>
      <w:r>
        <w:rPr>
          <w:rFonts w:hint="eastAsia" w:ascii="仿宋_GB2312" w:hAnsi="仿宋" w:eastAsia="仿宋_GB2312" w:cs="宋体"/>
          <w:sz w:val="32"/>
          <w:szCs w:val="32"/>
          <w:lang w:val="en-US" w:eastAsia="zh-CN"/>
        </w:rPr>
        <w:t xml:space="preserve"> 、</w:t>
      </w:r>
      <w:r>
        <w:rPr>
          <w:rFonts w:hint="eastAsia" w:ascii="仿宋_GB2312" w:hAnsi="仿宋" w:eastAsia="仿宋_GB2312" w:cs="宋体"/>
          <w:sz w:val="32"/>
          <w:szCs w:val="32"/>
        </w:rPr>
        <w:t>绩效指标明确性</w:t>
      </w:r>
      <w:r>
        <w:rPr>
          <w:rFonts w:hint="eastAsia" w:ascii="仿宋_GB2312" w:hAnsi="仿宋" w:eastAsia="仿宋_GB2312" w:cs="宋体"/>
          <w:sz w:val="32"/>
          <w:szCs w:val="32"/>
          <w:lang w:val="en-US" w:eastAsia="zh-CN"/>
        </w:rPr>
        <w:t xml:space="preserve"> 、</w:t>
      </w:r>
      <w:r>
        <w:rPr>
          <w:rFonts w:hint="eastAsia" w:ascii="仿宋_GB2312" w:hAnsi="仿宋" w:eastAsia="仿宋_GB2312" w:cs="宋体"/>
          <w:sz w:val="32"/>
          <w:szCs w:val="32"/>
        </w:rPr>
        <w:t>预算编制科学性</w:t>
      </w:r>
      <w:r>
        <w:rPr>
          <w:rFonts w:hint="eastAsia" w:ascii="仿宋_GB2312" w:hAnsi="仿宋" w:eastAsia="仿宋_GB2312" w:cs="宋体"/>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仿宋" w:eastAsia="仿宋_GB2312" w:cs="宋体"/>
          <w:sz w:val="32"/>
          <w:szCs w:val="32"/>
          <w:lang w:val="en-US" w:eastAsia="zh-CN"/>
        </w:rPr>
      </w:pPr>
      <w:r>
        <w:rPr>
          <w:rFonts w:hint="eastAsia" w:ascii="仿宋_GB2312" w:hAnsi="仿宋" w:eastAsia="仿宋_GB2312" w:cs="宋体"/>
          <w:sz w:val="32"/>
          <w:szCs w:val="32"/>
          <w:lang w:val="en-US" w:eastAsia="zh-CN"/>
        </w:rPr>
        <w:t>过程指标中二级指标2个（资金管理、组织实施），三级指标5个（资金到位率、预算执行率、资金使用合规性、管理制度健全性、制度执行有效性 ）。</w:t>
      </w:r>
    </w:p>
    <w:p>
      <w:pPr>
        <w:pStyle w:val="1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lang w:val="en-US" w:eastAsia="zh-CN"/>
        </w:rPr>
      </w:pPr>
      <w:r>
        <w:rPr>
          <w:rFonts w:hint="eastAsia" w:ascii="仿宋_GB2312" w:hAnsi="仿宋" w:eastAsia="仿宋_GB2312" w:cs="宋体"/>
          <w:sz w:val="32"/>
          <w:szCs w:val="32"/>
          <w:lang w:val="en-US" w:eastAsia="zh-CN" w:bidi="ar"/>
        </w:rPr>
        <w:t>资金到位率100%、预算完成率100%,单位本年度预算完成数与预算数的比率1∶1。项目预算资金按照计划执行，用以反映或考核项目预算执行情况。</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sz w:val="32"/>
          <w:szCs w:val="32"/>
          <w:lang w:val="en-US" w:eastAsia="zh-CN"/>
        </w:rPr>
      </w:pPr>
      <w:r>
        <w:rPr>
          <w:rFonts w:hint="eastAsia" w:ascii="仿宋_GB2312" w:hAnsi="仿宋" w:eastAsia="仿宋_GB2312" w:cs="宋体"/>
          <w:sz w:val="32"/>
          <w:szCs w:val="32"/>
          <w:lang w:val="en-US" w:eastAsia="zh-CN"/>
        </w:rPr>
        <w:t>产出指标二级指标3个（</w:t>
      </w:r>
      <w:r>
        <w:rPr>
          <w:rFonts w:hint="eastAsia" w:ascii="仿宋_GB2312" w:hAnsi="仿宋" w:eastAsia="仿宋_GB2312" w:cs="宋体"/>
          <w:sz w:val="32"/>
          <w:szCs w:val="32"/>
        </w:rPr>
        <w:t>产出质量</w:t>
      </w:r>
      <w:r>
        <w:rPr>
          <w:rFonts w:hint="eastAsia" w:ascii="仿宋_GB2312" w:hAnsi="仿宋" w:eastAsia="仿宋_GB2312" w:cs="宋体"/>
          <w:sz w:val="32"/>
          <w:szCs w:val="32"/>
          <w:lang w:eastAsia="zh-CN"/>
        </w:rPr>
        <w:t>、</w:t>
      </w:r>
      <w:r>
        <w:rPr>
          <w:rFonts w:hint="eastAsia" w:ascii="仿宋_GB2312" w:hAnsi="仿宋" w:eastAsia="仿宋_GB2312" w:cs="宋体"/>
          <w:sz w:val="32"/>
          <w:szCs w:val="32"/>
        </w:rPr>
        <w:t>产出质量</w:t>
      </w:r>
      <w:r>
        <w:rPr>
          <w:rFonts w:hint="eastAsia" w:ascii="仿宋_GB2312" w:hAnsi="仿宋" w:eastAsia="仿宋_GB2312" w:cs="宋体"/>
          <w:sz w:val="32"/>
          <w:szCs w:val="32"/>
          <w:lang w:eastAsia="zh-CN"/>
        </w:rPr>
        <w:t>、</w:t>
      </w:r>
      <w:r>
        <w:rPr>
          <w:rFonts w:hint="eastAsia" w:ascii="仿宋_GB2312" w:hAnsi="仿宋" w:eastAsia="仿宋_GB2312" w:cs="宋体"/>
          <w:sz w:val="32"/>
          <w:szCs w:val="32"/>
        </w:rPr>
        <w:t>产出时效</w:t>
      </w:r>
      <w:r>
        <w:rPr>
          <w:rFonts w:hint="eastAsia" w:ascii="仿宋_GB2312" w:hAnsi="仿宋" w:eastAsia="仿宋_GB2312" w:cs="宋体"/>
          <w:sz w:val="32"/>
          <w:szCs w:val="32"/>
          <w:lang w:val="en-US" w:eastAsia="zh-CN"/>
        </w:rPr>
        <w:t>），三级指标4个（实际完成率、质量达标率、完成及时性、成本节约率）。</w:t>
      </w:r>
    </w:p>
    <w:p>
      <w:pPr>
        <w:pStyle w:val="1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lang w:eastAsia="zh-CN"/>
        </w:rPr>
      </w:pPr>
      <w:r>
        <w:rPr>
          <w:rFonts w:hint="eastAsia" w:ascii="仿宋_GB2312" w:hAnsi="仿宋" w:eastAsia="仿宋_GB2312" w:cs="宋体"/>
          <w:kern w:val="2"/>
          <w:sz w:val="32"/>
          <w:szCs w:val="32"/>
          <w:lang w:val="en-US" w:eastAsia="zh-CN" w:bidi="ar"/>
        </w:rPr>
        <w:t>本年度共完成职业年金补助人数783人，实际发放人数783人，机关事业单位退休人员覆盖率100%。</w:t>
      </w:r>
      <w:r>
        <w:rPr>
          <w:rFonts w:hint="eastAsia" w:ascii="仿宋_GB2312" w:hAnsi="方正楷体简体" w:eastAsia="仿宋_GB2312" w:cs="宋体"/>
          <w:sz w:val="32"/>
          <w:szCs w:val="32"/>
        </w:rPr>
        <w:t>确保上级各项决策部署落到实处</w:t>
      </w:r>
      <w:r>
        <w:rPr>
          <w:rFonts w:hint="eastAsia" w:ascii="仿宋_GB2312" w:hAnsi="方正楷体简体" w:eastAsia="仿宋_GB2312" w:cs="宋体"/>
          <w:sz w:val="32"/>
          <w:szCs w:val="32"/>
          <w:lang w:eastAsia="zh-CN"/>
        </w:rPr>
        <w:t>，</w:t>
      </w:r>
      <w:r>
        <w:rPr>
          <w:rFonts w:hint="eastAsia" w:ascii="仿宋_GB2312" w:hAnsi="仿宋" w:eastAsia="仿宋_GB2312" w:cs="宋体"/>
          <w:kern w:val="2"/>
          <w:sz w:val="32"/>
          <w:szCs w:val="32"/>
          <w:lang w:val="en-US" w:eastAsia="zh-CN" w:bidi="ar"/>
        </w:rPr>
        <w:t>全面推进中人职业年金补助发放工作，全年完成机关事业单位退休人员补助783人，中人职业年金补助发放工作完成情况本年度，全县累计完成中人职业年金补助发放783人次，完成率100%。贯彻执行社会养老保险的各项法律，法规以及党和国家有关社会保险的方针，政策，深化社会保险制度改革，贯彻落实自治区、地区人社工作会议精神和县委全委（扩大）会议提出的各项目标及措施始终坚持群众第一，确保上级各项决策部署落到实处。</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jc w:val="both"/>
        <w:textAlignment w:val="auto"/>
        <w:rPr>
          <w:rFonts w:hint="default" w:ascii="仿宋_GB2312" w:hAnsi="仿宋" w:eastAsia="仿宋_GB2312" w:cs="宋体"/>
          <w:sz w:val="32"/>
          <w:szCs w:val="32"/>
          <w:lang w:val="en-US" w:eastAsia="zh-CN" w:bidi="ar"/>
        </w:rPr>
      </w:pPr>
      <w:r>
        <w:rPr>
          <w:rFonts w:hint="eastAsia" w:ascii="仿宋_GB2312" w:hAnsi="仿宋" w:eastAsia="仿宋_GB2312" w:cs="宋体"/>
          <w:sz w:val="32"/>
          <w:szCs w:val="32"/>
          <w:lang w:eastAsia="zh-CN" w:bidi="ar"/>
        </w:rPr>
        <w:t>效益指标</w:t>
      </w:r>
      <w:r>
        <w:rPr>
          <w:rFonts w:hint="eastAsia" w:ascii="仿宋_GB2312" w:hAnsi="仿宋" w:eastAsia="仿宋_GB2312" w:cs="宋体"/>
          <w:sz w:val="32"/>
          <w:szCs w:val="32"/>
          <w:lang w:val="en-US" w:eastAsia="zh-CN" w:bidi="ar"/>
        </w:rPr>
        <w:t>二级指标1个</w:t>
      </w:r>
      <w:r>
        <w:rPr>
          <w:rFonts w:hint="eastAsia" w:ascii="仿宋_GB2312" w:hAnsi="仿宋" w:eastAsia="仿宋_GB2312" w:cs="宋体"/>
          <w:sz w:val="32"/>
          <w:szCs w:val="32"/>
          <w:lang w:eastAsia="zh-CN" w:bidi="ar"/>
        </w:rPr>
        <w:t>（</w:t>
      </w:r>
      <w:r>
        <w:rPr>
          <w:rFonts w:hint="eastAsia" w:ascii="仿宋_GB2312" w:hAnsi="仿宋" w:eastAsia="仿宋_GB2312" w:cs="宋体"/>
          <w:sz w:val="32"/>
          <w:szCs w:val="32"/>
          <w:lang w:val="en-US" w:eastAsia="zh-CN"/>
        </w:rPr>
        <w:t>满意度</w:t>
      </w:r>
      <w:r>
        <w:rPr>
          <w:rFonts w:hint="eastAsia" w:ascii="仿宋_GB2312" w:hAnsi="仿宋" w:eastAsia="仿宋_GB2312" w:cs="宋体"/>
          <w:sz w:val="32"/>
          <w:szCs w:val="32"/>
          <w:lang w:eastAsia="zh-CN" w:bidi="ar"/>
        </w:rPr>
        <w:t>），</w:t>
      </w:r>
      <w:r>
        <w:rPr>
          <w:rFonts w:hint="eastAsia" w:ascii="仿宋_GB2312" w:hAnsi="仿宋" w:eastAsia="仿宋_GB2312" w:cs="宋体"/>
          <w:sz w:val="32"/>
          <w:szCs w:val="32"/>
          <w:lang w:val="en-US" w:eastAsia="zh-CN" w:bidi="ar"/>
        </w:rPr>
        <w:t>三级指标2个（实施效益、满意度）。</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项目实施所产生的效益：对机关事业单位在职退休人员实施干预措施，减少退休人员生活负担，有效提高退休人员生活水平和资金保障，使机关事业单位在职退休人员能够享受养老保险服务。到2011年对机关事业单位在职退休人员养老服务差距明显缩小。到2020年，基本社会保险服务逐步均等化的机制基本完善，退休人员生活水平有效提高社会负担明显减轻，社会保险服务水平得到进一步提高。</w:t>
      </w:r>
    </w:p>
    <w:p>
      <w:pPr>
        <w:pStyle w:val="2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3" w:firstLineChars="200"/>
        <w:textAlignment w:val="auto"/>
        <w:rPr>
          <w:color w:val="auto"/>
          <w:highlight w:val="none"/>
        </w:rPr>
      </w:pPr>
      <w:bookmarkStart w:id="6" w:name="_Toc26401555"/>
      <w:r>
        <w:rPr>
          <w:rFonts w:hint="eastAsia"/>
          <w:color w:val="auto"/>
          <w:highlight w:val="none"/>
          <w:lang w:eastAsia="zh-CN"/>
        </w:rPr>
        <w:t>（</w:t>
      </w:r>
      <w:r>
        <w:rPr>
          <w:rFonts w:hint="eastAsia"/>
          <w:color w:val="auto"/>
          <w:highlight w:val="none"/>
          <w:lang w:val="en-US" w:eastAsia="zh-CN"/>
        </w:rPr>
        <w:t>五</w:t>
      </w:r>
      <w:r>
        <w:rPr>
          <w:rFonts w:hint="eastAsia"/>
          <w:color w:val="auto"/>
          <w:highlight w:val="none"/>
          <w:lang w:eastAsia="zh-CN"/>
        </w:rPr>
        <w:t>）</w:t>
      </w:r>
      <w:r>
        <w:rPr>
          <w:rFonts w:hint="eastAsia"/>
          <w:color w:val="auto"/>
          <w:highlight w:val="none"/>
        </w:rPr>
        <w:t>绩效评价方法</w:t>
      </w:r>
      <w:bookmarkEnd w:id="6"/>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本次绩效评价方法的选用坚持简便有效的原则采用问卷调查法。</w:t>
      </w:r>
    </w:p>
    <w:p>
      <w:pPr>
        <w:pStyle w:val="2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3" w:firstLineChars="200"/>
        <w:textAlignment w:val="auto"/>
      </w:pPr>
      <w:r>
        <w:rPr>
          <w:rFonts w:hint="eastAsia"/>
          <w:lang w:eastAsia="zh-CN"/>
        </w:rPr>
        <w:t>（</w:t>
      </w:r>
      <w:r>
        <w:rPr>
          <w:rFonts w:hint="eastAsia"/>
          <w:lang w:val="en-US" w:eastAsia="zh-CN"/>
        </w:rPr>
        <w:t>六</w:t>
      </w:r>
      <w:r>
        <w:rPr>
          <w:rFonts w:hint="eastAsia"/>
          <w:lang w:eastAsia="zh-CN"/>
        </w:rPr>
        <w:t>）</w:t>
      </w:r>
      <w:r>
        <w:rPr>
          <w:rFonts w:hint="eastAsia"/>
        </w:rPr>
        <w:t>评价标准</w:t>
      </w:r>
    </w:p>
    <w:p>
      <w:pPr>
        <w:pStyle w:val="20"/>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leftChars="0" w:firstLine="640" w:firstLineChars="200"/>
        <w:jc w:val="both"/>
        <w:textAlignment w:val="auto"/>
        <w:outlineLvl w:val="1"/>
        <w:rPr>
          <w:rFonts w:hint="eastAsia" w:cs="Times New Roman"/>
          <w:b w:val="0"/>
          <w:bCs w:val="0"/>
          <w:lang w:val="en-US" w:eastAsia="zh-CN" w:bidi="ar"/>
        </w:rPr>
      </w:pPr>
      <w:r>
        <w:rPr>
          <w:rFonts w:hint="eastAsia" w:cs="Times New Roman"/>
          <w:b w:val="0"/>
          <w:bCs w:val="0"/>
          <w:lang w:val="en-US" w:eastAsia="zh-CN" w:bidi="ar"/>
        </w:rPr>
        <w:t>项目评价标准采用计划标准</w:t>
      </w:r>
    </w:p>
    <w:p>
      <w:pPr>
        <w:pStyle w:val="20"/>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leftChars="0" w:firstLine="640" w:firstLineChars="200"/>
        <w:jc w:val="both"/>
        <w:textAlignment w:val="auto"/>
        <w:outlineLvl w:val="1"/>
        <w:rPr>
          <w:rFonts w:hint="eastAsia"/>
          <w:b w:val="0"/>
          <w:color w:val="auto"/>
          <w:highlight w:val="yellow"/>
        </w:rPr>
      </w:pPr>
      <w:r>
        <w:rPr>
          <w:rFonts w:hint="eastAsia"/>
          <w:b w:val="0"/>
          <w:bCs w:val="0"/>
          <w:lang w:val="en-US" w:eastAsia="zh-CN" w:bidi="ar"/>
        </w:rPr>
        <w:t>计划标准:是以“关于拨付2019</w:t>
      </w:r>
      <w:r>
        <w:rPr>
          <w:rFonts w:hint="eastAsia" w:cs="Times New Roman"/>
          <w:b w:val="0"/>
          <w:bCs w:val="0"/>
          <w:lang w:val="en-US" w:eastAsia="zh-CN" w:bidi="ar"/>
        </w:rPr>
        <w:t>年中人职业年金补助项目通知事先制定的目标、原则上无预算不</w:t>
      </w:r>
      <w:r>
        <w:rPr>
          <w:rFonts w:hint="eastAsia"/>
          <w:b w:val="0"/>
          <w:bCs w:val="0"/>
          <w:lang w:val="en-US" w:eastAsia="zh-CN" w:bidi="ar"/>
        </w:rPr>
        <w:t>支出，合法、合规使用往年结转结余资金。加快推动预算执行，提高预算管理质量。加</w:t>
      </w:r>
      <w:r>
        <w:rPr>
          <w:rFonts w:hint="eastAsia" w:cs="Times New Roman"/>
          <w:b w:val="0"/>
          <w:bCs w:val="0"/>
          <w:lang w:val="en-US" w:eastAsia="zh-CN" w:bidi="ar"/>
        </w:rPr>
        <w:t>强中人职业年补助资金管理，加强划拨资金控制，定期核对全息发放人数，保障按养老金标准足额发放及时率、发放计划与资金发放管理一</w:t>
      </w:r>
      <w:r>
        <w:rPr>
          <w:rFonts w:hint="eastAsia"/>
          <w:b w:val="0"/>
          <w:bCs w:val="0"/>
          <w:lang w:val="en-US" w:eastAsia="zh-CN" w:bidi="ar"/>
        </w:rPr>
        <w:t>致，做好全县机关事业单位退休人员统计与发放工资，进一步提高补助资金发放的需求计划与发放管理的精准性、实用性。根据中人职业年金补助实际需求情况，养老金标准足额，及时发放，全面推进职业年金补助项目建设，实现补助资金发放精准管理。加强补助资金发放管理环节监管力度，积极推进社会养老保险事业，不断提高社会保险服务效率，规范补助资金财务管理，合力推动解决退休人员生活困难现象，不断提高阶段性接种率，及时为符合条件的机关事业单位退休人员服务，降低社会负担</w:t>
      </w:r>
      <w:r>
        <w:rPr>
          <w:rFonts w:hint="eastAsia"/>
          <w:b w:val="0"/>
          <w:bCs w:val="0"/>
          <w:lang w:bidi="ar"/>
        </w:rPr>
        <w:t>。</w:t>
      </w:r>
      <w:r>
        <w:rPr>
          <w:rFonts w:hint="eastAsia"/>
          <w:b w:val="0"/>
          <w:bCs w:val="0"/>
          <w:lang w:val="en-US" w:eastAsia="zh-CN" w:bidi="ar"/>
        </w:rPr>
        <w:t>进一步提升退休人员对社会养老保险服务思想转变，</w:t>
      </w:r>
      <w:r>
        <w:rPr>
          <w:rFonts w:hint="eastAsia" w:cs="Times New Roman"/>
          <w:b w:val="0"/>
          <w:bCs w:val="0"/>
          <w:lang w:val="en-US" w:eastAsia="zh-CN" w:bidi="ar"/>
        </w:rPr>
        <w:t>坚持民生优先，全面提高人民生活水平。注重工作规范管理。</w:t>
      </w:r>
      <w:r>
        <w:rPr>
          <w:rFonts w:hint="eastAsia"/>
          <w:b w:val="0"/>
          <w:bCs w:val="0"/>
          <w:lang w:val="en-US" w:eastAsia="zh-CN" w:bidi="ar"/>
        </w:rPr>
        <w:t>相关部门通过定期开展随访、信息系统管理等方式动态掌握我县机关事业单位退休人员具体情况，同时加强社会保险服务宣传，切实做好规范化管理，优化社会服务，提高社会保障。加强社会保险队伍能力建设，坚</w:t>
      </w:r>
      <w:r>
        <w:rPr>
          <w:rFonts w:hint="eastAsia" w:cs="Times New Roman"/>
          <w:b w:val="0"/>
          <w:bCs w:val="0"/>
          <w:lang w:val="en-US" w:eastAsia="zh-CN" w:bidi="ar"/>
        </w:rPr>
        <w:t>持贯彻执行社会养老保险的各项法律，法规以及党和国家有关社会保险的方针，政策，全面推进我县社会保险事业的发展提升，做好社会保险服务保障，稳步降低待遇按时发放率，逐步提高按养老金标准足额，及时发放率，</w:t>
      </w:r>
      <w:r>
        <w:rPr>
          <w:rFonts w:hint="eastAsia"/>
          <w:b w:val="0"/>
          <w:bCs w:val="0"/>
          <w:lang w:val="en-US" w:eastAsia="zh-CN" w:bidi="ar"/>
        </w:rPr>
        <w:t>规范、有序推</w:t>
      </w:r>
      <w:r>
        <w:rPr>
          <w:rFonts w:hint="eastAsia" w:cs="Times New Roman"/>
          <w:b w:val="0"/>
          <w:bCs w:val="0"/>
          <w:lang w:val="en-US" w:eastAsia="zh-CN" w:bidi="ar"/>
        </w:rPr>
        <w:t>进我县社会保险事业发展</w:t>
      </w:r>
      <w:r>
        <w:rPr>
          <w:rFonts w:hint="eastAsia"/>
          <w:b w:val="0"/>
          <w:bCs w:val="0"/>
          <w:lang w:val="en-US" w:eastAsia="zh-CN" w:bidi="ar"/>
        </w:rPr>
        <w:t>。全年完成值99%以上。均达预计完成值。</w:t>
      </w:r>
    </w:p>
    <w:p>
      <w:pPr>
        <w:pStyle w:val="20"/>
        <w:keepNext w:val="0"/>
        <w:keepLines w:val="0"/>
        <w:pageBreakBefore w:val="0"/>
        <w:widowControl w:val="0"/>
        <w:numPr>
          <w:ilvl w:val="0"/>
          <w:numId w:val="0"/>
        </w:numPr>
        <w:kinsoku/>
        <w:wordWrap/>
        <w:overflowPunct/>
        <w:topLinePunct w:val="0"/>
        <w:autoSpaceDE/>
        <w:autoSpaceDN/>
        <w:bidi w:val="0"/>
        <w:spacing w:before="0" w:after="0" w:line="560" w:lineRule="exact"/>
        <w:ind w:leftChars="0" w:firstLine="643" w:firstLineChars="200"/>
        <w:textAlignment w:val="auto"/>
        <w:rPr>
          <w:color w:val="auto"/>
          <w:highlight w:val="none"/>
        </w:rPr>
      </w:pPr>
      <w:r>
        <w:rPr>
          <w:rFonts w:hint="eastAsia"/>
          <w:color w:val="auto"/>
          <w:highlight w:val="none"/>
          <w:lang w:eastAsia="zh-CN"/>
        </w:rPr>
        <w:t>（</w:t>
      </w:r>
      <w:r>
        <w:rPr>
          <w:rFonts w:hint="eastAsia"/>
          <w:color w:val="auto"/>
          <w:highlight w:val="none"/>
          <w:lang w:val="en-US" w:eastAsia="zh-CN"/>
        </w:rPr>
        <w:t>七</w:t>
      </w:r>
      <w:r>
        <w:rPr>
          <w:rFonts w:hint="eastAsia"/>
          <w:color w:val="auto"/>
          <w:highlight w:val="none"/>
          <w:lang w:eastAsia="zh-CN"/>
        </w:rPr>
        <w:t>）</w:t>
      </w:r>
      <w:r>
        <w:rPr>
          <w:rFonts w:hint="eastAsia"/>
          <w:color w:val="auto"/>
          <w:highlight w:val="none"/>
        </w:rPr>
        <w:t>绩效评价工作过程</w:t>
      </w:r>
    </w:p>
    <w:p>
      <w:pPr>
        <w:pStyle w:val="20"/>
        <w:keepNext w:val="0"/>
        <w:keepLines w:val="0"/>
        <w:pageBreakBefore w:val="0"/>
        <w:widowControl w:val="0"/>
        <w:numPr>
          <w:ilvl w:val="0"/>
          <w:numId w:val="0"/>
        </w:numPr>
        <w:kinsoku/>
        <w:wordWrap/>
        <w:overflowPunct/>
        <w:topLinePunct w:val="0"/>
        <w:autoSpaceDE/>
        <w:autoSpaceDN/>
        <w:bidi w:val="0"/>
        <w:spacing w:before="0" w:after="0" w:line="560" w:lineRule="exact"/>
        <w:ind w:leftChars="0" w:firstLine="640" w:firstLineChars="200"/>
        <w:textAlignment w:val="auto"/>
        <w:outlineLvl w:val="9"/>
        <w:rPr>
          <w:b w:val="0"/>
          <w:bCs w:val="0"/>
          <w:color w:val="auto"/>
          <w:highlight w:val="none"/>
        </w:rPr>
      </w:pPr>
      <w:r>
        <w:rPr>
          <w:rFonts w:hint="eastAsia"/>
          <w:b w:val="0"/>
          <w:bCs w:val="0"/>
          <w:color w:val="auto"/>
          <w:highlight w:val="none"/>
          <w:lang w:val="en-US" w:eastAsia="zh-CN"/>
        </w:rPr>
        <w:t>1.</w:t>
      </w:r>
      <w:r>
        <w:rPr>
          <w:rFonts w:hint="eastAsia"/>
          <w:b w:val="0"/>
          <w:bCs w:val="0"/>
          <w:color w:val="auto"/>
          <w:highlight w:val="none"/>
        </w:rPr>
        <w:t>本次评价成立了评价工作组，成员如下：</w:t>
      </w:r>
    </w:p>
    <w:tbl>
      <w:tblPr>
        <w:tblStyle w:val="17"/>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0"/>
              <w:numPr>
                <w:ilvl w:val="0"/>
                <w:numId w:val="0"/>
              </w:numPr>
              <w:spacing w:line="240" w:lineRule="atLeast"/>
              <w:jc w:val="center"/>
              <w:rPr>
                <w:b w:val="0"/>
                <w:bCs w:val="0"/>
                <w:color w:val="auto"/>
                <w:highlight w:val="none"/>
              </w:rPr>
            </w:pPr>
            <w:r>
              <w:rPr>
                <w:rFonts w:hint="eastAsia"/>
                <w:b w:val="0"/>
                <w:bCs w:val="0"/>
                <w:color w:val="auto"/>
                <w:highlight w:val="none"/>
              </w:rPr>
              <w:t>评价人</w:t>
            </w:r>
          </w:p>
        </w:tc>
        <w:tc>
          <w:tcPr>
            <w:tcW w:w="2765" w:type="dxa"/>
            <w:vAlign w:val="center"/>
          </w:tcPr>
          <w:p>
            <w:pPr>
              <w:pStyle w:val="20"/>
              <w:numPr>
                <w:ilvl w:val="0"/>
                <w:numId w:val="0"/>
              </w:numPr>
              <w:spacing w:line="240" w:lineRule="atLeast"/>
              <w:jc w:val="center"/>
              <w:rPr>
                <w:b w:val="0"/>
                <w:bCs w:val="0"/>
                <w:color w:val="auto"/>
                <w:highlight w:val="none"/>
              </w:rPr>
            </w:pPr>
            <w:r>
              <w:rPr>
                <w:rFonts w:hint="eastAsia"/>
                <w:b w:val="0"/>
                <w:bCs w:val="0"/>
                <w:color w:val="auto"/>
                <w:highlight w:val="none"/>
              </w:rPr>
              <w:t>职责</w:t>
            </w:r>
          </w:p>
        </w:tc>
        <w:tc>
          <w:tcPr>
            <w:tcW w:w="2766" w:type="dxa"/>
            <w:vAlign w:val="center"/>
          </w:tcPr>
          <w:p>
            <w:pPr>
              <w:pStyle w:val="20"/>
              <w:numPr>
                <w:ilvl w:val="0"/>
                <w:numId w:val="0"/>
              </w:numPr>
              <w:spacing w:line="240" w:lineRule="atLeast"/>
              <w:jc w:val="center"/>
              <w:rPr>
                <w:b w:val="0"/>
                <w:bCs w:val="0"/>
                <w:color w:val="auto"/>
                <w:highlight w:val="none"/>
              </w:rPr>
            </w:pPr>
            <w:r>
              <w:rPr>
                <w:rFonts w:hint="eastAsia"/>
                <w:b w:val="0"/>
                <w:bCs w:val="0"/>
                <w:color w:val="auto"/>
                <w:highlight w:val="none"/>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0"/>
              <w:numPr>
                <w:ilvl w:val="0"/>
                <w:numId w:val="0"/>
              </w:numPr>
              <w:spacing w:line="240" w:lineRule="atLeast"/>
              <w:jc w:val="center"/>
              <w:rPr>
                <w:rFonts w:hint="eastAsia" w:eastAsia="仿宋_GB2312"/>
                <w:b w:val="0"/>
                <w:bCs w:val="0"/>
                <w:color w:val="auto"/>
                <w:highlight w:val="none"/>
                <w:lang w:eastAsia="zh-CN"/>
              </w:rPr>
            </w:pPr>
            <w:r>
              <w:rPr>
                <w:rFonts w:hint="eastAsia"/>
                <w:b w:val="0"/>
                <w:bCs w:val="0"/>
                <w:color w:val="auto"/>
                <w:highlight w:val="none"/>
                <w:lang w:eastAsia="zh-CN"/>
              </w:rPr>
              <w:t>张江全</w:t>
            </w:r>
          </w:p>
        </w:tc>
        <w:tc>
          <w:tcPr>
            <w:tcW w:w="2765" w:type="dxa"/>
            <w:vAlign w:val="center"/>
          </w:tcPr>
          <w:p>
            <w:pPr>
              <w:pStyle w:val="20"/>
              <w:numPr>
                <w:ilvl w:val="0"/>
                <w:numId w:val="0"/>
              </w:numPr>
              <w:spacing w:line="240" w:lineRule="atLeast"/>
              <w:jc w:val="center"/>
              <w:rPr>
                <w:b w:val="0"/>
                <w:bCs w:val="0"/>
                <w:color w:val="auto"/>
                <w:highlight w:val="none"/>
              </w:rPr>
            </w:pPr>
            <w:r>
              <w:rPr>
                <w:rFonts w:hint="eastAsia"/>
                <w:b w:val="0"/>
                <w:bCs w:val="0"/>
                <w:color w:val="auto"/>
                <w:highlight w:val="none"/>
              </w:rPr>
              <w:t>评价组组长</w:t>
            </w:r>
          </w:p>
        </w:tc>
        <w:tc>
          <w:tcPr>
            <w:tcW w:w="2766" w:type="dxa"/>
            <w:vAlign w:val="center"/>
          </w:tcPr>
          <w:p>
            <w:pPr>
              <w:pStyle w:val="20"/>
              <w:numPr>
                <w:ilvl w:val="0"/>
                <w:numId w:val="0"/>
              </w:numPr>
              <w:spacing w:line="240" w:lineRule="atLeast"/>
              <w:jc w:val="center"/>
              <w:rPr>
                <w:rFonts w:hint="eastAsia" w:eastAsia="仿宋_GB2312"/>
                <w:b w:val="0"/>
                <w:bCs w:val="0"/>
                <w:color w:val="auto"/>
                <w:highlight w:val="none"/>
                <w:lang w:eastAsia="zh-CN"/>
              </w:rPr>
            </w:pPr>
            <w:r>
              <w:rPr>
                <w:rFonts w:hint="eastAsia"/>
                <w:b w:val="0"/>
                <w:bCs w:val="0"/>
                <w:color w:val="auto"/>
                <w:highlight w:val="none"/>
                <w:lang w:eastAsia="zh-CN"/>
              </w:rPr>
              <w:t>副科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0"/>
              <w:numPr>
                <w:ilvl w:val="0"/>
                <w:numId w:val="0"/>
              </w:numPr>
              <w:spacing w:line="240" w:lineRule="atLeast"/>
              <w:jc w:val="center"/>
              <w:rPr>
                <w:rFonts w:hint="eastAsia" w:eastAsia="仿宋_GB2312"/>
                <w:b w:val="0"/>
                <w:bCs w:val="0"/>
                <w:color w:val="auto"/>
                <w:highlight w:val="none"/>
                <w:lang w:eastAsia="zh-CN"/>
              </w:rPr>
            </w:pPr>
            <w:r>
              <w:rPr>
                <w:rFonts w:hint="eastAsia"/>
                <w:b w:val="0"/>
                <w:bCs w:val="0"/>
                <w:color w:val="auto"/>
                <w:highlight w:val="none"/>
                <w:lang w:eastAsia="zh-CN"/>
              </w:rPr>
              <w:t>王永杰</w:t>
            </w:r>
          </w:p>
        </w:tc>
        <w:tc>
          <w:tcPr>
            <w:tcW w:w="2765" w:type="dxa"/>
            <w:vAlign w:val="center"/>
          </w:tcPr>
          <w:p>
            <w:pPr>
              <w:pStyle w:val="20"/>
              <w:numPr>
                <w:ilvl w:val="0"/>
                <w:numId w:val="0"/>
              </w:numPr>
              <w:spacing w:line="240" w:lineRule="atLeast"/>
              <w:jc w:val="center"/>
              <w:rPr>
                <w:b w:val="0"/>
                <w:bCs w:val="0"/>
                <w:color w:val="auto"/>
                <w:highlight w:val="none"/>
              </w:rPr>
            </w:pPr>
            <w:r>
              <w:rPr>
                <w:rFonts w:hint="eastAsia"/>
                <w:b w:val="0"/>
                <w:bCs w:val="0"/>
                <w:color w:val="auto"/>
                <w:highlight w:val="none"/>
              </w:rPr>
              <w:t>评价组成员</w:t>
            </w:r>
          </w:p>
        </w:tc>
        <w:tc>
          <w:tcPr>
            <w:tcW w:w="2766" w:type="dxa"/>
            <w:vAlign w:val="center"/>
          </w:tcPr>
          <w:p>
            <w:pPr>
              <w:pStyle w:val="20"/>
              <w:numPr>
                <w:ilvl w:val="0"/>
                <w:numId w:val="0"/>
              </w:numPr>
              <w:spacing w:line="240" w:lineRule="atLeast"/>
              <w:jc w:val="center"/>
              <w:rPr>
                <w:rFonts w:hint="eastAsia" w:eastAsia="仿宋_GB2312"/>
                <w:b w:val="0"/>
                <w:bCs w:val="0"/>
                <w:color w:val="auto"/>
                <w:highlight w:val="none"/>
                <w:lang w:eastAsia="zh-CN"/>
              </w:rPr>
            </w:pPr>
            <w:r>
              <w:rPr>
                <w:rFonts w:hint="eastAsia"/>
                <w:b w:val="0"/>
                <w:bCs w:val="0"/>
                <w:color w:val="auto"/>
                <w:highlight w:val="none"/>
                <w:lang w:eastAsia="zh-CN"/>
              </w:rPr>
              <w:t>科员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2765" w:type="dxa"/>
            <w:vAlign w:val="center"/>
          </w:tcPr>
          <w:p>
            <w:pPr>
              <w:pStyle w:val="20"/>
              <w:numPr>
                <w:ilvl w:val="0"/>
                <w:numId w:val="0"/>
              </w:numPr>
              <w:spacing w:line="240" w:lineRule="atLeast"/>
              <w:jc w:val="center"/>
              <w:rPr>
                <w:rFonts w:hint="eastAsia" w:eastAsia="仿宋_GB2312"/>
                <w:b w:val="0"/>
                <w:bCs w:val="0"/>
                <w:color w:val="auto"/>
                <w:highlight w:val="none"/>
                <w:lang w:eastAsia="zh-CN"/>
              </w:rPr>
            </w:pPr>
            <w:r>
              <w:rPr>
                <w:rFonts w:hint="eastAsia"/>
                <w:b w:val="0"/>
                <w:bCs w:val="0"/>
                <w:color w:val="auto"/>
                <w:highlight w:val="none"/>
                <w:lang w:eastAsia="zh-CN"/>
              </w:rPr>
              <w:t>李心拓</w:t>
            </w:r>
          </w:p>
        </w:tc>
        <w:tc>
          <w:tcPr>
            <w:tcW w:w="2765" w:type="dxa"/>
            <w:vAlign w:val="center"/>
          </w:tcPr>
          <w:p>
            <w:pPr>
              <w:pStyle w:val="20"/>
              <w:numPr>
                <w:ilvl w:val="0"/>
                <w:numId w:val="0"/>
              </w:numPr>
              <w:spacing w:line="240" w:lineRule="atLeast"/>
              <w:jc w:val="center"/>
              <w:rPr>
                <w:b w:val="0"/>
                <w:bCs w:val="0"/>
                <w:color w:val="auto"/>
                <w:highlight w:val="none"/>
              </w:rPr>
            </w:pPr>
            <w:r>
              <w:rPr>
                <w:rFonts w:hint="eastAsia"/>
                <w:b w:val="0"/>
                <w:bCs w:val="0"/>
                <w:color w:val="auto"/>
                <w:highlight w:val="none"/>
              </w:rPr>
              <w:t>评价组成员</w:t>
            </w:r>
          </w:p>
        </w:tc>
        <w:tc>
          <w:tcPr>
            <w:tcW w:w="2766" w:type="dxa"/>
            <w:vAlign w:val="center"/>
          </w:tcPr>
          <w:p>
            <w:pPr>
              <w:pStyle w:val="20"/>
              <w:numPr>
                <w:ilvl w:val="0"/>
                <w:numId w:val="0"/>
              </w:numPr>
              <w:spacing w:line="240" w:lineRule="atLeast"/>
              <w:jc w:val="center"/>
              <w:rPr>
                <w:rFonts w:hint="eastAsia" w:eastAsia="仿宋_GB2312"/>
                <w:b w:val="0"/>
                <w:bCs w:val="0"/>
                <w:color w:val="auto"/>
                <w:highlight w:val="none"/>
                <w:lang w:eastAsia="zh-CN"/>
              </w:rPr>
            </w:pPr>
            <w:r>
              <w:rPr>
                <w:rFonts w:hint="eastAsia"/>
                <w:b w:val="0"/>
                <w:bCs w:val="0"/>
                <w:color w:val="auto"/>
                <w:highlight w:val="none"/>
                <w:lang w:eastAsia="zh-CN"/>
              </w:rPr>
              <w:t>科员</w:t>
            </w:r>
          </w:p>
        </w:tc>
      </w:tr>
    </w:tbl>
    <w:p>
      <w:pPr>
        <w:pStyle w:val="20"/>
        <w:keepNext w:val="0"/>
        <w:keepLines w:val="0"/>
        <w:pageBreakBefore w:val="0"/>
        <w:widowControl w:val="0"/>
        <w:numPr>
          <w:ilvl w:val="0"/>
          <w:numId w:val="0"/>
        </w:numPr>
        <w:kinsoku/>
        <w:wordWrap/>
        <w:overflowPunct/>
        <w:topLinePunct w:val="0"/>
        <w:autoSpaceDE/>
        <w:autoSpaceDN/>
        <w:bidi w:val="0"/>
        <w:spacing w:before="0" w:after="0" w:line="560" w:lineRule="exact"/>
        <w:ind w:left="0" w:leftChars="0" w:firstLine="640" w:firstLineChars="200"/>
        <w:textAlignment w:val="auto"/>
        <w:outlineLvl w:val="9"/>
        <w:rPr>
          <w:b w:val="0"/>
          <w:bCs w:val="0"/>
          <w:color w:val="auto"/>
          <w:highlight w:val="none"/>
        </w:rPr>
      </w:pPr>
      <w:r>
        <w:rPr>
          <w:rFonts w:hint="eastAsia"/>
          <w:b w:val="0"/>
          <w:bCs w:val="0"/>
          <w:color w:val="auto"/>
          <w:highlight w:val="none"/>
        </w:rPr>
        <w:t>本次评价设计了评价方案、评价指标体系，通过资料分析、调研、访谈满意度调查等方式形成评价结论，在与项目单位沟通后确定评价意见，并出具评价报告。</w:t>
      </w:r>
    </w:p>
    <w:p>
      <w:pPr>
        <w:keepNext w:val="0"/>
        <w:keepLines w:val="0"/>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rPr>
          <w:rFonts w:hint="eastAsia" w:ascii="仿宋_GB2312" w:hAnsi="?? Light" w:eastAsia="仿宋_GB2312" w:cs="Times New Roman"/>
          <w:b w:val="0"/>
          <w:bCs w:val="0"/>
          <w:color w:val="auto"/>
          <w:kern w:val="2"/>
          <w:sz w:val="32"/>
          <w:szCs w:val="32"/>
          <w:highlight w:val="none"/>
          <w:lang w:val="en-US" w:eastAsia="zh-CN" w:bidi="ar-SA"/>
        </w:rPr>
      </w:pPr>
      <w:r>
        <w:rPr>
          <w:rFonts w:hint="eastAsia" w:ascii="仿宋_GB2312" w:hAnsi="仿宋" w:eastAsia="仿宋_GB2312" w:cs="宋体"/>
          <w:b/>
          <w:bCs/>
          <w:color w:val="auto"/>
          <w:sz w:val="32"/>
          <w:szCs w:val="32"/>
          <w:highlight w:val="none"/>
          <w:lang w:val="en-US" w:eastAsia="zh-CN"/>
        </w:rPr>
        <w:t>2.</w:t>
      </w:r>
      <w:r>
        <w:rPr>
          <w:rFonts w:hint="eastAsia" w:ascii="仿宋_GB2312" w:hAnsi="仿宋" w:eastAsia="仿宋_GB2312" w:cs="宋体"/>
          <w:b/>
          <w:bCs/>
          <w:color w:val="auto"/>
          <w:sz w:val="32"/>
          <w:szCs w:val="32"/>
          <w:highlight w:val="none"/>
        </w:rPr>
        <w:t>数据采集方法及过程</w:t>
      </w:r>
    </w:p>
    <w:p>
      <w:pPr>
        <w:keepNext w:val="0"/>
        <w:keepLines w:val="0"/>
        <w:pageBreakBefore w:val="0"/>
        <w:widowControl w:val="0"/>
        <w:numPr>
          <w:ilvl w:val="0"/>
          <w:numId w:val="0"/>
        </w:numPr>
        <w:kinsoku/>
        <w:wordWrap/>
        <w:overflowPunct/>
        <w:topLinePunct w:val="0"/>
        <w:autoSpaceDE/>
        <w:autoSpaceDN/>
        <w:bidi w:val="0"/>
        <w:spacing w:line="560" w:lineRule="exact"/>
        <w:ind w:left="0" w:leftChars="0" w:firstLine="643" w:firstLineChars="200"/>
        <w:textAlignment w:val="auto"/>
        <w:rPr>
          <w:rFonts w:hint="eastAsia" w:ascii="仿宋_GB2312" w:hAnsi="?? Light" w:eastAsia="仿宋_GB2312" w:cs="Times New Roman"/>
          <w:b w:val="0"/>
          <w:bCs w:val="0"/>
          <w:color w:val="auto"/>
          <w:kern w:val="2"/>
          <w:sz w:val="32"/>
          <w:szCs w:val="32"/>
          <w:highlight w:val="none"/>
          <w:lang w:val="en-US" w:eastAsia="zh-CN" w:bidi="ar-SA"/>
        </w:rPr>
      </w:pPr>
      <w:r>
        <w:rPr>
          <w:rFonts w:hint="eastAsia" w:ascii="仿宋_GB2312" w:hAnsi="仿宋" w:eastAsia="仿宋_GB2312" w:cs="宋体"/>
          <w:b/>
          <w:bCs/>
          <w:color w:val="auto"/>
          <w:sz w:val="32"/>
          <w:szCs w:val="32"/>
          <w:highlight w:val="none"/>
          <w:lang w:val="en-US" w:eastAsia="zh-CN"/>
        </w:rPr>
        <w:t xml:space="preserve"> </w:t>
      </w:r>
      <w:r>
        <w:rPr>
          <w:rFonts w:hint="eastAsia" w:ascii="仿宋_GB2312" w:hAnsi="?? Light" w:eastAsia="仿宋_GB2312" w:cs="Times New Roman"/>
          <w:b w:val="0"/>
          <w:bCs w:val="0"/>
          <w:color w:val="auto"/>
          <w:kern w:val="2"/>
          <w:sz w:val="32"/>
          <w:szCs w:val="32"/>
          <w:highlight w:val="none"/>
          <w:lang w:val="en-US" w:eastAsia="zh-CN" w:bidi="ar-SA"/>
        </w:rPr>
        <w:t>本次绩效评价数据包括定性和定量两种数据,定性数据主要通过面对面访谈,问卷调研等社会调查的方式来采集。</w:t>
      </w:r>
    </w:p>
    <w:p>
      <w:pPr>
        <w:keepNext w:val="0"/>
        <w:keepLines w:val="0"/>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rPr>
          <w:rFonts w:ascii="仿宋_GB2312" w:hAnsi="仿宋" w:eastAsia="仿宋_GB2312" w:cs="宋体"/>
          <w:b/>
          <w:bCs/>
          <w:color w:val="auto"/>
          <w:sz w:val="32"/>
          <w:szCs w:val="32"/>
          <w:highlight w:val="none"/>
        </w:rPr>
      </w:pPr>
      <w:r>
        <w:rPr>
          <w:rFonts w:hint="eastAsia" w:ascii="仿宋_GB2312" w:hAnsi="仿宋" w:eastAsia="仿宋_GB2312" w:cs="宋体"/>
          <w:b/>
          <w:bCs/>
          <w:color w:val="auto"/>
          <w:sz w:val="32"/>
          <w:szCs w:val="32"/>
          <w:highlight w:val="none"/>
          <w:lang w:val="en-US" w:eastAsia="zh-CN"/>
        </w:rPr>
        <w:t>3.</w:t>
      </w:r>
      <w:r>
        <w:rPr>
          <w:rFonts w:hint="eastAsia" w:ascii="仿宋_GB2312" w:hAnsi="仿宋" w:eastAsia="仿宋_GB2312" w:cs="宋体"/>
          <w:b/>
          <w:bCs/>
          <w:color w:val="auto"/>
          <w:sz w:val="32"/>
          <w:szCs w:val="32"/>
          <w:highlight w:val="none"/>
        </w:rPr>
        <w:t>绩效评价实施过程</w:t>
      </w:r>
    </w:p>
    <w:p>
      <w:pPr>
        <w:keepNext w:val="0"/>
        <w:keepLines w:val="0"/>
        <w:pageBreakBefore w:val="0"/>
        <w:widowControl w:val="0"/>
        <w:kinsoku/>
        <w:wordWrap/>
        <w:overflowPunct/>
        <w:topLinePunct w:val="0"/>
        <w:autoSpaceDE/>
        <w:autoSpaceDN/>
        <w:bidi w:val="0"/>
        <w:spacing w:line="560" w:lineRule="exact"/>
        <w:ind w:left="0" w:leftChars="0" w:firstLine="643" w:firstLineChars="200"/>
        <w:textAlignment w:val="auto"/>
        <w:rPr>
          <w:rFonts w:ascii="仿宋_GB2312" w:hAnsi="仿宋" w:eastAsia="仿宋_GB2312" w:cs="宋体"/>
          <w:b/>
          <w:bCs/>
          <w:color w:val="auto"/>
          <w:sz w:val="32"/>
          <w:szCs w:val="32"/>
          <w:highlight w:val="none"/>
        </w:rPr>
      </w:pPr>
      <w:r>
        <w:rPr>
          <w:rFonts w:ascii="仿宋_GB2312" w:hAnsi="仿宋" w:eastAsia="仿宋_GB2312" w:cs="宋体"/>
          <w:b/>
          <w:bCs/>
          <w:color w:val="auto"/>
          <w:sz w:val="32"/>
          <w:szCs w:val="32"/>
          <w:highlight w:val="none"/>
        </w:rPr>
        <w:t xml:space="preserve"> </w:t>
      </w:r>
      <w:r>
        <w:rPr>
          <w:rFonts w:hint="eastAsia" w:ascii="仿宋_GB2312" w:hAnsi="?? Light" w:eastAsia="仿宋_GB2312" w:cs="Times New Roman"/>
          <w:b w:val="0"/>
          <w:bCs w:val="0"/>
          <w:kern w:val="2"/>
          <w:sz w:val="32"/>
          <w:szCs w:val="32"/>
          <w:lang w:val="en-US" w:eastAsia="zh-CN" w:bidi="ar-SA"/>
        </w:rPr>
        <w:t>项目组在前期调研的基础上,完成了项目绩效评价工作方案,明确了评价的目的、方法、指标体系、评价标准、合规性检查方案、访谈方案等。在此之后,项目组严格按照工作方案,经过了数据采集、问卷调查、访谈、数据分析和报告撰写等环节,顺利完成了绩效评价工作。</w:t>
      </w:r>
    </w:p>
    <w:p>
      <w:pPr>
        <w:keepNext w:val="0"/>
        <w:keepLines w:val="0"/>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rPr>
          <w:rFonts w:ascii="仿宋_GB2312" w:hAnsi="仿宋" w:eastAsia="仿宋_GB2312" w:cs="宋体"/>
          <w:b/>
          <w:bCs/>
          <w:color w:val="auto"/>
          <w:sz w:val="32"/>
          <w:szCs w:val="32"/>
          <w:highlight w:val="none"/>
        </w:rPr>
      </w:pPr>
      <w:r>
        <w:rPr>
          <w:rFonts w:hint="eastAsia" w:ascii="仿宋_GB2312" w:hAnsi="仿宋" w:eastAsia="仿宋_GB2312" w:cs="宋体"/>
          <w:b/>
          <w:bCs/>
          <w:color w:val="auto"/>
          <w:sz w:val="32"/>
          <w:szCs w:val="32"/>
          <w:highlight w:val="none"/>
          <w:lang w:val="en-US" w:eastAsia="zh-CN"/>
        </w:rPr>
        <w:t>1）</w:t>
      </w:r>
      <w:r>
        <w:rPr>
          <w:rFonts w:hint="eastAsia" w:ascii="仿宋_GB2312" w:hAnsi="仿宋" w:eastAsia="仿宋_GB2312" w:cs="宋体"/>
          <w:b/>
          <w:bCs/>
          <w:color w:val="auto"/>
          <w:sz w:val="32"/>
          <w:szCs w:val="32"/>
          <w:highlight w:val="none"/>
        </w:rPr>
        <w:t>问卷调查</w:t>
      </w:r>
    </w:p>
    <w:p>
      <w:pPr>
        <w:keepNext w:val="0"/>
        <w:keepLines w:val="0"/>
        <w:pageBreakBefore w:val="0"/>
        <w:widowControl w:val="0"/>
        <w:kinsoku/>
        <w:wordWrap/>
        <w:overflowPunct/>
        <w:topLinePunct w:val="0"/>
        <w:autoSpaceDE/>
        <w:autoSpaceDN/>
        <w:bidi w:val="0"/>
        <w:spacing w:line="560" w:lineRule="exact"/>
        <w:ind w:left="0" w:leftChars="0" w:firstLine="643" w:firstLineChars="200"/>
        <w:textAlignment w:val="auto"/>
        <w:rPr>
          <w:rFonts w:ascii="仿宋_GB2312" w:hAnsi="仿宋" w:eastAsia="仿宋_GB2312" w:cs="宋体"/>
          <w:b w:val="0"/>
          <w:bCs w:val="0"/>
          <w:color w:val="auto"/>
          <w:sz w:val="32"/>
          <w:szCs w:val="32"/>
          <w:highlight w:val="none"/>
        </w:rPr>
      </w:pPr>
      <w:r>
        <w:rPr>
          <w:rFonts w:hint="eastAsia" w:ascii="仿宋_GB2312" w:hAnsi="仿宋" w:eastAsia="仿宋_GB2312" w:cs="宋体"/>
          <w:b/>
          <w:bCs/>
          <w:color w:val="auto"/>
          <w:sz w:val="32"/>
          <w:szCs w:val="32"/>
          <w:highlight w:val="none"/>
          <w:lang w:val="en-US" w:eastAsia="zh-CN"/>
        </w:rPr>
        <w:t xml:space="preserve"> </w:t>
      </w:r>
      <w:r>
        <w:rPr>
          <w:rFonts w:hint="eastAsia" w:ascii="仿宋_GB2312" w:hAnsi="?? Light" w:eastAsia="仿宋_GB2312" w:cs="Times New Roman"/>
          <w:b w:val="0"/>
          <w:bCs w:val="0"/>
          <w:kern w:val="2"/>
          <w:sz w:val="32"/>
          <w:szCs w:val="32"/>
          <w:lang w:val="en-US" w:eastAsia="zh-CN" w:bidi="ar-SA"/>
        </w:rPr>
        <w:t>2019年5月2日-2019年5月10日,项目组对中人职业年金补助项目涉及受益退休人进行问卷调查。向21个镇共发放200份问卷,回收200份问卷,其中有效问卷为200份,有效问卷为100%，再通过问卷录入、分析、整理后,形成社</w:t>
      </w:r>
      <w:r>
        <w:rPr>
          <w:rFonts w:hint="eastAsia" w:ascii="仿宋_GB2312" w:hAnsi="仿宋" w:eastAsia="仿宋_GB2312" w:cs="宋体"/>
          <w:b w:val="0"/>
          <w:bCs w:val="0"/>
          <w:color w:val="auto"/>
          <w:sz w:val="32"/>
          <w:szCs w:val="32"/>
          <w:highlight w:val="none"/>
        </w:rPr>
        <w:t>会调查满意度报告</w:t>
      </w:r>
      <w:r>
        <w:rPr>
          <w:rFonts w:hint="eastAsia" w:ascii="仿宋_GB2312" w:hAnsi="仿宋" w:eastAsia="仿宋_GB2312" w:cs="宋体"/>
          <w:b w:val="0"/>
          <w:bCs w:val="0"/>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rPr>
          <w:rFonts w:ascii="仿宋_GB2312" w:hAnsi="仿宋" w:eastAsia="仿宋_GB2312" w:cs="宋体"/>
          <w:b/>
          <w:bCs/>
          <w:color w:val="auto"/>
          <w:sz w:val="32"/>
          <w:szCs w:val="32"/>
          <w:highlight w:val="none"/>
        </w:rPr>
      </w:pPr>
      <w:r>
        <w:rPr>
          <w:rFonts w:hint="eastAsia" w:ascii="仿宋_GB2312" w:hAnsi="仿宋" w:eastAsia="仿宋_GB2312" w:cs="宋体"/>
          <w:b/>
          <w:bCs/>
          <w:color w:val="auto"/>
          <w:sz w:val="32"/>
          <w:szCs w:val="32"/>
          <w:highlight w:val="none"/>
          <w:lang w:val="en-US" w:eastAsia="zh-CN"/>
        </w:rPr>
        <w:t>2）.</w:t>
      </w:r>
      <w:r>
        <w:rPr>
          <w:rFonts w:hint="eastAsia" w:ascii="仿宋_GB2312" w:hAnsi="仿宋" w:eastAsia="仿宋_GB2312" w:cs="宋体"/>
          <w:b/>
          <w:bCs/>
          <w:color w:val="auto"/>
          <w:sz w:val="32"/>
          <w:szCs w:val="32"/>
          <w:highlight w:val="none"/>
        </w:rPr>
        <w:t>访谈</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default" w:ascii="仿宋_GB2312" w:hAnsi="?? Light" w:eastAsia="仿宋_GB2312" w:cs="Times New Roman"/>
          <w:b w:val="0"/>
          <w:bCs w:val="0"/>
          <w:kern w:val="2"/>
          <w:sz w:val="32"/>
          <w:szCs w:val="32"/>
          <w:highlight w:val="none"/>
          <w:lang w:val="en-US" w:eastAsia="zh-CN" w:bidi="ar-SA"/>
        </w:rPr>
      </w:pPr>
      <w:r>
        <w:rPr>
          <w:rFonts w:hint="eastAsia" w:ascii="仿宋_GB2312" w:hAnsi="?? Light" w:eastAsia="仿宋_GB2312" w:cs="Times New Roman"/>
          <w:b w:val="0"/>
          <w:bCs w:val="0"/>
          <w:kern w:val="2"/>
          <w:sz w:val="32"/>
          <w:szCs w:val="32"/>
          <w:lang w:val="en-US" w:eastAsia="zh-CN" w:bidi="ar-SA"/>
        </w:rPr>
        <w:t>2019年5月20日-2019年5月30日,针对中人职业年金补助发放工作开展情况、管理</w:t>
      </w:r>
      <w:r>
        <w:rPr>
          <w:rFonts w:hint="eastAsia" w:ascii="仿宋_GB2312" w:hAnsi="?? Light" w:eastAsia="仿宋_GB2312" w:cs="Times New Roman"/>
          <w:b w:val="0"/>
          <w:bCs w:val="0"/>
          <w:kern w:val="2"/>
          <w:sz w:val="32"/>
          <w:szCs w:val="32"/>
          <w:highlight w:val="none"/>
          <w:lang w:val="en-US" w:eastAsia="zh-CN" w:bidi="ar-SA"/>
        </w:rPr>
        <w:t>措施和项目管理的经验、困难与建议等问题进行访问和了解,项目组开展了访谈工作。访谈对象主要包括:享受职业年金的退休人。电话访谈：本单位不定期的经过电话方式访谈享受职业年金的退休人数80人，大部分退休人员对</w:t>
      </w:r>
      <w:r>
        <w:rPr>
          <w:rFonts w:hint="eastAsia" w:ascii="仿宋_GB2312" w:hAnsi="方正楷体简体" w:eastAsia="仿宋_GB2312" w:cs="宋体"/>
          <w:sz w:val="32"/>
          <w:szCs w:val="32"/>
          <w:lang w:eastAsia="zh-CN"/>
        </w:rPr>
        <w:t>社会养老保险政策很有满意度，部分机关事业退休人员信息不准原因导致资金发放耽误，为了退休人员能够享受职业年金补助，按定期的更新退休人员信息数据库。</w:t>
      </w:r>
    </w:p>
    <w:p>
      <w:pPr>
        <w:keepNext w:val="0"/>
        <w:keepLines w:val="0"/>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rPr>
          <w:rFonts w:ascii="仿宋_GB2312" w:hAnsi="仿宋" w:eastAsia="仿宋_GB2312" w:cs="宋体"/>
          <w:b/>
          <w:bCs/>
          <w:color w:val="auto"/>
          <w:sz w:val="32"/>
          <w:szCs w:val="32"/>
          <w:highlight w:val="none"/>
        </w:rPr>
      </w:pPr>
      <w:bookmarkStart w:id="7" w:name="_Toc26401558"/>
      <w:r>
        <w:rPr>
          <w:rFonts w:hint="eastAsia" w:ascii="仿宋_GB2312" w:hAnsi="仿宋" w:eastAsia="仿宋_GB2312" w:cs="宋体"/>
          <w:b/>
          <w:bCs/>
          <w:color w:val="auto"/>
          <w:sz w:val="32"/>
          <w:szCs w:val="32"/>
          <w:highlight w:val="none"/>
          <w:lang w:val="en-US" w:eastAsia="zh-CN"/>
        </w:rPr>
        <w:t>3）.</w:t>
      </w:r>
      <w:r>
        <w:rPr>
          <w:rFonts w:hint="eastAsia" w:ascii="仿宋_GB2312" w:hAnsi="仿宋" w:eastAsia="仿宋_GB2312" w:cs="宋体"/>
          <w:b/>
          <w:bCs/>
          <w:color w:val="auto"/>
          <w:sz w:val="32"/>
          <w:szCs w:val="32"/>
          <w:highlight w:val="none"/>
        </w:rPr>
        <w:t>数据分析及撰写报告</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 Light" w:eastAsia="仿宋_GB2312" w:cs="Times New Roman"/>
          <w:b w:val="0"/>
          <w:bCs w:val="0"/>
          <w:kern w:val="2"/>
          <w:sz w:val="32"/>
          <w:szCs w:val="32"/>
          <w:lang w:val="en-US" w:eastAsia="zh-CN" w:bidi="ar-SA"/>
        </w:rPr>
      </w:pPr>
      <w:r>
        <w:rPr>
          <w:rFonts w:hint="eastAsia" w:ascii="仿宋_GB2312" w:hAnsi="?? Light" w:eastAsia="仿宋_GB2312" w:cs="Times New Roman"/>
          <w:b w:val="0"/>
          <w:bCs w:val="0"/>
          <w:kern w:val="2"/>
          <w:sz w:val="32"/>
          <w:szCs w:val="32"/>
          <w:lang w:val="en-US" w:eastAsia="zh-CN" w:bidi="ar-SA"/>
        </w:rPr>
        <w:t>2019年9月11日-2019年9月15日,项目组根据绩效评价的原理和规范,对采集的数据进行甄别、分析和评分,并提炼结论撰写报告,在规定时间内上报委托方,由委托方组织相关专家对报告进行评审。</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三、</w:t>
      </w:r>
      <w:r>
        <w:rPr>
          <w:rFonts w:hint="eastAsia" w:ascii="黑体" w:hAnsi="黑体" w:eastAsia="黑体" w:cs="黑体"/>
          <w:color w:val="auto"/>
          <w:sz w:val="32"/>
          <w:szCs w:val="32"/>
        </w:rPr>
        <w:t>综合评价情况及评价结论</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 Light" w:eastAsia="仿宋_GB2312" w:cs="Times New Roman"/>
          <w:b w:val="0"/>
          <w:bCs w:val="0"/>
          <w:kern w:val="2"/>
          <w:sz w:val="32"/>
          <w:szCs w:val="32"/>
          <w:lang w:val="en-US" w:eastAsia="zh-CN" w:bidi="ar-SA"/>
        </w:rPr>
      </w:pPr>
      <w:r>
        <w:rPr>
          <w:rFonts w:hint="eastAsia" w:ascii="仿宋_GB2312" w:hAnsi="?? Light" w:eastAsia="仿宋_GB2312" w:cs="Times New Roman"/>
          <w:b w:val="0"/>
          <w:bCs w:val="0"/>
          <w:kern w:val="2"/>
          <w:sz w:val="32"/>
          <w:szCs w:val="32"/>
          <w:lang w:val="en-US" w:eastAsia="zh-CN" w:bidi="ar-SA"/>
        </w:rPr>
        <w:t>经评价组通过实地调研、资料分析等方式，采用综合分析法、等对项目的决策、管理、绩效进行的综合评价分析，项目得分为99分，评价结果为优。</w:t>
      </w:r>
    </w:p>
    <w:p>
      <w:pPr>
        <w:pStyle w:val="19"/>
        <w:keepNext w:val="0"/>
        <w:keepLines w:val="0"/>
        <w:pageBreakBefore w:val="0"/>
        <w:widowControl w:val="0"/>
        <w:numPr>
          <w:ilvl w:val="0"/>
          <w:numId w:val="0"/>
        </w:numPr>
        <w:kinsoku/>
        <w:wordWrap/>
        <w:overflowPunct/>
        <w:topLinePunct w:val="0"/>
        <w:autoSpaceDE/>
        <w:autoSpaceDN/>
        <w:bidi w:val="0"/>
        <w:spacing w:before="0" w:after="0" w:line="560" w:lineRule="exact"/>
        <w:ind w:leftChars="0" w:firstLine="643" w:firstLineChars="200"/>
        <w:textAlignment w:val="auto"/>
      </w:pPr>
      <w:r>
        <w:rPr>
          <w:rFonts w:hint="eastAsia"/>
          <w:lang w:val="en-US" w:eastAsia="zh-CN"/>
        </w:rPr>
        <w:t>四、</w:t>
      </w:r>
      <w:r>
        <w:rPr>
          <w:rFonts w:hint="eastAsia"/>
        </w:rPr>
        <w:t>绩效评价指标分析</w:t>
      </w:r>
      <w:bookmarkEnd w:id="7"/>
    </w:p>
    <w:p>
      <w:pPr>
        <w:pStyle w:val="18"/>
        <w:keepNext w:val="0"/>
        <w:keepLines w:val="0"/>
        <w:pageBreakBefore w:val="0"/>
        <w:widowControl w:val="0"/>
        <w:numPr>
          <w:ilvl w:val="0"/>
          <w:numId w:val="5"/>
        </w:numPr>
        <w:kinsoku/>
        <w:wordWrap/>
        <w:overflowPunct/>
        <w:topLinePunct w:val="0"/>
        <w:autoSpaceDE/>
        <w:autoSpaceDN/>
        <w:bidi w:val="0"/>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22"/>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cs="宋体"/>
          <w:sz w:val="32"/>
          <w:szCs w:val="32"/>
        </w:rPr>
      </w:pPr>
      <w:r>
        <w:rPr>
          <w:rFonts w:hint="eastAsia" w:ascii="仿宋_GB2312" w:hAnsi="仿宋" w:cs="宋体"/>
          <w:sz w:val="32"/>
          <w:szCs w:val="32"/>
        </w:rPr>
        <w:t>本项目的立项符合相关法规政策及部门职责，依据充分；项目是按照规定的程序申请设立；审批文件、材料是符合相关要求；项目前期是已经过必要的可行性研究、专家论证、风险评估、绩效评估、集体决策。</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根据相关文件要求设置了绩效目标，项目绩效目标基本合理，是与实际工作内容相关；项目预期产出效益和效果是符合正常的业绩水平；是与预算确定的项目投资额或资金量相匹配。将项目绩效目标细化分解为具体的绩效指标；通过清晰、可衡量的指标值予以体现；是与项目目标任务数</w:t>
      </w:r>
      <w:r>
        <w:rPr>
          <w:rFonts w:hint="eastAsia" w:ascii="仿宋_GB2312" w:hAnsi="仿宋" w:eastAsia="仿宋_GB2312" w:cs="宋体"/>
          <w:sz w:val="32"/>
          <w:szCs w:val="32"/>
          <w:lang w:eastAsia="zh-CN"/>
        </w:rPr>
        <w:t>和</w:t>
      </w:r>
      <w:r>
        <w:rPr>
          <w:rFonts w:hint="eastAsia" w:ascii="仿宋_GB2312" w:hAnsi="仿宋" w:eastAsia="仿宋_GB2312" w:cs="宋体"/>
          <w:sz w:val="32"/>
          <w:szCs w:val="32"/>
        </w:rPr>
        <w:t>计划数相对应。</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项目在资金投入方面，预算编制经过科学论证、有明确标准，资金额度与年度目标是相适应，用以反映和考核项目预算编制的科学性、合理性情况。项目预算资金分配有测算依据，与补助单位或地方实际相适应。</w:t>
      </w:r>
    </w:p>
    <w:p>
      <w:pPr>
        <w:pStyle w:val="18"/>
        <w:keepNext w:val="0"/>
        <w:keepLines w:val="0"/>
        <w:pageBreakBefore w:val="0"/>
        <w:widowControl w:val="0"/>
        <w:numPr>
          <w:ilvl w:val="0"/>
          <w:numId w:val="5"/>
        </w:numPr>
        <w:kinsoku/>
        <w:wordWrap/>
        <w:overflowPunct/>
        <w:topLinePunct w:val="0"/>
        <w:autoSpaceDE/>
        <w:autoSpaceDN/>
        <w:bidi w:val="0"/>
        <w:spacing w:line="560" w:lineRule="exact"/>
        <w:ind w:left="0" w:leftChars="0" w:firstLine="643" w:firstLineChars="200"/>
        <w:textAlignment w:val="auto"/>
        <w:rPr>
          <w:rFonts w:hint="eastAsia" w:ascii="仿宋_GB2312" w:hAnsi="仿宋" w:eastAsia="仿宋_GB2312" w:cs="宋体"/>
          <w:sz w:val="32"/>
          <w:szCs w:val="32"/>
        </w:rPr>
      </w:pPr>
      <w:r>
        <w:rPr>
          <w:rFonts w:hint="eastAsia" w:ascii="仿宋_GB2312" w:hAnsi="仿宋" w:eastAsia="仿宋_GB2312" w:cs="宋体"/>
          <w:b/>
          <w:bCs/>
          <w:sz w:val="32"/>
          <w:szCs w:val="32"/>
        </w:rPr>
        <w:t>项目的过程情况</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本项目资金严格按照《叶城县劳动就业保险管理局资金管理办法》和《叶城县财政资金管理制度》支付资金</w:t>
      </w:r>
      <w:r>
        <w:rPr>
          <w:rFonts w:hint="eastAsia" w:ascii="仿宋_GB2312" w:hAnsi="仿宋" w:eastAsia="仿宋_GB2312" w:cs="宋体"/>
          <w:sz w:val="32"/>
          <w:szCs w:val="32"/>
          <w:lang w:eastAsia="zh-CN"/>
        </w:rPr>
        <w:t>，</w:t>
      </w:r>
      <w:r>
        <w:rPr>
          <w:rFonts w:hint="eastAsia" w:ascii="仿宋_GB2312" w:hAnsi="仿宋" w:eastAsia="仿宋_GB2312" w:cs="宋体"/>
          <w:sz w:val="32"/>
          <w:szCs w:val="32"/>
        </w:rPr>
        <w:t>项目资金足额及时到位，及时支付，资金使用符合国家法规和财务管理制度；资金支付由社保局上报资金拨付报告经县领导审批后从财政国库中将资金拨付至社保局基本户中，再由社保局按需求支出，由经办人员、财务人员审核局领导签字后予以拨付。资金的支付有完整的审批程序和手续符合制度要求；不存在截留、挤占、挪用、虚列支出等情况</w:t>
      </w:r>
      <w:r>
        <w:rPr>
          <w:rFonts w:hint="eastAsia" w:ascii="仿宋_GB2312" w:hAnsi="仿宋" w:eastAsia="仿宋_GB2312" w:cs="宋体"/>
          <w:sz w:val="32"/>
          <w:szCs w:val="32"/>
          <w:lang w:eastAsia="zh-CN"/>
        </w:rPr>
        <w:t>。</w:t>
      </w:r>
    </w:p>
    <w:p>
      <w:pPr>
        <w:pStyle w:val="18"/>
        <w:keepNext w:val="0"/>
        <w:keepLines w:val="0"/>
        <w:pageBreakBefore w:val="0"/>
        <w:widowControl w:val="0"/>
        <w:numPr>
          <w:ilvl w:val="0"/>
          <w:numId w:val="5"/>
        </w:numPr>
        <w:kinsoku/>
        <w:wordWrap/>
        <w:overflowPunct/>
        <w:topLinePunct w:val="0"/>
        <w:autoSpaceDE/>
        <w:autoSpaceDN/>
        <w:bidi w:val="0"/>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pStyle w:val="1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outlineLvl w:val="9"/>
        <w:rPr>
          <w:rFonts w:hint="eastAsia" w:ascii="仿宋" w:hAnsi="仿宋" w:eastAsia="仿宋"/>
          <w:sz w:val="32"/>
          <w:szCs w:val="32"/>
        </w:rPr>
      </w:pPr>
      <w:r>
        <w:rPr>
          <w:rFonts w:hint="eastAsia" w:ascii="仿宋_GB2312" w:eastAsia="仿宋_GB2312"/>
          <w:sz w:val="32"/>
          <w:szCs w:val="32"/>
          <w:highlight w:val="none"/>
          <w:lang w:eastAsia="zh-CN"/>
        </w:rPr>
        <w:t>补助资金</w:t>
      </w:r>
      <w:r>
        <w:rPr>
          <w:rFonts w:hint="eastAsia" w:ascii="仿宋_GB2312" w:eastAsia="仿宋_GB2312"/>
          <w:sz w:val="32"/>
          <w:szCs w:val="32"/>
          <w:highlight w:val="none"/>
        </w:rPr>
        <w:t>筛查、随访目标数数量为</w:t>
      </w:r>
      <w:r>
        <w:rPr>
          <w:rFonts w:hint="eastAsia" w:ascii="仿宋_GB2312" w:eastAsia="仿宋_GB2312"/>
          <w:sz w:val="32"/>
          <w:szCs w:val="32"/>
          <w:highlight w:val="none"/>
          <w:lang w:val="en-US" w:eastAsia="zh-CN"/>
        </w:rPr>
        <w:t>783</w:t>
      </w:r>
      <w:r>
        <w:rPr>
          <w:rFonts w:hint="eastAsia" w:ascii="仿宋_GB2312" w:eastAsia="仿宋_GB2312"/>
          <w:sz w:val="32"/>
          <w:szCs w:val="32"/>
          <w:highlight w:val="none"/>
        </w:rPr>
        <w:t>人，</w:t>
      </w:r>
      <w:r>
        <w:rPr>
          <w:rFonts w:hint="eastAsia" w:ascii="仿宋" w:hAnsi="仿宋" w:eastAsia="仿宋"/>
          <w:sz w:val="32"/>
          <w:szCs w:val="32"/>
          <w:highlight w:val="none"/>
        </w:rPr>
        <w:t>为了解我县2019年</w:t>
      </w:r>
      <w:r>
        <w:rPr>
          <w:rFonts w:hint="eastAsia" w:ascii="仿宋" w:hAnsi="仿宋" w:eastAsia="仿宋"/>
          <w:sz w:val="32"/>
          <w:szCs w:val="32"/>
          <w:highlight w:val="none"/>
          <w:lang w:eastAsia="zh-CN"/>
        </w:rPr>
        <w:t>中人职业年金补助发放</w:t>
      </w:r>
      <w:r>
        <w:rPr>
          <w:rFonts w:hint="eastAsia" w:ascii="仿宋" w:hAnsi="仿宋" w:eastAsia="仿宋"/>
          <w:sz w:val="32"/>
          <w:szCs w:val="32"/>
          <w:highlight w:val="none"/>
        </w:rPr>
        <w:t>趋势、加强我县</w:t>
      </w:r>
      <w:r>
        <w:rPr>
          <w:rFonts w:hint="eastAsia" w:ascii="仿宋" w:hAnsi="仿宋" w:eastAsia="仿宋"/>
          <w:sz w:val="32"/>
          <w:szCs w:val="32"/>
          <w:highlight w:val="none"/>
          <w:lang w:eastAsia="zh-CN"/>
        </w:rPr>
        <w:t>机关事业单位退休人员</w:t>
      </w:r>
      <w:r>
        <w:rPr>
          <w:rFonts w:hint="eastAsia" w:ascii="仿宋" w:hAnsi="仿宋" w:eastAsia="仿宋"/>
          <w:sz w:val="32"/>
          <w:szCs w:val="32"/>
          <w:highlight w:val="none"/>
        </w:rPr>
        <w:t>数据信息的管理，确保数据信息的准确性和可靠性，及时有效地</w:t>
      </w:r>
      <w:r>
        <w:rPr>
          <w:rFonts w:hint="eastAsia" w:ascii="仿宋" w:hAnsi="仿宋" w:eastAsia="仿宋"/>
          <w:sz w:val="32"/>
          <w:szCs w:val="32"/>
          <w:highlight w:val="none"/>
          <w:lang w:eastAsia="zh-CN"/>
        </w:rPr>
        <w:t>发放养老补助资金</w:t>
      </w:r>
      <w:r>
        <w:rPr>
          <w:rFonts w:hint="eastAsia" w:ascii="仿宋" w:hAnsi="仿宋" w:eastAsia="仿宋"/>
          <w:sz w:val="32"/>
          <w:szCs w:val="32"/>
          <w:highlight w:val="none"/>
        </w:rPr>
        <w:t>，了解</w:t>
      </w:r>
      <w:r>
        <w:rPr>
          <w:rFonts w:hint="eastAsia" w:ascii="仿宋" w:hAnsi="仿宋" w:eastAsia="仿宋"/>
          <w:sz w:val="32"/>
          <w:szCs w:val="32"/>
          <w:highlight w:val="none"/>
          <w:lang w:eastAsia="zh-CN"/>
        </w:rPr>
        <w:t>机关事业单位在职惹怒眼退休</w:t>
      </w:r>
      <w:r>
        <w:rPr>
          <w:rFonts w:hint="eastAsia" w:ascii="仿宋" w:hAnsi="仿宋" w:eastAsia="仿宋"/>
          <w:sz w:val="32"/>
          <w:szCs w:val="32"/>
          <w:highlight w:val="none"/>
        </w:rPr>
        <w:t>情况、全面系统地掌握</w:t>
      </w:r>
      <w:r>
        <w:rPr>
          <w:rFonts w:hint="eastAsia" w:ascii="仿宋" w:hAnsi="仿宋" w:eastAsia="仿宋"/>
          <w:sz w:val="32"/>
          <w:szCs w:val="32"/>
          <w:highlight w:val="none"/>
          <w:lang w:eastAsia="zh-CN"/>
        </w:rPr>
        <w:t>中人职业年金补助</w:t>
      </w:r>
      <w:r>
        <w:rPr>
          <w:rFonts w:hint="eastAsia" w:ascii="仿宋" w:hAnsi="仿宋" w:eastAsia="仿宋"/>
          <w:sz w:val="32"/>
          <w:szCs w:val="32"/>
          <w:highlight w:val="none"/>
        </w:rPr>
        <w:t>工作开展情况、制定</w:t>
      </w:r>
      <w:r>
        <w:rPr>
          <w:rFonts w:hint="eastAsia" w:ascii="仿宋" w:hAnsi="仿宋" w:eastAsia="仿宋"/>
          <w:sz w:val="32"/>
          <w:szCs w:val="32"/>
          <w:highlight w:val="none"/>
          <w:lang w:eastAsia="zh-CN"/>
        </w:rPr>
        <w:t>养老保险</w:t>
      </w:r>
      <w:r>
        <w:rPr>
          <w:rFonts w:hint="eastAsia" w:ascii="仿宋" w:hAnsi="仿宋" w:eastAsia="仿宋"/>
          <w:sz w:val="32"/>
          <w:szCs w:val="32"/>
          <w:highlight w:val="none"/>
        </w:rPr>
        <w:t>政策和策略，提供可靠、</w:t>
      </w:r>
      <w:r>
        <w:rPr>
          <w:rFonts w:hint="eastAsia" w:ascii="仿宋" w:hAnsi="仿宋" w:eastAsia="仿宋"/>
          <w:sz w:val="32"/>
          <w:szCs w:val="32"/>
        </w:rPr>
        <w:t>准确、及时的数据信，对2019年</w:t>
      </w:r>
      <w:r>
        <w:rPr>
          <w:rFonts w:hint="eastAsia" w:ascii="仿宋" w:hAnsi="仿宋" w:eastAsia="仿宋"/>
          <w:sz w:val="32"/>
          <w:szCs w:val="32"/>
          <w:lang w:eastAsia="zh-CN"/>
        </w:rPr>
        <w:t>退休人员养老金补助</w:t>
      </w:r>
      <w:r>
        <w:rPr>
          <w:rFonts w:hint="eastAsia" w:ascii="仿宋" w:hAnsi="仿宋" w:eastAsia="仿宋"/>
          <w:sz w:val="32"/>
          <w:szCs w:val="32"/>
        </w:rPr>
        <w:t>进行统计分析。将</w:t>
      </w:r>
      <w:r>
        <w:rPr>
          <w:rFonts w:hint="eastAsia" w:ascii="仿宋" w:hAnsi="仿宋" w:eastAsia="仿宋"/>
          <w:sz w:val="32"/>
          <w:szCs w:val="32"/>
          <w:lang w:eastAsia="zh-CN"/>
        </w:rPr>
        <w:t>社会保险</w:t>
      </w:r>
      <w:r>
        <w:rPr>
          <w:rFonts w:hint="eastAsia" w:ascii="仿宋" w:hAnsi="仿宋" w:eastAsia="仿宋"/>
          <w:sz w:val="32"/>
          <w:szCs w:val="32"/>
        </w:rPr>
        <w:t>知识宣教。</w:t>
      </w:r>
    </w:p>
    <w:p>
      <w:pPr>
        <w:pStyle w:val="1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outlineLvl w:val="9"/>
        <w:rPr>
          <w:rFonts w:hint="eastAsia" w:ascii="仿宋_GB2312" w:hAnsi="仿宋" w:eastAsia="仿宋_GB2312" w:cs="宋体"/>
          <w:kern w:val="2"/>
          <w:sz w:val="32"/>
          <w:szCs w:val="32"/>
          <w:lang w:val="en-US" w:eastAsia="zh-CN" w:bidi="ar"/>
        </w:rPr>
      </w:pPr>
      <w:r>
        <w:rPr>
          <w:rFonts w:hint="eastAsia" w:ascii="仿宋_GB2312" w:hAnsi="仿宋" w:eastAsia="仿宋_GB2312" w:cs="宋体"/>
          <w:kern w:val="2"/>
          <w:sz w:val="32"/>
          <w:szCs w:val="32"/>
          <w:lang w:val="en-US" w:eastAsia="zh-CN" w:bidi="ar"/>
        </w:rPr>
        <w:t>本年度共完成发放中人职业年金补助人数783人，按标准及时足额发放率99%，补助发放完成人数783人。全年全县精准发放率100%。</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 w:eastAsia="仿宋_GB2312" w:cs="宋体"/>
          <w:kern w:val="2"/>
          <w:sz w:val="32"/>
          <w:szCs w:val="32"/>
          <w:lang w:val="en-US" w:eastAsia="zh-CN" w:bidi="ar"/>
        </w:rPr>
      </w:pPr>
      <w:r>
        <w:rPr>
          <w:rFonts w:hint="eastAsia" w:ascii="仿宋_GB2312" w:hAnsi="仿宋" w:eastAsia="仿宋_GB2312" w:cs="宋体"/>
          <w:kern w:val="2"/>
          <w:sz w:val="32"/>
          <w:szCs w:val="32"/>
          <w:lang w:val="en-US" w:eastAsia="zh-CN" w:bidi="ar"/>
        </w:rPr>
        <w:t>加强中人职业年金补助资金管理，加强资金标准足额发放控制，定期核对退休人员信息数据库，保障退休人员晚年生活提供资金、发放计划与补助资金发放管理一致，做好各县退休人员按养老金标准足额发放及时率的统计与分析，进一步提高养老保险补助的需求计划与分发管理的精准性、实用性。根据中人职业年金补助实际需求情况，养老金标准足额，及时发放，全面推进职业年金补助项目建设，实现补助资金发放精准管理。加强补助资金发放管理环节监管力度，积极推进社会养老保险事业，不断提高社会保险服务效率，规范补助资金财务管理，合力推动解决退休人员生活困难现象，不断提高阶段性接种率，及时为符合条件的机关事业单位退休人员服务，降低社会负担。进一步提升退休人员对社会养老保险服务思想转变，坚持民生优先，全面提高人民生活水平。注重工作规范管理。相关部门通过定期开展随访、信息系统管理等方式动态掌握我县机关事业单位退休人员具体情况，同时加强社会保险服务宣传，切实做好规范化管理，优化社会服务，提高社会保障。加强社会保险队伍能力建设，坚持贯彻执行社会养老保险的各项法律，法规以及党和国家有关社会保险的方针，政策，全面推进我县社会保险事业的发展提升，做好社会保险服务保障，稳步降低待遇按时发放率，逐步提高按养老金标准足额，及时发放率，规范、有序推进我县社会保险事业发展。全年完成值99%以上。</w:t>
      </w:r>
    </w:p>
    <w:tbl>
      <w:tblPr>
        <w:tblStyle w:val="17"/>
        <w:tblW w:w="83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1148"/>
        <w:gridCol w:w="971"/>
        <w:gridCol w:w="3159"/>
        <w:gridCol w:w="1530"/>
        <w:gridCol w:w="1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PrEx>
        <w:trPr>
          <w:trHeight w:val="500" w:hRule="atLeast"/>
        </w:trPr>
        <w:tc>
          <w:tcPr>
            <w:tcW w:w="114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97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15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3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53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00" w:hRule="atLeast"/>
        </w:trPr>
        <w:tc>
          <w:tcPr>
            <w:tcW w:w="1148"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产出指标（50分）</w:t>
            </w:r>
          </w:p>
        </w:tc>
        <w:tc>
          <w:tcPr>
            <w:tcW w:w="97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159" w:type="dxa"/>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职业年金补助人数(人)</w:t>
            </w:r>
          </w:p>
        </w:tc>
        <w:tc>
          <w:tcPr>
            <w:tcW w:w="1530" w:type="dxa"/>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783</w:t>
            </w:r>
          </w:p>
        </w:tc>
        <w:tc>
          <w:tcPr>
            <w:tcW w:w="1531" w:type="dxa"/>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0" w:hRule="atLeast"/>
        </w:trPr>
        <w:tc>
          <w:tcPr>
            <w:tcW w:w="1148"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7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159" w:type="dxa"/>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机关事业单位退休人员覆盖率（%）</w:t>
            </w:r>
          </w:p>
        </w:tc>
        <w:tc>
          <w:tcPr>
            <w:tcW w:w="1530" w:type="dxa"/>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31" w:type="dxa"/>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0" w:hRule="atLeast"/>
        </w:trPr>
        <w:tc>
          <w:tcPr>
            <w:tcW w:w="1148"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71"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159" w:type="dxa"/>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按养老金标准足额发放及时率（%）</w:t>
            </w:r>
          </w:p>
        </w:tc>
        <w:tc>
          <w:tcPr>
            <w:tcW w:w="1530" w:type="dxa"/>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31" w:type="dxa"/>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0" w:hRule="atLeast"/>
        </w:trPr>
        <w:tc>
          <w:tcPr>
            <w:tcW w:w="1148"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71"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59" w:type="dxa"/>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待遇按时发放率（%）</w:t>
            </w:r>
          </w:p>
        </w:tc>
        <w:tc>
          <w:tcPr>
            <w:tcW w:w="1530" w:type="dxa"/>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31" w:type="dxa"/>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00" w:hRule="atLeast"/>
        </w:trPr>
        <w:tc>
          <w:tcPr>
            <w:tcW w:w="1148"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7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3159" w:type="dxa"/>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人均职业年金补助标准（万元/人）</w:t>
            </w:r>
          </w:p>
        </w:tc>
        <w:tc>
          <w:tcPr>
            <w:tcW w:w="1530" w:type="dxa"/>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1.62 </w:t>
            </w:r>
          </w:p>
        </w:tc>
        <w:tc>
          <w:tcPr>
            <w:tcW w:w="1531" w:type="dxa"/>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1.62 </w:t>
            </w:r>
          </w:p>
        </w:tc>
      </w:tr>
    </w:tbl>
    <w:p>
      <w:pPr>
        <w:pStyle w:val="18"/>
        <w:keepNext w:val="0"/>
        <w:keepLines w:val="0"/>
        <w:pageBreakBefore w:val="0"/>
        <w:widowControl w:val="0"/>
        <w:numPr>
          <w:ilvl w:val="0"/>
          <w:numId w:val="0"/>
        </w:numPr>
        <w:kinsoku/>
        <w:wordWrap/>
        <w:overflowPunct/>
        <w:topLinePunct w:val="0"/>
        <w:autoSpaceDE/>
        <w:autoSpaceDN/>
        <w:bidi w:val="0"/>
        <w:spacing w:line="560" w:lineRule="exact"/>
        <w:ind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eastAsia="zh-CN"/>
        </w:rPr>
        <w:t>（</w:t>
      </w:r>
      <w:r>
        <w:rPr>
          <w:rFonts w:hint="eastAsia" w:ascii="仿宋_GB2312" w:hAnsi="仿宋" w:eastAsia="仿宋_GB2312" w:cs="宋体"/>
          <w:b/>
          <w:bCs/>
          <w:sz w:val="32"/>
          <w:szCs w:val="32"/>
          <w:lang w:val="en-US" w:eastAsia="zh-CN"/>
        </w:rPr>
        <w:t>四</w:t>
      </w:r>
      <w:r>
        <w:rPr>
          <w:rFonts w:hint="eastAsia" w:ascii="仿宋_GB2312" w:hAnsi="仿宋" w:eastAsia="仿宋_GB2312" w:cs="宋体"/>
          <w:b/>
          <w:bCs/>
          <w:sz w:val="32"/>
          <w:szCs w:val="32"/>
          <w:lang w:eastAsia="zh-CN"/>
        </w:rPr>
        <w:t>）</w:t>
      </w:r>
      <w:r>
        <w:rPr>
          <w:rFonts w:hint="eastAsia" w:ascii="仿宋_GB2312" w:hAnsi="仿宋" w:eastAsia="仿宋_GB2312" w:cs="宋体"/>
          <w:b/>
          <w:bCs/>
          <w:sz w:val="32"/>
          <w:szCs w:val="32"/>
        </w:rPr>
        <w:t>项目效益情况</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 w:eastAsia="仿宋_GB2312" w:cs="宋体"/>
          <w:kern w:val="2"/>
          <w:sz w:val="32"/>
          <w:szCs w:val="32"/>
          <w:lang w:val="en-US" w:eastAsia="zh-CN" w:bidi="ar"/>
        </w:rPr>
      </w:pPr>
      <w:r>
        <w:rPr>
          <w:rFonts w:hint="eastAsia" w:ascii="仿宋_GB2312" w:hAnsi="仿宋" w:eastAsia="仿宋_GB2312" w:cs="宋体"/>
          <w:kern w:val="2"/>
          <w:sz w:val="32"/>
          <w:szCs w:val="32"/>
          <w:lang w:val="en-US" w:eastAsia="zh-CN" w:bidi="ar"/>
        </w:rPr>
        <w:t>为落实《自治区机关事业单位职业年金补助项目文件工作的通知》、项目资金管理办法的要求，叶城县严格按照《机关事业单位职业年金办法》的精神、解决社会保险工作中的重点和难点问题，推动社会保险工作全面深入开展，通过建立健全组织管理机构，加强叶城县财政局领导与多部门配合，加强技术培训与人员能力建设，广泛开展宣传，机关退休人员对社会保险服务咨询等工作，开展并提高对全面的社会保险服务。</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 w:eastAsia="仿宋_GB2312" w:cs="宋体"/>
          <w:kern w:val="2"/>
          <w:sz w:val="32"/>
          <w:szCs w:val="32"/>
          <w:lang w:val="en-US" w:eastAsia="zh-CN" w:bidi="ar"/>
        </w:rPr>
      </w:pPr>
      <w:r>
        <w:rPr>
          <w:rFonts w:hint="eastAsia" w:ascii="仿宋_GB2312" w:hAnsi="仿宋" w:eastAsia="仿宋_GB2312" w:cs="宋体"/>
          <w:kern w:val="2"/>
          <w:sz w:val="32"/>
          <w:szCs w:val="32"/>
          <w:lang w:val="en-US" w:eastAsia="zh-CN" w:bidi="ar"/>
        </w:rPr>
        <w:t>经发放200份调查问卷，收回进行数据分析，满意度达98%，满意度已达标。</w:t>
      </w:r>
    </w:p>
    <w:tbl>
      <w:tblPr>
        <w:tblStyle w:val="17"/>
        <w:tblW w:w="83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1148"/>
        <w:gridCol w:w="971"/>
        <w:gridCol w:w="3159"/>
        <w:gridCol w:w="1530"/>
        <w:gridCol w:w="1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rPr>
          <w:trHeight w:val="500" w:hRule="atLeast"/>
        </w:trPr>
        <w:tc>
          <w:tcPr>
            <w:tcW w:w="114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97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15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3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53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0" w:hRule="atLeast"/>
        </w:trPr>
        <w:tc>
          <w:tcPr>
            <w:tcW w:w="1148"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97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159" w:type="dxa"/>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530" w:type="dxa"/>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31" w:type="dxa"/>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0" w:hRule="atLeast"/>
        </w:trPr>
        <w:tc>
          <w:tcPr>
            <w:tcW w:w="1148"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7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159" w:type="dxa"/>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社会面平稳有序,上访率（%）</w:t>
            </w:r>
          </w:p>
        </w:tc>
        <w:tc>
          <w:tcPr>
            <w:tcW w:w="1530" w:type="dxa"/>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531" w:type="dxa"/>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0" w:hRule="atLeast"/>
        </w:trPr>
        <w:tc>
          <w:tcPr>
            <w:tcW w:w="1148"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7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159" w:type="dxa"/>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530" w:type="dxa"/>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31" w:type="dxa"/>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0" w:hRule="atLeast"/>
        </w:trPr>
        <w:tc>
          <w:tcPr>
            <w:tcW w:w="1148"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7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159"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终生保障率（%）</w:t>
            </w:r>
          </w:p>
        </w:tc>
        <w:tc>
          <w:tcPr>
            <w:tcW w:w="1530" w:type="dxa"/>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31" w:type="dxa"/>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0" w:hRule="atLeast"/>
        </w:trPr>
        <w:tc>
          <w:tcPr>
            <w:tcW w:w="114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97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159"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退休人员满意度（%）</w:t>
            </w:r>
          </w:p>
        </w:tc>
        <w:tc>
          <w:tcPr>
            <w:tcW w:w="1530" w:type="dxa"/>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c>
          <w:tcPr>
            <w:tcW w:w="1531" w:type="dxa"/>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 Light" w:eastAsia="仿宋_GB2312" w:cs="Times New Roman"/>
          <w:b w:val="0"/>
          <w:bCs w:val="0"/>
          <w:kern w:val="2"/>
          <w:sz w:val="32"/>
          <w:szCs w:val="32"/>
          <w:lang w:val="en-US" w:eastAsia="zh-CN" w:bidi="ar-SA"/>
        </w:rPr>
      </w:pPr>
      <w:r>
        <w:rPr>
          <w:rFonts w:hint="eastAsia" w:ascii="仿宋_GB2312" w:hAnsi="?? Light" w:eastAsia="仿宋_GB2312" w:cs="Times New Roman"/>
          <w:b w:val="0"/>
          <w:bCs w:val="0"/>
          <w:kern w:val="2"/>
          <w:sz w:val="32"/>
          <w:szCs w:val="32"/>
          <w:lang w:val="en-US" w:eastAsia="zh-CN" w:bidi="ar-SA"/>
        </w:rPr>
        <w:t>（一）主要经验及做法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b w:val="0"/>
        </w:rPr>
      </w:pPr>
      <w:r>
        <w:rPr>
          <w:rFonts w:hint="eastAsia" w:ascii="仿宋_GB2312" w:hAnsi="?? Light" w:eastAsia="仿宋_GB2312" w:cs="Times New Roman"/>
          <w:b w:val="0"/>
          <w:bCs w:val="0"/>
          <w:kern w:val="2"/>
          <w:sz w:val="32"/>
          <w:szCs w:val="32"/>
          <w:lang w:val="en-US" w:eastAsia="zh-CN" w:bidi="ar-SA"/>
        </w:rPr>
        <w:t>本项目实施效果较好的原因主要是管理制度完善、责任落实到位，跟踪考核机制完善且运行有效，在项目实施过程中创新管理办法，采用资金的使用按照政策标准，专款专用，做到政务公开，执行“阳光操作”，保证各项工作公开透明 ， 项目开展的程序还进一步规范；项目档案资料进一步完善；项目实施成效加强，年初做好资金预算，按照项目进度及时拨付资金方式使项目取得了资金使用效益最大化，减少不必要的浪费，节约成本，获得资金使用良好的效果</w:t>
      </w:r>
      <w:r>
        <w:rPr>
          <w:rFonts w:hint="eastAsia" w:cs="Times New Roman"/>
          <w:b w:val="0"/>
          <w:bCs w:val="0"/>
          <w:kern w:val="2"/>
          <w:sz w:val="32"/>
          <w:szCs w:val="32"/>
          <w:lang w:val="en-US" w:eastAsia="zh-CN" w:bidi="ar-SA"/>
        </w:rPr>
        <w:t>。</w:t>
      </w:r>
    </w:p>
    <w:p>
      <w:pPr>
        <w:pStyle w:val="20"/>
        <w:keepNext w:val="0"/>
        <w:keepLines w:val="0"/>
        <w:pageBreakBefore w:val="0"/>
        <w:widowControl w:val="0"/>
        <w:numPr>
          <w:ilvl w:val="0"/>
          <w:numId w:val="0"/>
        </w:numPr>
        <w:kinsoku/>
        <w:wordWrap/>
        <w:overflowPunct/>
        <w:topLinePunct w:val="0"/>
        <w:autoSpaceDE/>
        <w:autoSpaceDN/>
        <w:bidi w:val="0"/>
        <w:spacing w:before="0" w:after="0" w:line="560" w:lineRule="exact"/>
        <w:ind w:left="0" w:leftChars="0" w:firstLine="643" w:firstLineChars="200"/>
        <w:textAlignment w:val="auto"/>
        <w:rPr>
          <w:b w:val="0"/>
        </w:rPr>
      </w:pPr>
      <w:r>
        <w:rPr>
          <w:rFonts w:hint="eastAsia"/>
          <w:lang w:eastAsia="zh-CN"/>
        </w:rPr>
        <w:t>（</w:t>
      </w:r>
      <w:r>
        <w:rPr>
          <w:rFonts w:hint="eastAsia"/>
          <w:lang w:val="en-US" w:eastAsia="zh-CN"/>
        </w:rPr>
        <w:t>二</w:t>
      </w:r>
      <w:r>
        <w:rPr>
          <w:rFonts w:hint="eastAsia"/>
          <w:lang w:eastAsia="zh-CN"/>
        </w:rPr>
        <w:t>）</w:t>
      </w:r>
      <w:r>
        <w:rPr>
          <w:rFonts w:hint="eastAsia"/>
        </w:rPr>
        <w:t>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 Light" w:eastAsia="仿宋_GB2312" w:cs="Times New Roman"/>
          <w:b w:val="0"/>
          <w:bCs w:val="0"/>
          <w:kern w:val="2"/>
          <w:sz w:val="32"/>
          <w:szCs w:val="32"/>
          <w:lang w:val="en-US" w:eastAsia="zh-CN" w:bidi="ar-SA"/>
        </w:rPr>
      </w:pPr>
      <w:r>
        <w:rPr>
          <w:rFonts w:hint="eastAsia" w:ascii="仿宋_GB2312" w:hAnsi="?? Light" w:eastAsia="仿宋_GB2312"/>
          <w:bCs/>
          <w:sz w:val="32"/>
          <w:szCs w:val="32"/>
        </w:rPr>
        <w:t>项目在实施过程</w:t>
      </w:r>
      <w:r>
        <w:rPr>
          <w:rFonts w:hint="eastAsia" w:ascii="仿宋_GB2312" w:hAnsi="?? Light" w:eastAsia="仿宋_GB2312" w:cs="Times New Roman"/>
          <w:b w:val="0"/>
          <w:bCs w:val="0"/>
          <w:kern w:val="2"/>
          <w:sz w:val="32"/>
          <w:szCs w:val="32"/>
          <w:lang w:val="en-US" w:eastAsia="zh-CN" w:bidi="ar-SA"/>
        </w:rPr>
        <w:t>中因人员制度管理的学习不足，导致项目资金拨付缓慢，项目实施进度拖沓，人员绩效管理经验不足，导致绩效管理工作不够完善。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rPr>
          <w:rFonts w:hint="eastAsia" w:ascii="黑体" w:hAnsi="黑体" w:eastAsia="黑体" w:cs="黑体"/>
          <w:b/>
          <w:bCs/>
          <w:kern w:val="2"/>
          <w:sz w:val="32"/>
          <w:szCs w:val="32"/>
          <w:lang w:val="en-US" w:eastAsia="zh-CN" w:bidi="ar-SA"/>
        </w:rPr>
      </w:pPr>
      <w:r>
        <w:rPr>
          <w:rFonts w:hint="eastAsia" w:ascii="黑体" w:hAnsi="黑体" w:eastAsia="黑体" w:cs="黑体"/>
          <w:b/>
          <w:bCs/>
          <w:kern w:val="2"/>
          <w:sz w:val="32"/>
          <w:szCs w:val="32"/>
          <w:lang w:val="en-US" w:eastAsia="zh-CN" w:bidi="ar-SA"/>
        </w:rPr>
        <w:t>六、有关建议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 Light" w:eastAsia="仿宋_GB2312" w:cs="Times New Roman"/>
          <w:b w:val="0"/>
          <w:bCs w:val="0"/>
          <w:kern w:val="2"/>
          <w:sz w:val="32"/>
          <w:szCs w:val="32"/>
          <w:lang w:val="en-US" w:eastAsia="zh-CN" w:bidi="ar-SA"/>
        </w:rPr>
      </w:pPr>
      <w:r>
        <w:rPr>
          <w:rFonts w:hint="eastAsia" w:ascii="仿宋_GB2312" w:hAnsi="?? Light" w:eastAsia="仿宋_GB2312" w:cs="Times New Roman"/>
          <w:b w:val="0"/>
          <w:bCs w:val="0"/>
          <w:kern w:val="2"/>
          <w:sz w:val="32"/>
          <w:szCs w:val="32"/>
          <w:lang w:val="en-US" w:eastAsia="zh-CN" w:bidi="ar-SA"/>
        </w:rPr>
        <w:t>加强相关人员制度管理的学习，加强人员对绩效管理工作的学习，保障今后在项目实施中对绩效管理工作和项目管理工作不出现问题。</w:t>
      </w:r>
    </w:p>
    <w:p>
      <w:pPr>
        <w:pStyle w:val="19"/>
        <w:keepNext w:val="0"/>
        <w:keepLines w:val="0"/>
        <w:pageBreakBefore w:val="0"/>
        <w:widowControl w:val="0"/>
        <w:numPr>
          <w:ilvl w:val="0"/>
          <w:numId w:val="0"/>
        </w:numPr>
        <w:kinsoku/>
        <w:wordWrap/>
        <w:overflowPunct/>
        <w:topLinePunct w:val="0"/>
        <w:autoSpaceDE/>
        <w:autoSpaceDN/>
        <w:bidi w:val="0"/>
        <w:spacing w:before="0" w:after="0" w:line="560" w:lineRule="exact"/>
        <w:ind w:leftChars="0" w:firstLine="643" w:firstLineChars="200"/>
        <w:textAlignment w:val="auto"/>
        <w:rPr>
          <w:rFonts w:ascii="黑体"/>
        </w:rPr>
      </w:pPr>
      <w:r>
        <w:rPr>
          <w:rFonts w:hint="eastAsia" w:ascii="黑体" w:hAnsi="黑体"/>
          <w:lang w:val="en-US" w:eastAsia="zh-CN"/>
        </w:rPr>
        <w:t>七、</w:t>
      </w:r>
      <w:r>
        <w:rPr>
          <w:rFonts w:hint="eastAsia" w:ascii="黑体" w:hAnsi="黑体"/>
        </w:rPr>
        <w:t>其他需要说明的问题</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hAnsi="宋体" w:cs="宋体"/>
          <w:kern w:val="0"/>
          <w:sz w:val="32"/>
          <w:szCs w:val="32"/>
          <w:lang w:eastAsia="zh-CN"/>
        </w:rPr>
      </w:pPr>
      <w:r>
        <w:rPr>
          <w:rFonts w:hAnsi="宋体" w:eastAsia="Times New Roman" w:cs="宋体"/>
          <w:kern w:val="0"/>
          <w:sz w:val="32"/>
          <w:szCs w:val="32"/>
        </w:rPr>
        <w:t>无其他说明内容</w:t>
      </w:r>
      <w:r>
        <w:rPr>
          <w:rFonts w:hint="eastAsia" w:hAnsi="宋体" w:cs="宋体"/>
          <w:kern w:val="0"/>
          <w:sz w:val="32"/>
          <w:szCs w:val="32"/>
          <w:lang w:eastAsia="zh-CN"/>
        </w:rPr>
        <w:t>。</w:t>
      </w:r>
    </w:p>
    <w:p>
      <w:pPr>
        <w:pStyle w:val="2"/>
        <w:keepNext w:val="0"/>
        <w:keepLines w:val="0"/>
        <w:pageBreakBefore w:val="0"/>
        <w:widowControl w:val="0"/>
        <w:kinsoku/>
        <w:wordWrap/>
        <w:overflowPunct/>
        <w:topLinePunct w:val="0"/>
        <w:autoSpaceDE/>
        <w:autoSpaceDN/>
        <w:bidi w:val="0"/>
        <w:spacing w:line="560" w:lineRule="exact"/>
        <w:ind w:leftChars="0" w:firstLine="562" w:firstLineChars="200"/>
        <w:textAlignment w:val="auto"/>
        <w:rPr>
          <w:rFonts w:hint="eastAsia"/>
          <w:lang w:eastAsia="zh-CN"/>
        </w:rPr>
      </w:pPr>
    </w:p>
    <w:p>
      <w:pPr>
        <w:keepNext w:val="0"/>
        <w:keepLines w:val="0"/>
        <w:pageBreakBefore w:val="0"/>
        <w:widowControl w:val="0"/>
        <w:kinsoku/>
        <w:wordWrap/>
        <w:overflowPunct/>
        <w:topLinePunct w:val="0"/>
        <w:autoSpaceDE/>
        <w:autoSpaceDN/>
        <w:bidi w:val="0"/>
        <w:spacing w:line="560" w:lineRule="exact"/>
        <w:ind w:leftChars="0" w:firstLine="420" w:firstLineChars="200"/>
        <w:textAlignment w:val="auto"/>
      </w:pPr>
    </w:p>
    <w:p>
      <w:pPr>
        <w:keepNext w:val="0"/>
        <w:keepLines w:val="0"/>
        <w:pageBreakBefore w:val="0"/>
        <w:widowControl w:val="0"/>
        <w:kinsoku/>
        <w:wordWrap/>
        <w:overflowPunct/>
        <w:topLinePunct w:val="0"/>
        <w:autoSpaceDE/>
        <w:autoSpaceDN/>
        <w:bidi w:val="0"/>
        <w:spacing w:line="560" w:lineRule="exact"/>
        <w:ind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1</w:t>
      </w:r>
      <w:r>
        <w:rPr>
          <w:rFonts w:hint="eastAsia" w:ascii="仿宋_GB2312" w:hAnsi="仿宋" w:eastAsia="仿宋_GB2312" w:cs="宋体"/>
          <w:sz w:val="32"/>
          <w:szCs w:val="32"/>
        </w:rPr>
        <w:t>：喀什地区</w:t>
      </w:r>
      <w:r>
        <w:rPr>
          <w:rFonts w:hint="eastAsia" w:ascii="仿宋_GB2312" w:hAnsi="仿宋" w:eastAsia="仿宋_GB2312" w:cs="宋体"/>
          <w:sz w:val="32"/>
          <w:szCs w:val="32"/>
          <w:lang w:val="en-US" w:eastAsia="zh-CN"/>
        </w:rPr>
        <w:t>劳动就业保险管理局</w:t>
      </w:r>
      <w:r>
        <w:rPr>
          <w:rFonts w:hint="eastAsia" w:ascii="仿宋_GB2312" w:hAnsi="仿宋" w:eastAsia="仿宋_GB2312" w:cs="宋体"/>
          <w:sz w:val="32"/>
          <w:szCs w:val="32"/>
        </w:rPr>
        <w:t>单位</w:t>
      </w:r>
      <w:r>
        <w:rPr>
          <w:rFonts w:hint="eastAsia" w:ascii="仿宋_GB2312" w:hAnsi="仿宋" w:eastAsia="仿宋_GB2312" w:cs="宋体"/>
          <w:sz w:val="32"/>
          <w:szCs w:val="32"/>
          <w:lang w:val="en-US" w:eastAsia="zh-CN"/>
        </w:rPr>
        <w:t>中人职业年金补助</w:t>
      </w:r>
      <w:r>
        <w:rPr>
          <w:rFonts w:hint="eastAsia" w:ascii="仿宋_GB2312" w:hAnsi="仿宋" w:eastAsia="仿宋_GB2312" w:cs="宋体"/>
          <w:sz w:val="32"/>
          <w:szCs w:val="32"/>
        </w:rPr>
        <w:t>项目支出绩效目标申报表</w:t>
      </w:r>
    </w:p>
    <w:p>
      <w:pPr>
        <w:keepNext w:val="0"/>
        <w:keepLines w:val="0"/>
        <w:pageBreakBefore w:val="0"/>
        <w:widowControl w:val="0"/>
        <w:kinsoku/>
        <w:wordWrap/>
        <w:overflowPunct/>
        <w:topLinePunct w:val="0"/>
        <w:autoSpaceDE/>
        <w:autoSpaceDN/>
        <w:bidi w:val="0"/>
        <w:spacing w:line="560" w:lineRule="exact"/>
        <w:ind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2</w:t>
      </w:r>
      <w:r>
        <w:rPr>
          <w:rFonts w:hint="eastAsia" w:ascii="仿宋_GB2312" w:hAnsi="仿宋" w:eastAsia="仿宋_GB2312" w:cs="宋体"/>
          <w:sz w:val="32"/>
          <w:szCs w:val="32"/>
        </w:rPr>
        <w:t>：喀什地区</w:t>
      </w:r>
      <w:r>
        <w:rPr>
          <w:rFonts w:hint="eastAsia" w:ascii="仿宋_GB2312" w:hAnsi="仿宋" w:eastAsia="仿宋_GB2312" w:cs="宋体"/>
          <w:sz w:val="32"/>
          <w:szCs w:val="32"/>
          <w:lang w:val="en-US" w:eastAsia="zh-CN"/>
        </w:rPr>
        <w:t>劳动就业保险管理局</w:t>
      </w:r>
      <w:r>
        <w:rPr>
          <w:rFonts w:hint="eastAsia" w:ascii="仿宋_GB2312" w:hAnsi="仿宋" w:eastAsia="仿宋_GB2312" w:cs="宋体"/>
          <w:sz w:val="32"/>
          <w:szCs w:val="32"/>
        </w:rPr>
        <w:t>单位</w:t>
      </w:r>
      <w:r>
        <w:rPr>
          <w:rFonts w:hint="eastAsia" w:ascii="仿宋_GB2312" w:hAnsi="仿宋" w:eastAsia="仿宋_GB2312" w:cs="宋体"/>
          <w:sz w:val="32"/>
          <w:szCs w:val="32"/>
          <w:lang w:val="en-US" w:eastAsia="zh-CN"/>
        </w:rPr>
        <w:t>中人职业年金补助</w:t>
      </w:r>
      <w:r>
        <w:rPr>
          <w:rFonts w:hint="eastAsia" w:ascii="仿宋_GB2312" w:hAnsi="仿宋" w:eastAsia="仿宋_GB2312" w:cs="宋体"/>
          <w:sz w:val="32"/>
          <w:szCs w:val="32"/>
        </w:rPr>
        <w:t>项目支出绩效自评表</w:t>
      </w:r>
    </w:p>
    <w:p>
      <w:pPr>
        <w:keepNext w:val="0"/>
        <w:keepLines w:val="0"/>
        <w:pageBreakBefore w:val="0"/>
        <w:widowControl w:val="0"/>
        <w:kinsoku/>
        <w:wordWrap/>
        <w:overflowPunct/>
        <w:topLinePunct w:val="0"/>
        <w:autoSpaceDE/>
        <w:autoSpaceDN/>
        <w:bidi w:val="0"/>
        <w:spacing w:line="560" w:lineRule="exact"/>
        <w:ind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3</w:t>
      </w:r>
      <w:r>
        <w:rPr>
          <w:rFonts w:hint="eastAsia" w:ascii="仿宋_GB2312" w:hAnsi="仿宋" w:eastAsia="仿宋_GB2312" w:cs="宋体"/>
          <w:sz w:val="32"/>
          <w:szCs w:val="32"/>
        </w:rPr>
        <w:t>：喀什地区</w:t>
      </w:r>
      <w:r>
        <w:rPr>
          <w:rFonts w:hint="eastAsia" w:ascii="仿宋_GB2312" w:hAnsi="仿宋" w:eastAsia="仿宋_GB2312" w:cs="宋体"/>
          <w:sz w:val="32"/>
          <w:szCs w:val="32"/>
          <w:lang w:val="en-US" w:eastAsia="zh-CN"/>
        </w:rPr>
        <w:t>劳动就业保险管理局</w:t>
      </w:r>
      <w:r>
        <w:rPr>
          <w:rFonts w:hint="eastAsia" w:ascii="仿宋_GB2312" w:hAnsi="仿宋" w:eastAsia="仿宋_GB2312" w:cs="宋体"/>
          <w:sz w:val="32"/>
          <w:szCs w:val="32"/>
        </w:rPr>
        <w:t>单位</w:t>
      </w:r>
      <w:r>
        <w:rPr>
          <w:rFonts w:hint="eastAsia" w:ascii="仿宋_GB2312" w:hAnsi="仿宋" w:eastAsia="仿宋_GB2312" w:cs="宋体"/>
          <w:sz w:val="32"/>
          <w:szCs w:val="32"/>
          <w:lang w:val="en-US" w:eastAsia="zh-CN"/>
        </w:rPr>
        <w:t>中人职业年金补助</w:t>
      </w:r>
      <w:r>
        <w:rPr>
          <w:rFonts w:hint="eastAsia" w:ascii="仿宋_GB2312" w:hAnsi="仿宋" w:eastAsia="仿宋_GB2312" w:cs="宋体"/>
          <w:sz w:val="32"/>
          <w:szCs w:val="32"/>
        </w:rPr>
        <w:t>项目支出绩效评价指标体系</w:t>
      </w:r>
    </w:p>
    <w:p>
      <w:pPr>
        <w:keepNext w:val="0"/>
        <w:keepLines w:val="0"/>
        <w:pageBreakBefore w:val="0"/>
        <w:widowControl w:val="0"/>
        <w:kinsoku/>
        <w:wordWrap/>
        <w:overflowPunct/>
        <w:topLinePunct w:val="0"/>
        <w:autoSpaceDE/>
        <w:autoSpaceDN/>
        <w:bidi w:val="0"/>
        <w:spacing w:line="560" w:lineRule="exact"/>
        <w:ind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附件4：喀什地区部门支出绩效评价评分表</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黑体">
    <w:panose1 w:val="02010600030101010101"/>
    <w:charset w:val="86"/>
    <w:family w:val="auto"/>
    <w:pitch w:val="default"/>
    <w:sig w:usb0="00000001" w:usb1="080E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 w:name="?? Light">
    <w:altName w:val="Times New Roman"/>
    <w:panose1 w:val="00000000000000000000"/>
    <w:charset w:val="00"/>
    <w:family w:val="auto"/>
    <w:pitch w:val="default"/>
    <w:sig w:usb0="00000000" w:usb1="00000000" w:usb2="00000000" w:usb3="00000000" w:csb0="00000001" w:csb1="00000000"/>
  </w:font>
  <w:font w:name="仿宋_GB2312">
    <w:panose1 w:val="02010609030101010101"/>
    <w:charset w:val="86"/>
    <w:family w:val="auto"/>
    <w:pitch w:val="default"/>
    <w:sig w:usb0="00000001" w:usb1="080E0000" w:usb2="00000000" w:usb3="00000000" w:csb0="00040000" w:csb1="00000000"/>
  </w:font>
  <w:font w:name="MingLiUfalt">
    <w:altName w:val="MingLiU"/>
    <w:panose1 w:val="00000000000000000000"/>
    <w:charset w:val="88"/>
    <w:family w:val="auto"/>
    <w:pitch w:val="default"/>
    <w:sig w:usb0="00000000" w:usb1="00000000" w:usb2="00000010" w:usb3="00000000" w:csb0="00100000" w:csb1="00000000"/>
  </w:font>
  <w:font w:name="方正小标宋简体">
    <w:altName w:val="黑体"/>
    <w:panose1 w:val="00000000000000000000"/>
    <w:charset w:val="86"/>
    <w:family w:val="auto"/>
    <w:pitch w:val="default"/>
    <w:sig w:usb0="00000000" w:usb1="00000000" w:usb2="00000010" w:usb3="00000000" w:csb0="00040000" w:csb1="00000000"/>
  </w:font>
  <w:font w:name="仿宋">
    <w:altName w:val="仿宋_GB2312"/>
    <w:panose1 w:val="02010609060101010101"/>
    <w:charset w:val="86"/>
    <w:family w:val="auto"/>
    <w:pitch w:val="default"/>
    <w:sig w:usb0="00000000" w:usb1="00000000" w:usb2="00000016" w:usb3="00000000" w:csb0="00040001" w:csb1="00000000"/>
  </w:font>
  <w:font w:name="方正楷体简体">
    <w:altName w:val="宋体"/>
    <w:panose1 w:val="00000000000000000000"/>
    <w:charset w:val="86"/>
    <w:family w:val="auto"/>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MingLiU">
    <w:panose1 w:val="02020309000000000000"/>
    <w:charset w:val="00"/>
    <w:family w:val="auto"/>
    <w:pitch w:val="default"/>
    <w:sig w:usb0="00000003" w:usb1="082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260C0"/>
    <w:multiLevelType w:val="multilevel"/>
    <w:tmpl w:val="3A7260C0"/>
    <w:lvl w:ilvl="0" w:tentative="0">
      <w:start w:val="1"/>
      <w:numFmt w:val="chineseCountingThousand"/>
      <w:pStyle w:val="20"/>
      <w:lvlText w:val="(%1)"/>
      <w:lvlJc w:val="left"/>
      <w:pPr>
        <w:ind w:left="988"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4F37299F"/>
    <w:multiLevelType w:val="multilevel"/>
    <w:tmpl w:val="4F37299F"/>
    <w:lvl w:ilvl="0" w:tentative="0">
      <w:start w:val="1"/>
      <w:numFmt w:val="chineseCountingThousand"/>
      <w:lvlText w:val="(%1)"/>
      <w:lvlJc w:val="left"/>
      <w:pPr>
        <w:ind w:left="420" w:hanging="420"/>
      </w:pPr>
      <w:rPr>
        <w:rFonts w:hint="eastAsia" w:cs="Times New Roman"/>
      </w:rPr>
    </w:lvl>
    <w:lvl w:ilvl="1" w:tentative="0">
      <w:start w:val="1"/>
      <w:numFmt w:val="japaneseCounting"/>
      <w:lvlText w:val="（%2）"/>
      <w:lvlJc w:val="left"/>
      <w:pPr>
        <w:ind w:left="1500" w:hanging="1080"/>
      </w:pPr>
      <w:rPr>
        <w:rFonts w:hint="default"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
    <w:nsid w:val="54451D54"/>
    <w:multiLevelType w:val="multilevel"/>
    <w:tmpl w:val="54451D54"/>
    <w:lvl w:ilvl="0" w:tentative="0">
      <w:start w:val="1"/>
      <w:numFmt w:val="decimal"/>
      <w:lvlText w:val="%1．"/>
      <w:lvlJc w:val="left"/>
      <w:pPr>
        <w:ind w:left="1065" w:hanging="420"/>
      </w:pPr>
      <w:rPr>
        <w:rFonts w:hint="eastAsia" w:cs="Times New Roman"/>
      </w:rPr>
    </w:lvl>
    <w:lvl w:ilvl="1" w:tentative="0">
      <w:start w:val="1"/>
      <w:numFmt w:val="lowerLetter"/>
      <w:lvlText w:val="%2)"/>
      <w:lvlJc w:val="left"/>
      <w:pPr>
        <w:ind w:left="1485" w:hanging="420"/>
      </w:pPr>
      <w:rPr>
        <w:rFonts w:cs="Times New Roman"/>
      </w:rPr>
    </w:lvl>
    <w:lvl w:ilvl="2" w:tentative="0">
      <w:start w:val="1"/>
      <w:numFmt w:val="lowerRoman"/>
      <w:lvlText w:val="%3."/>
      <w:lvlJc w:val="right"/>
      <w:pPr>
        <w:ind w:left="1905" w:hanging="420"/>
      </w:pPr>
      <w:rPr>
        <w:rFonts w:cs="Times New Roman"/>
      </w:rPr>
    </w:lvl>
    <w:lvl w:ilvl="3" w:tentative="0">
      <w:start w:val="1"/>
      <w:numFmt w:val="decimal"/>
      <w:lvlText w:val="%4."/>
      <w:lvlJc w:val="left"/>
      <w:pPr>
        <w:ind w:left="2325" w:hanging="420"/>
      </w:pPr>
      <w:rPr>
        <w:rFonts w:cs="Times New Roman"/>
      </w:rPr>
    </w:lvl>
    <w:lvl w:ilvl="4" w:tentative="0">
      <w:start w:val="1"/>
      <w:numFmt w:val="lowerLetter"/>
      <w:lvlText w:val="%5)"/>
      <w:lvlJc w:val="left"/>
      <w:pPr>
        <w:ind w:left="2745" w:hanging="420"/>
      </w:pPr>
      <w:rPr>
        <w:rFonts w:cs="Times New Roman"/>
      </w:rPr>
    </w:lvl>
    <w:lvl w:ilvl="5" w:tentative="0">
      <w:start w:val="1"/>
      <w:numFmt w:val="lowerRoman"/>
      <w:lvlText w:val="%6."/>
      <w:lvlJc w:val="right"/>
      <w:pPr>
        <w:ind w:left="3165" w:hanging="420"/>
      </w:pPr>
      <w:rPr>
        <w:rFonts w:cs="Times New Roman"/>
      </w:rPr>
    </w:lvl>
    <w:lvl w:ilvl="6" w:tentative="0">
      <w:start w:val="1"/>
      <w:numFmt w:val="decimal"/>
      <w:lvlText w:val="%7."/>
      <w:lvlJc w:val="left"/>
      <w:pPr>
        <w:ind w:left="3585" w:hanging="420"/>
      </w:pPr>
      <w:rPr>
        <w:rFonts w:cs="Times New Roman"/>
      </w:rPr>
    </w:lvl>
    <w:lvl w:ilvl="7" w:tentative="0">
      <w:start w:val="1"/>
      <w:numFmt w:val="lowerLetter"/>
      <w:lvlText w:val="%8)"/>
      <w:lvlJc w:val="left"/>
      <w:pPr>
        <w:ind w:left="4005" w:hanging="420"/>
      </w:pPr>
      <w:rPr>
        <w:rFonts w:cs="Times New Roman"/>
      </w:rPr>
    </w:lvl>
    <w:lvl w:ilvl="8" w:tentative="0">
      <w:start w:val="1"/>
      <w:numFmt w:val="lowerRoman"/>
      <w:lvlText w:val="%9."/>
      <w:lvlJc w:val="right"/>
      <w:pPr>
        <w:ind w:left="4425" w:hanging="420"/>
      </w:pPr>
      <w:rPr>
        <w:rFonts w:cs="Times New Roman"/>
      </w:rPr>
    </w:lvl>
  </w:abstractNum>
  <w:abstractNum w:abstractNumId="3">
    <w:nsid w:val="5B493FDA"/>
    <w:multiLevelType w:val="multilevel"/>
    <w:tmpl w:val="5B493FDA"/>
    <w:lvl w:ilvl="0" w:tentative="0">
      <w:start w:val="1"/>
      <w:numFmt w:val="chineseCountingThousand"/>
      <w:lvlText w:val="(%1)"/>
      <w:lvlJc w:val="left"/>
      <w:pPr>
        <w:ind w:left="1060" w:hanging="420"/>
      </w:pPr>
      <w:rPr>
        <w:rFonts w:hint="eastAsia"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4">
    <w:nsid w:val="6757463D"/>
    <w:multiLevelType w:val="multilevel"/>
    <w:tmpl w:val="6757463D"/>
    <w:lvl w:ilvl="0" w:tentative="0">
      <w:start w:val="1"/>
      <w:numFmt w:val="chineseCountingThousand"/>
      <w:lvlText w:val="%1、"/>
      <w:lvlJc w:val="left"/>
      <w:pPr>
        <w:ind w:left="1063" w:hanging="420"/>
      </w:pPr>
      <w:rPr>
        <w:rFonts w:hint="eastAsia" w:cs="Times New Roman"/>
      </w:rPr>
    </w:lvl>
    <w:lvl w:ilvl="1" w:tentative="0">
      <w:start w:val="1"/>
      <w:numFmt w:val="lowerLetter"/>
      <w:lvlText w:val="%2)"/>
      <w:lvlJc w:val="left"/>
      <w:pPr>
        <w:ind w:left="1483" w:hanging="420"/>
      </w:pPr>
      <w:rPr>
        <w:rFonts w:cs="Times New Roman"/>
      </w:rPr>
    </w:lvl>
    <w:lvl w:ilvl="2" w:tentative="0">
      <w:start w:val="1"/>
      <w:numFmt w:val="lowerRoman"/>
      <w:lvlText w:val="%3."/>
      <w:lvlJc w:val="right"/>
      <w:pPr>
        <w:ind w:left="1903" w:hanging="420"/>
      </w:pPr>
      <w:rPr>
        <w:rFonts w:cs="Times New Roman"/>
      </w:rPr>
    </w:lvl>
    <w:lvl w:ilvl="3" w:tentative="0">
      <w:start w:val="1"/>
      <w:numFmt w:val="decimal"/>
      <w:lvlText w:val="%4."/>
      <w:lvlJc w:val="left"/>
      <w:pPr>
        <w:ind w:left="2323" w:hanging="420"/>
      </w:pPr>
      <w:rPr>
        <w:rFonts w:cs="Times New Roman"/>
      </w:rPr>
    </w:lvl>
    <w:lvl w:ilvl="4" w:tentative="0">
      <w:start w:val="1"/>
      <w:numFmt w:val="lowerLetter"/>
      <w:lvlText w:val="%5)"/>
      <w:lvlJc w:val="left"/>
      <w:pPr>
        <w:ind w:left="2743" w:hanging="420"/>
      </w:pPr>
      <w:rPr>
        <w:rFonts w:cs="Times New Roman"/>
      </w:rPr>
    </w:lvl>
    <w:lvl w:ilvl="5" w:tentative="0">
      <w:start w:val="1"/>
      <w:numFmt w:val="lowerRoman"/>
      <w:lvlText w:val="%6."/>
      <w:lvlJc w:val="right"/>
      <w:pPr>
        <w:ind w:left="3163" w:hanging="420"/>
      </w:pPr>
      <w:rPr>
        <w:rFonts w:cs="Times New Roman"/>
      </w:rPr>
    </w:lvl>
    <w:lvl w:ilvl="6" w:tentative="0">
      <w:start w:val="1"/>
      <w:numFmt w:val="decimal"/>
      <w:lvlText w:val="%7."/>
      <w:lvlJc w:val="left"/>
      <w:pPr>
        <w:ind w:left="3583" w:hanging="420"/>
      </w:pPr>
      <w:rPr>
        <w:rFonts w:cs="Times New Roman"/>
      </w:rPr>
    </w:lvl>
    <w:lvl w:ilvl="7" w:tentative="0">
      <w:start w:val="1"/>
      <w:numFmt w:val="lowerLetter"/>
      <w:lvlText w:val="%8)"/>
      <w:lvlJc w:val="left"/>
      <w:pPr>
        <w:ind w:left="4003" w:hanging="420"/>
      </w:pPr>
      <w:rPr>
        <w:rFonts w:cs="Times New Roman"/>
      </w:rPr>
    </w:lvl>
    <w:lvl w:ilvl="8" w:tentative="0">
      <w:start w:val="1"/>
      <w:numFmt w:val="lowerRoman"/>
      <w:lvlText w:val="%9."/>
      <w:lvlJc w:val="right"/>
      <w:pPr>
        <w:ind w:left="4423" w:hanging="420"/>
      </w:pPr>
      <w:rPr>
        <w:rFonts w:cs="Times New Roman"/>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0"/>
  <w:drawingGridHorizontalSpacing w:val="0"/>
  <w:drawingGridVerticalSpacing w:val="158"/>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8365BC7"/>
    <w:rsid w:val="1443547B"/>
    <w:rsid w:val="27860C60"/>
    <w:rsid w:val="3ABB285C"/>
    <w:rsid w:val="3B786AAF"/>
    <w:rsid w:val="4C823D1A"/>
    <w:rsid w:val="667A5135"/>
    <w:rsid w:val="6D8C15ED"/>
    <w:rsid w:val="6DBC3B5A"/>
    <w:rsid w:val="778D026E"/>
    <w:rsid w:val="79B82EBB"/>
    <w:rsid w:val="7E260130"/>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0" w:name="index 1" w:locked="1"/>
    <w:lsdException w:uiPriority="0" w:name="index 2" w:locked="1"/>
    <w:lsdException w:uiPriority="0" w:name="index 3" w:locked="1"/>
    <w:lsdException w:uiPriority="0" w:name="index 4" w:locked="1"/>
    <w:lsdException w:uiPriority="0" w:name="index 5" w:locked="1"/>
    <w:lsdException w:uiPriority="0" w:name="index 6" w:locked="1"/>
    <w:lsdException w:uiPriority="0" w:name="index 7" w:locked="1"/>
    <w:lsdException w:uiPriority="0" w:name="index 8" w:locked="1"/>
    <w:lsdException w:uiPriority="0" w:name="index 9" w:locked="1"/>
    <w:lsdException w:qFormat="1" w:unhideWhenUsed="0" w:uiPriority="99" w:semiHidden="0" w:name="toc 1"/>
    <w:lsdException w:qFormat="1" w:unhideWhenUsed="0" w:uiPriority="99" w:semiHidden="0" w:name="toc 2"/>
    <w:lsdException w:qFormat="1" w:unhideWhenUsed="0" w:uiPriority="99"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0" w:name="Normal Indent" w:locked="1"/>
    <w:lsdException w:uiPriority="0"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0" w:name="index heading" w:locked="1"/>
    <w:lsdException w:qFormat="1" w:uiPriority="35" w:name="caption" w:locked="1"/>
    <w:lsdException w:uiPriority="0" w:name="table of figures" w:locked="1"/>
    <w:lsdException w:uiPriority="0" w:name="envelope address" w:locked="1"/>
    <w:lsdException w:uiPriority="0" w:name="envelope return" w:locked="1"/>
    <w:lsdException w:uiPriority="0" w:name="footnote reference" w:locked="1"/>
    <w:lsdException w:qFormat="1" w:unhideWhenUsed="0" w:uiPriority="99" w:name="annotation reference"/>
    <w:lsdException w:uiPriority="0" w:name="line number" w:locked="1"/>
    <w:lsdException w:uiPriority="0" w:name="page number" w:locked="1"/>
    <w:lsdException w:uiPriority="0" w:name="endnote reference" w:locked="1"/>
    <w:lsdException w:uiPriority="0" w:name="endnote text" w:locked="1"/>
    <w:lsdException w:uiPriority="0" w:name="table of authorities" w:locked="1"/>
    <w:lsdException w:uiPriority="0" w:name="macro" w:locked="1"/>
    <w:lsdException w:uiPriority="0" w:name="toa heading" w:locked="1"/>
    <w:lsdException w:uiPriority="0" w:name="List" w:locked="1"/>
    <w:lsdException w:uiPriority="0" w:name="List Bullet" w:locked="1"/>
    <w:lsdException w:uiPriority="0" w:name="List Number" w:locked="1"/>
    <w:lsdException w:uiPriority="0" w:name="List 2" w:locked="1"/>
    <w:lsdException w:uiPriority="0" w:name="List 3" w:locked="1"/>
    <w:lsdException w:uiPriority="0" w:name="List 4" w:locked="1"/>
    <w:lsdException w:uiPriority="0" w:name="List 5" w:locked="1"/>
    <w:lsdException w:uiPriority="0" w:name="List Bullet 2" w:locked="1"/>
    <w:lsdException w:uiPriority="0" w:name="List Bullet 3" w:locked="1"/>
    <w:lsdException w:uiPriority="0" w:name="List Bullet 4" w:locked="1"/>
    <w:lsdException w:uiPriority="0" w:name="List Bullet 5" w:locked="1"/>
    <w:lsdException w:uiPriority="0" w:name="List Number 2" w:locked="1"/>
    <w:lsdException w:uiPriority="0" w:name="List Number 3" w:locked="1"/>
    <w:lsdException w:uiPriority="0" w:name="List Number 4" w:locked="1"/>
    <w:lsdException w:uiPriority="0" w:name="List Number 5" w:locked="1"/>
    <w:lsdException w:qFormat="1" w:unhideWhenUsed="0" w:uiPriority="10" w:semiHidden="0" w:name="Title" w:locked="1"/>
    <w:lsdException w:uiPriority="0" w:name="Closing" w:locked="1"/>
    <w:lsdException w:uiPriority="0" w:name="Signature" w:locked="1"/>
    <w:lsdException w:qFormat="1" w:unhideWhenUsed="0" w:uiPriority="99" w:name="Default Paragraph Font"/>
    <w:lsdException w:uiPriority="0" w:name="Body Text" w:locked="1"/>
    <w:lsdException w:uiPriority="0" w:name="Body Text Indent" w:locked="1"/>
    <w:lsdException w:uiPriority="0" w:name="List Continue" w:locked="1"/>
    <w:lsdException w:uiPriority="0" w:name="List Continue 2" w:locked="1"/>
    <w:lsdException w:uiPriority="0" w:name="List Continue 3" w:locked="1"/>
    <w:lsdException w:uiPriority="0" w:name="List Continue 4" w:locked="1"/>
    <w:lsdException w:uiPriority="0" w:name="List Continue 5" w:locked="1"/>
    <w:lsdException w:uiPriority="0" w:name="Message Header" w:locked="1"/>
    <w:lsdException w:qFormat="1" w:unhideWhenUsed="0" w:uiPriority="11" w:semiHidden="0" w:name="Subtitle" w:locked="1"/>
    <w:lsdException w:uiPriority="0" w:name="Salutation" w:locked="1"/>
    <w:lsdException w:uiPriority="0" w:name="Date" w:locked="1"/>
    <w:lsdException w:uiPriority="0" w:name="Body Text First Indent" w:locked="1"/>
    <w:lsdException w:uiPriority="0" w:name="Body Text First Indent 2" w:locked="1"/>
    <w:lsdException w:uiPriority="0" w:name="Note Heading" w:locked="1"/>
    <w:lsdException w:uiPriority="0" w:name="Body Text 2" w:locked="1"/>
    <w:lsdException w:uiPriority="0" w:name="Body Text 3" w:locked="1"/>
    <w:lsdException w:uiPriority="0" w:name="Body Text Indent 2" w:locked="1"/>
    <w:lsdException w:uiPriority="0" w:name="Body Text Indent 3" w:locked="1"/>
    <w:lsdException w:uiPriority="0" w:name="Block Text" w:locked="1"/>
    <w:lsdException w:qFormat="1" w:unhideWhenUsed="0" w:uiPriority="99" w:semiHidden="0" w:name="Hyperlink"/>
    <w:lsdException w:uiPriority="0" w:name="FollowedHyperlink" w:locked="1"/>
    <w:lsdException w:qFormat="1" w:unhideWhenUsed="0" w:uiPriority="22" w:semiHidden="0" w:name="Strong" w:locked="1"/>
    <w:lsdException w:qFormat="1" w:unhideWhenUsed="0" w:uiPriority="20" w:semiHidden="0" w:name="Emphasis" w:locked="1"/>
    <w:lsdException w:uiPriority="0" w:name="Document Map" w:locked="1"/>
    <w:lsdException w:uiPriority="0" w:name="Plain Text" w:locked="1"/>
    <w:lsdException w:uiPriority="0" w:name="E-mail Signature" w:locked="1"/>
    <w:lsdException w:qFormat="1" w:unhideWhenUsed="0" w:uiPriority="99" w:semiHidden="0" w:name="Normal (Web)"/>
    <w:lsdException w:uiPriority="0" w:name="HTML Acronym" w:locked="1"/>
    <w:lsdException w:uiPriority="0" w:name="HTML Address" w:locked="1"/>
    <w:lsdException w:uiPriority="0" w:name="HTML Cite" w:locked="1"/>
    <w:lsdException w:uiPriority="0" w:name="HTML Code" w:locked="1"/>
    <w:lsdException w:uiPriority="0" w:name="HTML Definition" w:locked="1"/>
    <w:lsdException w:uiPriority="0" w:name="HTML Keyboard" w:locked="1"/>
    <w:lsdException w:uiPriority="0" w:name="HTML Preformatted" w:locked="1"/>
    <w:lsdException w:uiPriority="0" w:name="HTML Sample" w:locked="1"/>
    <w:lsdException w:uiPriority="0" w:name="HTML Typewriter" w:locked="1"/>
    <w:lsdException w:uiPriority="0" w:name="HTML Variable" w:locked="1"/>
    <w:lsdException w:qFormat="1" w:uiPriority="99" w:name="Normal Table"/>
    <w:lsdException w:uiPriority="0" w:name="annotation subject" w:locked="1"/>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 w:hAnsi="??" w:eastAsia="宋体" w:cs="Times New Roman"/>
      <w:kern w:val="2"/>
      <w:sz w:val="21"/>
      <w:szCs w:val="21"/>
      <w:lang w:val="en-US" w:eastAsia="zh-CN" w:bidi="ar-SA"/>
    </w:rPr>
  </w:style>
  <w:style w:type="paragraph" w:styleId="2">
    <w:name w:val="heading 1"/>
    <w:basedOn w:val="1"/>
    <w:next w:val="1"/>
    <w:link w:val="27"/>
    <w:qFormat/>
    <w:uiPriority w:val="9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8"/>
    <w:qFormat/>
    <w:uiPriority w:val="99"/>
    <w:pPr>
      <w:keepNext/>
      <w:keepLines/>
      <w:spacing w:before="260" w:after="260" w:line="416" w:lineRule="auto"/>
      <w:outlineLvl w:val="1"/>
    </w:pPr>
    <w:rPr>
      <w:rFonts w:ascii="?? Light" w:hAnsi="?? Light"/>
      <w:b/>
      <w:bCs/>
      <w:sz w:val="32"/>
      <w:szCs w:val="32"/>
    </w:rPr>
  </w:style>
  <w:style w:type="paragraph" w:styleId="4">
    <w:name w:val="heading 3"/>
    <w:basedOn w:val="1"/>
    <w:next w:val="1"/>
    <w:link w:val="29"/>
    <w:qFormat/>
    <w:uiPriority w:val="99"/>
    <w:pPr>
      <w:keepNext/>
      <w:keepLines/>
      <w:spacing w:before="260" w:after="260" w:line="416" w:lineRule="auto"/>
      <w:outlineLvl w:val="2"/>
    </w:pPr>
    <w:rPr>
      <w:b/>
      <w:bCs/>
      <w:sz w:val="32"/>
      <w:szCs w:val="32"/>
    </w:rPr>
  </w:style>
  <w:style w:type="character" w:default="1" w:styleId="13">
    <w:name w:val="Default Paragraph Font"/>
    <w:semiHidden/>
    <w:qFormat/>
    <w:uiPriority w:val="99"/>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5">
    <w:name w:val="annotation text"/>
    <w:basedOn w:val="1"/>
    <w:link w:val="30"/>
    <w:semiHidden/>
    <w:qFormat/>
    <w:uiPriority w:val="99"/>
    <w:pPr>
      <w:jc w:val="left"/>
    </w:pPr>
  </w:style>
  <w:style w:type="paragraph" w:styleId="6">
    <w:name w:val="toc 3"/>
    <w:basedOn w:val="1"/>
    <w:next w:val="1"/>
    <w:semiHidden/>
    <w:qFormat/>
    <w:uiPriority w:val="99"/>
    <w:rPr>
      <w:rFonts w:eastAsia="仿宋_GB2312"/>
      <w:sz w:val="28"/>
    </w:rPr>
  </w:style>
  <w:style w:type="paragraph" w:styleId="7">
    <w:name w:val="Balloon Text"/>
    <w:basedOn w:val="1"/>
    <w:link w:val="31"/>
    <w:semiHidden/>
    <w:qFormat/>
    <w:uiPriority w:val="99"/>
    <w:rPr>
      <w:sz w:val="18"/>
      <w:szCs w:val="18"/>
    </w:rPr>
  </w:style>
  <w:style w:type="paragraph" w:styleId="8">
    <w:name w:val="footer"/>
    <w:basedOn w:val="1"/>
    <w:link w:val="32"/>
    <w:qFormat/>
    <w:uiPriority w:val="99"/>
    <w:pPr>
      <w:tabs>
        <w:tab w:val="center" w:pos="4153"/>
        <w:tab w:val="right" w:pos="8306"/>
      </w:tabs>
      <w:snapToGrid w:val="0"/>
      <w:jc w:val="left"/>
    </w:pPr>
    <w:rPr>
      <w:sz w:val="18"/>
      <w:szCs w:val="18"/>
    </w:rPr>
  </w:style>
  <w:style w:type="paragraph" w:styleId="9">
    <w:name w:val="header"/>
    <w:basedOn w:val="1"/>
    <w:link w:val="33"/>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99"/>
    <w:rPr>
      <w:rFonts w:eastAsia="仿宋_GB2312"/>
      <w:sz w:val="28"/>
    </w:rPr>
  </w:style>
  <w:style w:type="paragraph" w:styleId="11">
    <w:name w:val="toc 2"/>
    <w:basedOn w:val="1"/>
    <w:next w:val="1"/>
    <w:qFormat/>
    <w:uiPriority w:val="99"/>
    <w:rPr>
      <w:rFonts w:eastAsia="仿宋_GB2312"/>
      <w:sz w:val="28"/>
    </w:rPr>
  </w:style>
  <w:style w:type="paragraph" w:styleId="12">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14">
    <w:name w:val="Strong"/>
    <w:basedOn w:val="13"/>
    <w:qFormat/>
    <w:locked/>
    <w:uiPriority w:val="22"/>
    <w:rPr>
      <w:b/>
    </w:rPr>
  </w:style>
  <w:style w:type="character" w:styleId="15">
    <w:name w:val="Hyperlink"/>
    <w:basedOn w:val="13"/>
    <w:qFormat/>
    <w:uiPriority w:val="99"/>
    <w:rPr>
      <w:rFonts w:cs="Times New Roman"/>
      <w:color w:val="0563C1"/>
      <w:u w:val="single"/>
    </w:rPr>
  </w:style>
  <w:style w:type="character" w:styleId="16">
    <w:name w:val="annotation reference"/>
    <w:basedOn w:val="13"/>
    <w:semiHidden/>
    <w:qFormat/>
    <w:uiPriority w:val="99"/>
    <w:rPr>
      <w:rFonts w:cs="Times New Roman"/>
      <w:sz w:val="21"/>
      <w:szCs w:val="21"/>
    </w:rPr>
  </w:style>
  <w:style w:type="paragraph" w:customStyle="1" w:styleId="18">
    <w:name w:val="List Paragraph"/>
    <w:basedOn w:val="1"/>
    <w:qFormat/>
    <w:uiPriority w:val="99"/>
    <w:pPr>
      <w:ind w:firstLine="420" w:firstLineChars="200"/>
    </w:pPr>
  </w:style>
  <w:style w:type="paragraph" w:customStyle="1" w:styleId="19">
    <w:name w:val="标题1"/>
    <w:basedOn w:val="2"/>
    <w:qFormat/>
    <w:uiPriority w:val="99"/>
    <w:pPr>
      <w:spacing w:before="120" w:after="120" w:line="500" w:lineRule="exact"/>
      <w:ind w:firstLine="200" w:firstLineChars="200"/>
    </w:pPr>
    <w:rPr>
      <w:rFonts w:cs="Times New Roman"/>
      <w:sz w:val="32"/>
      <w:szCs w:val="32"/>
    </w:rPr>
  </w:style>
  <w:style w:type="paragraph" w:customStyle="1" w:styleId="20">
    <w:name w:val="标题2"/>
    <w:basedOn w:val="3"/>
    <w:qFormat/>
    <w:uiPriority w:val="99"/>
    <w:pPr>
      <w:numPr>
        <w:ilvl w:val="0"/>
        <w:numId w:val="1"/>
      </w:numPr>
      <w:spacing w:before="120" w:after="120" w:line="500" w:lineRule="exact"/>
    </w:pPr>
    <w:rPr>
      <w:rFonts w:ascii="仿宋_GB2312" w:eastAsia="仿宋_GB2312"/>
    </w:rPr>
  </w:style>
  <w:style w:type="paragraph" w:customStyle="1" w:styleId="21">
    <w:name w:val="TOC 标题1"/>
    <w:basedOn w:val="2"/>
    <w:next w:val="1"/>
    <w:qFormat/>
    <w:uiPriority w:val="99"/>
    <w:pPr>
      <w:widowControl/>
      <w:spacing w:before="240" w:after="0" w:line="259" w:lineRule="auto"/>
      <w:jc w:val="left"/>
      <w:outlineLvl w:val="9"/>
    </w:pPr>
    <w:rPr>
      <w:rFonts w:ascii="?? Light" w:hAnsi="?? Light" w:eastAsia="宋体" w:cs="Times New Roman"/>
      <w:b w:val="0"/>
      <w:bCs w:val="0"/>
      <w:color w:val="2F5496"/>
      <w:kern w:val="0"/>
      <w:sz w:val="32"/>
      <w:szCs w:val="32"/>
    </w:rPr>
  </w:style>
  <w:style w:type="paragraph" w:customStyle="1" w:styleId="22">
    <w:name w:val="闻政正文"/>
    <w:basedOn w:val="1"/>
    <w:link w:val="34"/>
    <w:qFormat/>
    <w:uiPriority w:val="99"/>
    <w:pPr>
      <w:spacing w:line="500" w:lineRule="exact"/>
      <w:ind w:firstLine="560" w:firstLineChars="200"/>
    </w:pPr>
    <w:rPr>
      <w:rFonts w:ascii="Times New Roman" w:hAnsi="Times New Roman" w:eastAsia="仿宋_GB2312"/>
      <w:kern w:val="0"/>
      <w:sz w:val="28"/>
      <w:szCs w:val="20"/>
    </w:rPr>
  </w:style>
  <w:style w:type="paragraph" w:customStyle="1" w:styleId="23">
    <w:name w:val="闻政表"/>
    <w:basedOn w:val="1"/>
    <w:link w:val="35"/>
    <w:qFormat/>
    <w:uiPriority w:val="99"/>
    <w:pPr>
      <w:spacing w:before="60" w:after="60"/>
      <w:jc w:val="center"/>
    </w:pPr>
    <w:rPr>
      <w:rFonts w:ascii="Times New Roman" w:hAnsi="Times New Roman" w:eastAsia="仿宋_GB2312"/>
      <w:b/>
      <w:kern w:val="0"/>
      <w:sz w:val="28"/>
      <w:szCs w:val="20"/>
    </w:rPr>
  </w:style>
  <w:style w:type="paragraph" w:customStyle="1" w:styleId="24">
    <w:name w:val="Char"/>
    <w:basedOn w:val="1"/>
    <w:qFormat/>
    <w:uiPriority w:val="99"/>
    <w:pPr>
      <w:widowControl/>
      <w:spacing w:after="160" w:line="240" w:lineRule="exact"/>
      <w:jc w:val="left"/>
    </w:pPr>
    <w:rPr>
      <w:rFonts w:ascii="Times New Roman" w:hAnsi="Times New Roman"/>
      <w:szCs w:val="22"/>
    </w:rPr>
  </w:style>
  <w:style w:type="paragraph" w:customStyle="1" w:styleId="25">
    <w:name w:val="闻政标题3"/>
    <w:basedOn w:val="4"/>
    <w:link w:val="36"/>
    <w:qFormat/>
    <w:uiPriority w:val="99"/>
    <w:pPr>
      <w:spacing w:before="120" w:after="60" w:line="500" w:lineRule="exact"/>
      <w:jc w:val="left"/>
      <w:outlineLvl w:val="0"/>
    </w:pPr>
    <w:rPr>
      <w:rFonts w:ascii="黑体" w:hAnsi="黑体" w:eastAsia="黑体"/>
      <w:b w:val="0"/>
      <w:bCs w:val="0"/>
      <w:kern w:val="0"/>
      <w:szCs w:val="20"/>
    </w:rPr>
  </w:style>
  <w:style w:type="paragraph" w:customStyle="1" w:styleId="26">
    <w:name w:val="Body text|1"/>
    <w:basedOn w:val="1"/>
    <w:link w:val="37"/>
    <w:qFormat/>
    <w:uiPriority w:val="99"/>
    <w:pPr>
      <w:spacing w:after="40" w:line="334" w:lineRule="auto"/>
    </w:pPr>
    <w:rPr>
      <w:rFonts w:ascii="MingLiUfalt" w:hAnsi="MingLiUfalt" w:eastAsia="MingLiUfalt" w:cs="MingLiUfalt"/>
      <w:sz w:val="20"/>
      <w:szCs w:val="20"/>
      <w:lang w:val="zh-TW" w:eastAsia="zh-TW"/>
    </w:rPr>
  </w:style>
  <w:style w:type="character" w:customStyle="1" w:styleId="27">
    <w:name w:val="Heading 1 Char"/>
    <w:basedOn w:val="13"/>
    <w:link w:val="2"/>
    <w:qFormat/>
    <w:locked/>
    <w:uiPriority w:val="99"/>
    <w:rPr>
      <w:rFonts w:ascii="Times New Roman" w:hAnsi="Times New Roman" w:eastAsia="黑体" w:cs="Arial"/>
      <w:b/>
      <w:bCs/>
      <w:kern w:val="44"/>
      <w:sz w:val="44"/>
      <w:szCs w:val="44"/>
    </w:rPr>
  </w:style>
  <w:style w:type="character" w:customStyle="1" w:styleId="28">
    <w:name w:val="Heading 2 Char"/>
    <w:basedOn w:val="13"/>
    <w:link w:val="3"/>
    <w:qFormat/>
    <w:locked/>
    <w:uiPriority w:val="99"/>
    <w:rPr>
      <w:rFonts w:ascii="?? Light" w:hAnsi="?? Light" w:cs="Times New Roman"/>
      <w:b/>
      <w:bCs/>
      <w:sz w:val="32"/>
      <w:szCs w:val="32"/>
    </w:rPr>
  </w:style>
  <w:style w:type="character" w:customStyle="1" w:styleId="29">
    <w:name w:val="Heading 3 Char"/>
    <w:basedOn w:val="13"/>
    <w:link w:val="4"/>
    <w:semiHidden/>
    <w:qFormat/>
    <w:locked/>
    <w:uiPriority w:val="99"/>
    <w:rPr>
      <w:rFonts w:cs="Times New Roman"/>
      <w:b/>
      <w:bCs/>
      <w:sz w:val="32"/>
      <w:szCs w:val="32"/>
    </w:rPr>
  </w:style>
  <w:style w:type="character" w:customStyle="1" w:styleId="30">
    <w:name w:val="Comment Text Char"/>
    <w:basedOn w:val="13"/>
    <w:link w:val="5"/>
    <w:semiHidden/>
    <w:qFormat/>
    <w:locked/>
    <w:uiPriority w:val="99"/>
    <w:rPr>
      <w:rFonts w:ascii="??" w:hAnsi="??" w:cs="Times New Roman"/>
      <w:sz w:val="21"/>
      <w:szCs w:val="21"/>
    </w:rPr>
  </w:style>
  <w:style w:type="character" w:customStyle="1" w:styleId="31">
    <w:name w:val="Balloon Text Char"/>
    <w:basedOn w:val="13"/>
    <w:link w:val="7"/>
    <w:semiHidden/>
    <w:qFormat/>
    <w:locked/>
    <w:uiPriority w:val="99"/>
    <w:rPr>
      <w:rFonts w:cs="Times New Roman"/>
      <w:sz w:val="18"/>
      <w:szCs w:val="18"/>
    </w:rPr>
  </w:style>
  <w:style w:type="character" w:customStyle="1" w:styleId="32">
    <w:name w:val="Footer Char"/>
    <w:basedOn w:val="13"/>
    <w:link w:val="8"/>
    <w:qFormat/>
    <w:locked/>
    <w:uiPriority w:val="99"/>
    <w:rPr>
      <w:rFonts w:cs="Times New Roman"/>
      <w:sz w:val="18"/>
      <w:szCs w:val="18"/>
    </w:rPr>
  </w:style>
  <w:style w:type="character" w:customStyle="1" w:styleId="33">
    <w:name w:val="Header Char"/>
    <w:basedOn w:val="13"/>
    <w:link w:val="9"/>
    <w:qFormat/>
    <w:locked/>
    <w:uiPriority w:val="99"/>
    <w:rPr>
      <w:rFonts w:cs="Times New Roman"/>
      <w:sz w:val="18"/>
      <w:szCs w:val="18"/>
    </w:rPr>
  </w:style>
  <w:style w:type="character" w:customStyle="1" w:styleId="34">
    <w:name w:val="闻政正文 Char"/>
    <w:link w:val="22"/>
    <w:qFormat/>
    <w:locked/>
    <w:uiPriority w:val="99"/>
    <w:rPr>
      <w:rFonts w:ascii="Times New Roman" w:hAnsi="Times New Roman" w:eastAsia="仿宋_GB2312"/>
      <w:sz w:val="28"/>
    </w:rPr>
  </w:style>
  <w:style w:type="character" w:customStyle="1" w:styleId="35">
    <w:name w:val="闻政表 Char"/>
    <w:link w:val="23"/>
    <w:qFormat/>
    <w:locked/>
    <w:uiPriority w:val="99"/>
    <w:rPr>
      <w:rFonts w:ascii="Times New Roman" w:hAnsi="Times New Roman" w:eastAsia="仿宋_GB2312"/>
      <w:b/>
      <w:sz w:val="28"/>
    </w:rPr>
  </w:style>
  <w:style w:type="character" w:customStyle="1" w:styleId="36">
    <w:name w:val="闻政标题3 Char"/>
    <w:link w:val="25"/>
    <w:qFormat/>
    <w:locked/>
    <w:uiPriority w:val="99"/>
    <w:rPr>
      <w:rFonts w:ascii="黑体" w:hAnsi="黑体" w:eastAsia="黑体"/>
      <w:sz w:val="32"/>
    </w:rPr>
  </w:style>
  <w:style w:type="character" w:customStyle="1" w:styleId="37">
    <w:name w:val="Body text|1_"/>
    <w:basedOn w:val="13"/>
    <w:link w:val="26"/>
    <w:qFormat/>
    <w:locked/>
    <w:uiPriority w:val="99"/>
    <w:rPr>
      <w:rFonts w:ascii="MingLiUfalt" w:hAnsi="MingLiUfalt" w:eastAsia="MingLiUfalt" w:cs="MingLiUfalt"/>
      <w:sz w:val="20"/>
      <w:szCs w:val="20"/>
      <w:lang w:val="zh-TW" w:eastAsia="zh-TW"/>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19</Pages>
  <Words>1231</Words>
  <Characters>7023</Characters>
  <Lines>0</Lines>
  <Paragraphs>0</Paragraphs>
  <TotalTime>0</TotalTime>
  <ScaleCrop>false</ScaleCrop>
  <LinksUpToDate>false</LinksUpToDate>
  <CharactersWithSpaces>0</CharactersWithSpaces>
  <Application>WPS Office_10.1.0.5740_F1E327BC-269C-435d-A152-05C5408002CA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2020-09-07T11:37:24Z</dcterms:modified>
  <dc:title>新疆普天鹏华商务信息咨询有限公司</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