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bidi w:val="0"/>
        <w:adjustRightInd w:val="0"/>
        <w:snapToGrid w:val="0"/>
        <w:spacing w:line="600" w:lineRule="exact"/>
        <w:ind w:left="0" w:leftChars="0" w:firstLine="880" w:firstLineChars="200"/>
        <w:jc w:val="center"/>
        <w:textAlignment w:val="auto"/>
        <w:rPr>
          <w:rFonts w:ascii="方正小标宋简体" w:eastAsia="方正小标宋简体"/>
          <w:sz w:val="44"/>
          <w:szCs w:val="44"/>
        </w:rPr>
      </w:pPr>
    </w:p>
    <w:p>
      <w:pPr>
        <w:pageBreakBefore w:val="0"/>
        <w:widowControl w:val="0"/>
        <w:kinsoku/>
        <w:wordWrap/>
        <w:overflowPunct/>
        <w:topLinePunct w:val="0"/>
        <w:bidi w:val="0"/>
        <w:adjustRightInd w:val="0"/>
        <w:snapToGrid w:val="0"/>
        <w:spacing w:line="600" w:lineRule="exact"/>
        <w:ind w:left="0" w:leftChars="0" w:firstLine="880" w:firstLineChars="200"/>
        <w:jc w:val="center"/>
        <w:textAlignment w:val="auto"/>
        <w:rPr>
          <w:rFonts w:ascii="方正小标宋简体" w:eastAsia="方正小标宋简体"/>
          <w:sz w:val="44"/>
          <w:szCs w:val="44"/>
        </w:rPr>
      </w:pPr>
    </w:p>
    <w:p>
      <w:pPr>
        <w:pageBreakBefore w:val="0"/>
        <w:widowControl w:val="0"/>
        <w:kinsoku/>
        <w:wordWrap/>
        <w:overflowPunct/>
        <w:topLinePunct w:val="0"/>
        <w:bidi w:val="0"/>
        <w:adjustRightInd w:val="0"/>
        <w:snapToGrid w:val="0"/>
        <w:spacing w:line="600" w:lineRule="exact"/>
        <w:ind w:left="0" w:leftChars="0" w:firstLine="880" w:firstLineChars="200"/>
        <w:jc w:val="center"/>
        <w:textAlignment w:val="auto"/>
        <w:rPr>
          <w:rFonts w:ascii="方正小标宋简体" w:eastAsia="方正小标宋简体"/>
          <w:sz w:val="44"/>
          <w:szCs w:val="44"/>
        </w:rPr>
      </w:pPr>
    </w:p>
    <w:p>
      <w:pPr>
        <w:pageBreakBefore w:val="0"/>
        <w:widowControl w:val="0"/>
        <w:kinsoku/>
        <w:wordWrap/>
        <w:overflowPunct/>
        <w:topLinePunct w:val="0"/>
        <w:bidi w:val="0"/>
        <w:adjustRightInd w:val="0"/>
        <w:snapToGrid w:val="0"/>
        <w:spacing w:line="60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2019年</w:t>
      </w:r>
      <w:r>
        <w:rPr>
          <w:rFonts w:hint="eastAsia" w:ascii="方正小标宋简体" w:eastAsia="方正小标宋简体"/>
          <w:sz w:val="44"/>
          <w:szCs w:val="44"/>
          <w:lang w:eastAsia="zh-CN"/>
        </w:rPr>
        <w:t>叶城县医疗保障局城乡医疗</w:t>
      </w:r>
      <w:r>
        <w:rPr>
          <w:rFonts w:hint="eastAsia" w:ascii="方正小标宋简体" w:eastAsia="方正小标宋简体"/>
          <w:sz w:val="44"/>
          <w:szCs w:val="44"/>
          <w:lang w:val="en-US" w:eastAsia="zh-CN"/>
        </w:rPr>
        <w:t>补</w:t>
      </w:r>
      <w:r>
        <w:rPr>
          <w:rFonts w:hint="eastAsia" w:ascii="方正小标宋简体" w:eastAsia="方正小标宋简体"/>
          <w:sz w:val="44"/>
          <w:szCs w:val="44"/>
          <w:lang w:eastAsia="zh-CN"/>
        </w:rPr>
        <w:t>助</w:t>
      </w:r>
    </w:p>
    <w:p>
      <w:pPr>
        <w:pageBreakBefore w:val="0"/>
        <w:widowControl w:val="0"/>
        <w:kinsoku/>
        <w:wordWrap/>
        <w:overflowPunct/>
        <w:topLinePunct w:val="0"/>
        <w:bidi w:val="0"/>
        <w:adjustRightInd w:val="0"/>
        <w:snapToGrid w:val="0"/>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lang w:eastAsia="zh-CN"/>
        </w:rPr>
        <w:t>资金</w:t>
      </w:r>
      <w:r>
        <w:rPr>
          <w:rFonts w:hint="eastAsia" w:ascii="方正小标宋简体" w:eastAsia="方正小标宋简体"/>
          <w:sz w:val="44"/>
          <w:szCs w:val="44"/>
        </w:rPr>
        <w:t>项目支出绩效评价报告</w:t>
      </w:r>
    </w:p>
    <w:p>
      <w:pPr>
        <w:pageBreakBefore w:val="0"/>
        <w:widowControl w:val="0"/>
        <w:kinsoku/>
        <w:wordWrap/>
        <w:overflowPunct/>
        <w:topLinePunct w:val="0"/>
        <w:bidi w:val="0"/>
        <w:adjustRightInd w:val="0"/>
        <w:snapToGrid w:val="0"/>
        <w:spacing w:line="600" w:lineRule="exact"/>
        <w:ind w:left="0" w:leftChars="0" w:firstLine="1040" w:firstLineChars="200"/>
        <w:jc w:val="left"/>
        <w:textAlignment w:val="auto"/>
        <w:rPr>
          <w:rFonts w:ascii="方正小标宋简体" w:eastAsia="方正小标宋简体"/>
          <w:sz w:val="52"/>
          <w:szCs w:val="52"/>
        </w:rPr>
      </w:pPr>
    </w:p>
    <w:p>
      <w:pPr>
        <w:pageBreakBefore w:val="0"/>
        <w:widowControl w:val="0"/>
        <w:kinsoku/>
        <w:wordWrap/>
        <w:overflowPunct/>
        <w:topLinePunct w:val="0"/>
        <w:bidi w:val="0"/>
        <w:adjustRightInd w:val="0"/>
        <w:snapToGrid w:val="0"/>
        <w:spacing w:line="600" w:lineRule="exact"/>
        <w:ind w:left="0" w:leftChars="0" w:firstLine="1040" w:firstLineChars="200"/>
        <w:jc w:val="left"/>
        <w:textAlignment w:val="auto"/>
        <w:rPr>
          <w:rFonts w:ascii="方正小标宋简体" w:eastAsia="方正小标宋简体"/>
          <w:sz w:val="52"/>
          <w:szCs w:val="52"/>
        </w:rPr>
      </w:pPr>
    </w:p>
    <w:p>
      <w:pPr>
        <w:pageBreakBefore w:val="0"/>
        <w:widowControl w:val="0"/>
        <w:kinsoku/>
        <w:wordWrap/>
        <w:overflowPunct/>
        <w:topLinePunct w:val="0"/>
        <w:bidi w:val="0"/>
        <w:adjustRightInd w:val="0"/>
        <w:snapToGrid w:val="0"/>
        <w:spacing w:line="600" w:lineRule="exact"/>
        <w:ind w:left="0" w:leftChars="0" w:firstLine="1040" w:firstLineChars="200"/>
        <w:jc w:val="left"/>
        <w:textAlignment w:val="auto"/>
        <w:rPr>
          <w:rFonts w:ascii="方正小标宋简体" w:eastAsia="方正小标宋简体"/>
          <w:sz w:val="52"/>
          <w:szCs w:val="52"/>
        </w:rPr>
      </w:pPr>
    </w:p>
    <w:p>
      <w:pPr>
        <w:pageBreakBefore w:val="0"/>
        <w:widowControl w:val="0"/>
        <w:kinsoku/>
        <w:wordWrap/>
        <w:overflowPunct/>
        <w:topLinePunct w:val="0"/>
        <w:bidi w:val="0"/>
        <w:adjustRightInd w:val="0"/>
        <w:snapToGrid w:val="0"/>
        <w:spacing w:line="600" w:lineRule="exact"/>
        <w:ind w:left="0" w:leftChars="0" w:firstLine="1040" w:firstLineChars="200"/>
        <w:jc w:val="left"/>
        <w:textAlignment w:val="auto"/>
        <w:rPr>
          <w:rFonts w:ascii="方正小标宋简体" w:eastAsia="方正小标宋简体"/>
          <w:sz w:val="52"/>
          <w:szCs w:val="52"/>
        </w:rPr>
      </w:pPr>
    </w:p>
    <w:p>
      <w:pPr>
        <w:pageBreakBefore w:val="0"/>
        <w:widowControl w:val="0"/>
        <w:kinsoku/>
        <w:wordWrap/>
        <w:overflowPunct/>
        <w:topLinePunct w:val="0"/>
        <w:autoSpaceDE w:val="0"/>
        <w:autoSpaceDN w:val="0"/>
        <w:bidi w:val="0"/>
        <w:adjustRightInd w:val="0"/>
        <w:snapToGrid w:val="0"/>
        <w:spacing w:line="600" w:lineRule="exact"/>
        <w:ind w:left="0" w:leftChars="0" w:firstLine="712" w:firstLineChars="200"/>
        <w:jc w:val="left"/>
        <w:textAlignment w:val="auto"/>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项目名称：城乡医疗</w:t>
      </w:r>
      <w:r>
        <w:rPr>
          <w:rFonts w:hint="eastAsia" w:ascii="仿宋_GB2312" w:hAnsi="仿宋" w:eastAsia="仿宋_GB2312" w:cs="Times New Roman"/>
          <w:spacing w:val="-2"/>
          <w:sz w:val="36"/>
          <w:szCs w:val="36"/>
          <w:lang w:val="en-US" w:eastAsia="zh-CN"/>
        </w:rPr>
        <w:t>补</w:t>
      </w:r>
      <w:r>
        <w:rPr>
          <w:rFonts w:hint="eastAsia" w:ascii="仿宋_GB2312" w:hAnsi="仿宋" w:eastAsia="仿宋_GB2312" w:cs="Times New Roman"/>
          <w:spacing w:val="-2"/>
          <w:sz w:val="36"/>
          <w:szCs w:val="36"/>
        </w:rPr>
        <w:t>助资金项目</w:t>
      </w:r>
    </w:p>
    <w:p>
      <w:pPr>
        <w:pageBreakBefore w:val="0"/>
        <w:widowControl w:val="0"/>
        <w:kinsoku/>
        <w:wordWrap/>
        <w:overflowPunct/>
        <w:topLinePunct w:val="0"/>
        <w:autoSpaceDE w:val="0"/>
        <w:autoSpaceDN w:val="0"/>
        <w:bidi w:val="0"/>
        <w:adjustRightInd w:val="0"/>
        <w:snapToGrid w:val="0"/>
        <w:spacing w:line="600" w:lineRule="exact"/>
        <w:ind w:left="0" w:leftChars="0" w:firstLine="712" w:firstLineChars="200"/>
        <w:jc w:val="left"/>
        <w:textAlignment w:val="auto"/>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叶城县医疗保障局</w:t>
      </w:r>
    </w:p>
    <w:p>
      <w:pPr>
        <w:pageBreakBefore w:val="0"/>
        <w:widowControl w:val="0"/>
        <w:kinsoku/>
        <w:wordWrap/>
        <w:overflowPunct/>
        <w:topLinePunct w:val="0"/>
        <w:autoSpaceDE w:val="0"/>
        <w:autoSpaceDN w:val="0"/>
        <w:bidi w:val="0"/>
        <w:adjustRightInd w:val="0"/>
        <w:snapToGrid w:val="0"/>
        <w:spacing w:line="600" w:lineRule="exact"/>
        <w:ind w:left="0" w:leftChars="0" w:firstLine="712" w:firstLineChars="200"/>
        <w:jc w:val="left"/>
        <w:textAlignment w:val="auto"/>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叶城县医疗保障局</w:t>
      </w:r>
    </w:p>
    <w:p>
      <w:pPr>
        <w:pageBreakBefore w:val="0"/>
        <w:widowControl w:val="0"/>
        <w:kinsoku/>
        <w:wordWrap/>
        <w:overflowPunct/>
        <w:topLinePunct w:val="0"/>
        <w:autoSpaceDE w:val="0"/>
        <w:autoSpaceDN w:val="0"/>
        <w:bidi w:val="0"/>
        <w:adjustRightInd w:val="0"/>
        <w:snapToGrid w:val="0"/>
        <w:spacing w:line="600" w:lineRule="exact"/>
        <w:ind w:left="0" w:leftChars="0" w:firstLine="712" w:firstLineChars="200"/>
        <w:jc w:val="left"/>
        <w:textAlignment w:val="auto"/>
        <w:rPr>
          <w:rFonts w:ascii="仿宋_GB2312" w:hAnsi="仿宋" w:eastAsia="仿宋_GB2312" w:cs="Times New Roman"/>
          <w:spacing w:val="-2"/>
          <w:sz w:val="36"/>
          <w:szCs w:val="36"/>
        </w:rPr>
      </w:pPr>
    </w:p>
    <w:p>
      <w:pPr>
        <w:pageBreakBefore w:val="0"/>
        <w:widowControl w:val="0"/>
        <w:kinsoku/>
        <w:wordWrap/>
        <w:overflowPunct/>
        <w:topLinePunct w:val="0"/>
        <w:autoSpaceDE w:val="0"/>
        <w:autoSpaceDN w:val="0"/>
        <w:bidi w:val="0"/>
        <w:adjustRightInd w:val="0"/>
        <w:snapToGrid w:val="0"/>
        <w:spacing w:line="600" w:lineRule="exact"/>
        <w:ind w:left="0" w:leftChars="0" w:firstLine="712" w:firstLineChars="200"/>
        <w:jc w:val="left"/>
        <w:textAlignment w:val="auto"/>
        <w:rPr>
          <w:rFonts w:ascii="仿宋_GB2312" w:hAnsi="仿宋" w:eastAsia="仿宋_GB2312" w:cs="Times New Roman"/>
          <w:spacing w:val="-2"/>
          <w:sz w:val="36"/>
          <w:szCs w:val="36"/>
        </w:rPr>
      </w:pPr>
    </w:p>
    <w:p>
      <w:pPr>
        <w:pageBreakBefore w:val="0"/>
        <w:widowControl w:val="0"/>
        <w:kinsoku/>
        <w:wordWrap/>
        <w:overflowPunct/>
        <w:topLinePunct w:val="0"/>
        <w:autoSpaceDE w:val="0"/>
        <w:autoSpaceDN w:val="0"/>
        <w:bidi w:val="0"/>
        <w:adjustRightInd w:val="0"/>
        <w:snapToGrid w:val="0"/>
        <w:spacing w:line="600" w:lineRule="exact"/>
        <w:ind w:left="0" w:leftChars="0" w:firstLine="712" w:firstLineChars="200"/>
        <w:jc w:val="left"/>
        <w:textAlignment w:val="auto"/>
        <w:rPr>
          <w:rFonts w:ascii="仿宋_GB2312" w:hAnsi="仿宋" w:eastAsia="仿宋_GB2312" w:cs="Times New Roman"/>
          <w:spacing w:val="-2"/>
          <w:sz w:val="36"/>
          <w:szCs w:val="36"/>
        </w:rPr>
      </w:pPr>
    </w:p>
    <w:p>
      <w:pPr>
        <w:pageBreakBefore w:val="0"/>
        <w:widowControl w:val="0"/>
        <w:kinsoku/>
        <w:wordWrap/>
        <w:overflowPunct/>
        <w:topLinePunct w:val="0"/>
        <w:autoSpaceDE w:val="0"/>
        <w:autoSpaceDN w:val="0"/>
        <w:bidi w:val="0"/>
        <w:adjustRightInd w:val="0"/>
        <w:snapToGrid w:val="0"/>
        <w:spacing w:line="600" w:lineRule="exact"/>
        <w:ind w:left="0" w:leftChars="0" w:firstLine="1780" w:firstLineChars="500"/>
        <w:jc w:val="left"/>
        <w:textAlignment w:val="auto"/>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ageBreakBefore w:val="0"/>
        <w:widowControl w:val="0"/>
        <w:kinsoku/>
        <w:wordWrap/>
        <w:overflowPunct/>
        <w:topLinePunct w:val="0"/>
        <w:bidi w:val="0"/>
        <w:adjustRightInd w:val="0"/>
        <w:snapToGrid w:val="0"/>
        <w:spacing w:line="600" w:lineRule="exact"/>
        <w:ind w:left="0" w:leftChars="0" w:firstLine="560" w:firstLineChars="200"/>
        <w:jc w:val="left"/>
        <w:textAlignment w:val="auto"/>
        <w:rPr>
          <w:sz w:val="28"/>
          <w:szCs w:val="28"/>
        </w:rPr>
      </w:pPr>
    </w:p>
    <w:p>
      <w:pPr>
        <w:pageBreakBefore w:val="0"/>
        <w:widowControl w:val="0"/>
        <w:kinsoku/>
        <w:wordWrap/>
        <w:overflowPunct/>
        <w:topLinePunct w:val="0"/>
        <w:bidi w:val="0"/>
        <w:adjustRightInd w:val="0"/>
        <w:snapToGrid w:val="0"/>
        <w:spacing w:line="600" w:lineRule="exact"/>
        <w:ind w:left="0" w:leftChars="0" w:firstLine="880" w:firstLineChars="200"/>
        <w:jc w:val="left"/>
        <w:textAlignment w:val="auto"/>
        <w:rPr>
          <w:rFonts w:hint="eastAsia" w:ascii="方正小标宋简体" w:hAnsi="仿宋_GB2312" w:eastAsia="方正小标宋简体" w:cs="仿宋_GB2312"/>
          <w:color w:val="FF0000"/>
          <w:kern w:val="0"/>
          <w:sz w:val="44"/>
          <w:szCs w:val="44"/>
          <w:shd w:val="clear" w:color="auto" w:fill="FFFFFF"/>
          <w:lang w:bidi="ar"/>
        </w:rPr>
      </w:pPr>
    </w:p>
    <w:p>
      <w:pPr>
        <w:pageBreakBefore w:val="0"/>
        <w:widowControl w:val="0"/>
        <w:kinsoku/>
        <w:wordWrap/>
        <w:overflowPunct/>
        <w:topLinePunct w:val="0"/>
        <w:bidi w:val="0"/>
        <w:adjustRightInd w:val="0"/>
        <w:snapToGrid w:val="0"/>
        <w:spacing w:line="600" w:lineRule="exact"/>
        <w:ind w:left="0" w:leftChars="0" w:firstLine="880" w:firstLineChars="200"/>
        <w:jc w:val="center"/>
        <w:textAlignment w:val="auto"/>
        <w:rPr>
          <w:rFonts w:hint="eastAsia" w:ascii="方正小标宋简体" w:hAnsi="仿宋_GB2312" w:eastAsia="方正小标宋简体" w:cs="仿宋_GB2312"/>
          <w:color w:val="FF0000"/>
          <w:kern w:val="0"/>
          <w:sz w:val="44"/>
          <w:szCs w:val="44"/>
          <w:shd w:val="clear" w:color="auto" w:fill="FFFFFF"/>
          <w:lang w:bidi="ar"/>
        </w:rPr>
      </w:pPr>
    </w:p>
    <w:p>
      <w:pPr>
        <w:pageBreakBefore w:val="0"/>
        <w:widowControl w:val="0"/>
        <w:kinsoku/>
        <w:wordWrap/>
        <w:overflowPunct/>
        <w:topLinePunct w:val="0"/>
        <w:bidi w:val="0"/>
        <w:adjustRightInd w:val="0"/>
        <w:snapToGrid w:val="0"/>
        <w:spacing w:line="600" w:lineRule="exact"/>
        <w:ind w:left="0" w:leftChars="0" w:firstLine="880" w:firstLineChars="200"/>
        <w:jc w:val="center"/>
        <w:textAlignment w:val="auto"/>
        <w:rPr>
          <w:rFonts w:hint="eastAsia" w:ascii="方正小标宋简体" w:hAnsi="仿宋_GB2312" w:eastAsia="方正小标宋简体" w:cs="仿宋_GB2312"/>
          <w:color w:val="FF0000"/>
          <w:kern w:val="0"/>
          <w:sz w:val="44"/>
          <w:szCs w:val="44"/>
          <w:shd w:val="clear" w:color="auto" w:fill="FFFFFF"/>
          <w:lang w:bidi="ar"/>
        </w:rPr>
      </w:pPr>
    </w:p>
    <w:p>
      <w:pPr>
        <w:pStyle w:val="23"/>
        <w:pageBreakBefore w:val="0"/>
        <w:widowControl w:val="0"/>
        <w:numPr>
          <w:ilvl w:val="0"/>
          <w:numId w:val="2"/>
        </w:numPr>
        <w:kinsoku/>
        <w:wordWrap/>
        <w:overflowPunct/>
        <w:topLinePunct w:val="0"/>
        <w:bidi w:val="0"/>
        <w:adjustRightInd w:val="0"/>
        <w:snapToGrid w:val="0"/>
        <w:spacing w:before="0" w:after="0" w:line="600" w:lineRule="exact"/>
        <w:ind w:left="0" w:leftChars="0" w:firstLine="643" w:firstLineChars="200"/>
        <w:textAlignment w:val="auto"/>
        <w:rPr>
          <w:lang w:bidi="ar"/>
        </w:rPr>
      </w:pPr>
      <w:r>
        <w:rPr>
          <w:rFonts w:hint="eastAsia"/>
          <w:lang w:bidi="ar"/>
        </w:rPr>
        <w:t>基本情况</w:t>
      </w:r>
    </w:p>
    <w:p>
      <w:pPr>
        <w:pStyle w:val="25"/>
        <w:pageBreakBefore w:val="0"/>
        <w:widowControl w:val="0"/>
        <w:kinsoku/>
        <w:wordWrap/>
        <w:overflowPunct/>
        <w:topLinePunct w:val="0"/>
        <w:bidi w:val="0"/>
        <w:adjustRightInd w:val="0"/>
        <w:snapToGrid w:val="0"/>
        <w:spacing w:before="0" w:after="0" w:line="600" w:lineRule="exact"/>
        <w:ind w:left="0" w:leftChars="0" w:firstLine="643" w:firstLineChars="200"/>
        <w:textAlignment w:val="auto"/>
        <w:rPr>
          <w:rFonts w:hint="eastAsia" w:ascii="楷体" w:hAnsi="楷体" w:eastAsia="楷体" w:cs="楷体"/>
          <w:lang w:bidi="ar"/>
        </w:rPr>
      </w:pPr>
      <w:bookmarkStart w:id="0" w:name="_Toc26401549"/>
      <w:r>
        <w:rPr>
          <w:rFonts w:hint="eastAsia" w:ascii="楷体" w:hAnsi="楷体" w:eastAsia="楷体" w:cs="楷体"/>
          <w:lang w:bidi="ar"/>
        </w:rPr>
        <w:t>项目概况</w:t>
      </w:r>
      <w:bookmarkEnd w:id="0"/>
    </w:p>
    <w:p>
      <w:pPr>
        <w:pStyle w:val="19"/>
        <w:pageBreakBefore w:val="0"/>
        <w:widowControl w:val="0"/>
        <w:numPr>
          <w:ilvl w:val="0"/>
          <w:numId w:val="3"/>
        </w:numPr>
        <w:kinsoku/>
        <w:wordWrap/>
        <w:overflowPunct/>
        <w:topLinePunct w:val="0"/>
        <w:autoSpaceDE/>
        <w:autoSpaceDN/>
        <w:bidi w:val="0"/>
        <w:adjustRightInd w:val="0"/>
        <w:snapToGrid w:val="0"/>
        <w:spacing w:line="60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bookmarkStart w:id="1" w:name="_Hlk24321518"/>
      <w:r>
        <w:rPr>
          <w:rFonts w:hint="eastAsia" w:ascii="仿宋_GB2312" w:hAnsi="仿宋" w:eastAsia="仿宋_GB2312" w:cs="Times New Roman"/>
          <w:sz w:val="32"/>
          <w:szCs w:val="32"/>
          <w:lang w:val="en-US" w:eastAsia="zh-CN"/>
        </w:rPr>
        <w:t>医疗补助是指国家和社会针对那些因为贫困而没有经济能力进行治病的公民实施专门的帮助和支持。它通常是在政府有关部门的主导下，社会广泛参与，通过医疗机构针对贫困人口的患病者实施的恢复其健康、维持其基本生存能力的救治行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医疗补助是保护人权的重要体现。1948年12月10日，联合国大会通过了《世界人权宣言》，其中第二十五条规定：“人人有权享受为维持他本人和家庭的和福利所需的生活水准，包括食物、衣着、住房、医疗和必要的社会服务；在遭受失业、疾病、残废、守寡、衰老或其他不能控制的情况下丧失谋生能力时，有权享受保障。”1978年联合国的《 阿拉木图宣言》指出，每个国家都要实现“人人享有卫生保健”的目标。20世纪80～90年代，联合国多个国际组织的会议频频指出：每个国家都要使国民公平享受基本医疗保健服务，不分性别、年龄、职业、信仰等因素。《中华人民共和国宪法》第四十五条也规定：中华人民共和国公民在年老、疾病或者丧失劳动能力的情况下，有从国家和社会获得物质帮助的权利。国家发展为公民享受这些权利所需要的社会保险、社会救济和医疗卫生事业。可见，医疗补助在保障公民的 生存权、健康公平权领域起着不可替代的作用。</w:t>
      </w:r>
    </w:p>
    <w:p>
      <w:pPr>
        <w:pStyle w:val="19"/>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本项目实施单位为叶城县医疗保障局。主要职责为：组织制定并实施医疗保障基金监督管理办法，建立健全医疗保障基金安全防控机制，推进医疗保障基金支付方式改革；贯彻落实医疗保障筹资和待遇政策，完善动态调整和区域调剂平衡机制，统筹城乡医疗保障待遇标准，建立健全与筹资水平相适应的待遇调整机制，组织拟订并实施长期护理保险制度改革方案。负责医疗保障经办管理、公共服务体系和信息化建设。贯彻落实异地就医管理和费用结算政策。落实医疗保障关系转移接续制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持续实施民政医疗补助工作,符合条件的城乡低保对象自付费用年度限额内住院救助比例达到80%；强化医疗补助规范管理。</w:t>
      </w:r>
    </w:p>
    <w:bookmarkEnd w:id="1"/>
    <w:p>
      <w:pPr>
        <w:pStyle w:val="25"/>
        <w:pageBreakBefore w:val="0"/>
        <w:widowControl w:val="0"/>
        <w:kinsoku/>
        <w:wordWrap/>
        <w:overflowPunct/>
        <w:topLinePunct w:val="0"/>
        <w:autoSpaceDE/>
        <w:autoSpaceDN/>
        <w:bidi w:val="0"/>
        <w:adjustRightInd w:val="0"/>
        <w:snapToGrid w:val="0"/>
        <w:spacing w:before="0" w:after="0" w:line="560" w:lineRule="exact"/>
        <w:ind w:left="0" w:leftChars="0" w:firstLine="643" w:firstLineChars="200"/>
        <w:textAlignment w:val="auto"/>
        <w:rPr>
          <w:rFonts w:hint="eastAsia" w:ascii="楷体" w:hAnsi="楷体" w:eastAsia="楷体" w:cs="楷体"/>
          <w:lang w:bidi="ar"/>
        </w:rPr>
      </w:pPr>
      <w:bookmarkStart w:id="2" w:name="_Toc26401550"/>
      <w:r>
        <w:rPr>
          <w:rFonts w:hint="eastAsia" w:ascii="楷体" w:hAnsi="楷体" w:eastAsia="楷体" w:cs="楷体"/>
          <w:lang w:bidi="ar"/>
        </w:rPr>
        <w:t>资金</w:t>
      </w:r>
      <w:bookmarkEnd w:id="2"/>
      <w:r>
        <w:rPr>
          <w:rFonts w:hint="eastAsia" w:ascii="楷体" w:hAnsi="楷体" w:eastAsia="楷体" w:cs="楷体"/>
          <w:lang w:bidi="ar"/>
        </w:rPr>
        <w:t>投入和使用情况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该项目预算资金总额为12224万元，到位12224万元，实际支付12224万元，预算执行率100%，结余资金0万元</w:t>
      </w:r>
      <w:r>
        <w:rPr>
          <w:rFonts w:hint="eastAsia" w:ascii="仿宋_GB2312" w:hAnsi="仿宋" w:eastAsia="仿宋_GB2312" w:cs="宋体"/>
          <w:sz w:val="32"/>
          <w:szCs w:val="32"/>
          <w:lang w:eastAsia="zh-CN" w:bidi="ar"/>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b w:val="0"/>
          <w:bCs w:val="0"/>
          <w:sz w:val="32"/>
          <w:szCs w:val="32"/>
          <w:lang w:eastAsia="zh-CN" w:bidi="ar"/>
        </w:rPr>
      </w:pPr>
      <w:r>
        <w:rPr>
          <w:rFonts w:hint="eastAsia" w:ascii="仿宋_GB2312" w:hAnsi="仿宋" w:eastAsia="仿宋_GB2312" w:cs="宋体"/>
          <w:b w:val="0"/>
          <w:bCs w:val="0"/>
          <w:sz w:val="32"/>
          <w:szCs w:val="32"/>
          <w:lang w:eastAsia="zh-CN" w:bidi="ar"/>
        </w:rPr>
        <w:t>项目实施起止时间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本项目实施起止时间2019年1月1日-2019年12月31日。</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资金的使用制度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按照《城乡医疗补助项目实施方案》的要求，项目承担单位报送项目绩效监控执行情况，项目绩效目标自评表和相关证明材料，对未完成的绩效指标说明未完成的原因和改进措施。</w:t>
      </w:r>
    </w:p>
    <w:p>
      <w:pPr>
        <w:pStyle w:val="25"/>
        <w:pageBreakBefore w:val="0"/>
        <w:widowControl w:val="0"/>
        <w:kinsoku/>
        <w:wordWrap/>
        <w:overflowPunct/>
        <w:topLinePunct w:val="0"/>
        <w:autoSpaceDE/>
        <w:autoSpaceDN/>
        <w:bidi w:val="0"/>
        <w:adjustRightInd w:val="0"/>
        <w:snapToGrid w:val="0"/>
        <w:spacing w:before="0" w:after="0" w:line="560" w:lineRule="exact"/>
        <w:ind w:left="0" w:leftChars="0" w:firstLine="643" w:firstLineChars="200"/>
        <w:textAlignment w:val="auto"/>
        <w:rPr>
          <w:rFonts w:hint="eastAsia" w:ascii="楷体" w:hAnsi="楷体" w:eastAsia="楷体" w:cs="楷体"/>
          <w:lang w:bidi="ar"/>
        </w:rPr>
      </w:pPr>
      <w:bookmarkStart w:id="3" w:name="_Toc26401551"/>
      <w:r>
        <w:rPr>
          <w:rFonts w:hint="eastAsia" w:ascii="楷体" w:hAnsi="楷体" w:eastAsia="楷体" w:cs="楷体"/>
          <w:lang w:bidi="ar"/>
        </w:rPr>
        <w:t>绩效目标</w:t>
      </w:r>
      <w:bookmarkEnd w:id="3"/>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w:t>
      </w:r>
      <w:r>
        <w:rPr>
          <w:rFonts w:hint="eastAsia" w:ascii="仿宋_GB2312" w:hAnsi="仿宋" w:eastAsia="仿宋_GB2312" w:cs="Times New Roman"/>
          <w:b w:val="0"/>
          <w:bCs w:val="0"/>
          <w:kern w:val="2"/>
          <w:sz w:val="32"/>
          <w:szCs w:val="32"/>
          <w:lang w:val="en-US" w:eastAsia="zh-CN" w:bidi="ar-SA"/>
        </w:rPr>
        <w:t>：实施城乡医疗补助政策，健全医疗补助制度，为城乡困难群众、孤儿及国家供养的重度精神病交纳医保;提高重特大疾病医疗补助水平，减轻困难群众看病就医负担;维护困难群众基本医疗权益。</w:t>
      </w:r>
    </w:p>
    <w:p>
      <w:pPr>
        <w:pStyle w:val="23"/>
        <w:pageBreakBefore w:val="0"/>
        <w:widowControl w:val="0"/>
        <w:numPr>
          <w:ilvl w:val="0"/>
          <w:numId w:val="2"/>
        </w:numPr>
        <w:kinsoku/>
        <w:wordWrap/>
        <w:overflowPunct/>
        <w:topLinePunct w:val="0"/>
        <w:autoSpaceDE/>
        <w:autoSpaceDN/>
        <w:bidi w:val="0"/>
        <w:adjustRightInd w:val="0"/>
        <w:snapToGrid w:val="0"/>
        <w:spacing w:before="0" w:after="0" w:line="560" w:lineRule="exact"/>
        <w:ind w:left="0" w:leftChars="0" w:firstLine="643" w:firstLineChars="200"/>
        <w:textAlignment w:val="auto"/>
        <w:rPr>
          <w:lang w:bidi="ar"/>
        </w:rPr>
      </w:pPr>
      <w:bookmarkStart w:id="4" w:name="_Toc26401552"/>
      <w:r>
        <w:rPr>
          <w:rFonts w:hint="eastAsia"/>
          <w:lang w:bidi="ar"/>
        </w:rPr>
        <w:t>评价工作简述</w:t>
      </w:r>
      <w:bookmarkEnd w:id="4"/>
    </w:p>
    <w:p>
      <w:pPr>
        <w:pStyle w:val="25"/>
        <w:pageBreakBefore w:val="0"/>
        <w:widowControl w:val="0"/>
        <w:numPr>
          <w:ilvl w:val="0"/>
          <w:numId w:val="5"/>
        </w:numPr>
        <w:kinsoku/>
        <w:wordWrap/>
        <w:overflowPunct/>
        <w:topLinePunct w:val="0"/>
        <w:autoSpaceDE/>
        <w:autoSpaceDN/>
        <w:bidi w:val="0"/>
        <w:adjustRightInd w:val="0"/>
        <w:snapToGrid w:val="0"/>
        <w:spacing w:before="0" w:after="0" w:line="560" w:lineRule="exact"/>
        <w:ind w:left="0" w:leftChars="0" w:firstLine="643" w:firstLineChars="200"/>
        <w:textAlignment w:val="auto"/>
        <w:rPr>
          <w:lang w:bidi="ar"/>
        </w:rPr>
      </w:pPr>
      <w:bookmarkStart w:id="5" w:name="_Toc26401553"/>
      <w:r>
        <w:rPr>
          <w:rFonts w:hint="eastAsia"/>
          <w:lang w:bidi="ar"/>
        </w:rPr>
        <w:t>评价目的</w:t>
      </w:r>
      <w:bookmarkEnd w:id="5"/>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color w:val="FF0000"/>
          <w:sz w:val="32"/>
          <w:szCs w:val="32"/>
          <w:lang w:eastAsia="zh-CN"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w:t>
      </w:r>
      <w:r>
        <w:rPr>
          <w:rFonts w:hint="eastAsia" w:ascii="仿宋_GB2312" w:hAnsi="仿宋" w:eastAsia="仿宋_GB2312" w:cs="宋体"/>
          <w:sz w:val="32"/>
          <w:szCs w:val="32"/>
          <w:highlight w:val="none"/>
          <w:lang w:bidi="ar"/>
        </w:rPr>
        <w:t>项目</w:t>
      </w:r>
      <w:r>
        <w:rPr>
          <w:rFonts w:hint="eastAsia" w:ascii="仿宋_GB2312" w:hAnsi="仿宋" w:eastAsia="仿宋_GB2312" w:cs="宋体"/>
          <w:sz w:val="32"/>
          <w:szCs w:val="32"/>
          <w:lang w:bidi="ar"/>
        </w:rPr>
        <w:t>实施前期、过程及效果，评价财政预算资金使用的效率及效益。</w:t>
      </w:r>
      <w:r>
        <w:rPr>
          <w:rFonts w:hint="eastAsia" w:ascii="仿宋_GB2312" w:hAnsi="仿宋" w:eastAsia="仿宋_GB2312" w:cs="Times New Roman"/>
          <w:sz w:val="32"/>
          <w:szCs w:val="32"/>
          <w:lang w:val="en-US" w:eastAsia="zh-CN"/>
        </w:rPr>
        <w:t>经综合评价，本项目达成预期指标，在项目实施过程中，做到了资金使用、管理、保障到位，严格执行扶贫资金管理办法和财政资金管理制度。</w:t>
      </w:r>
    </w:p>
    <w:p>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pStyle w:val="25"/>
        <w:pageBreakBefore w:val="0"/>
        <w:widowControl w:val="0"/>
        <w:numPr>
          <w:ilvl w:val="0"/>
          <w:numId w:val="5"/>
        </w:numPr>
        <w:kinsoku/>
        <w:wordWrap/>
        <w:overflowPunct/>
        <w:topLinePunct w:val="0"/>
        <w:autoSpaceDE/>
        <w:autoSpaceDN/>
        <w:bidi w:val="0"/>
        <w:adjustRightInd w:val="0"/>
        <w:snapToGrid w:val="0"/>
        <w:spacing w:before="0" w:after="0" w:line="560" w:lineRule="exact"/>
        <w:ind w:left="0" w:leftChars="0" w:firstLine="643" w:firstLineChars="200"/>
        <w:textAlignment w:val="auto"/>
        <w:rPr>
          <w:lang w:bidi="ar"/>
        </w:rPr>
      </w:pPr>
      <w:r>
        <w:rPr>
          <w:rFonts w:hint="eastAsia"/>
          <w:lang w:bidi="ar"/>
        </w:rPr>
        <w:t>本次绩效评价的对象及范围</w:t>
      </w:r>
      <w:bookmarkStart w:id="6" w:name="_Toc26401554"/>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eastAsia="zh-CN" w:bidi="ar"/>
        </w:rPr>
        <w:t>城乡居民基本医疗</w:t>
      </w:r>
      <w:r>
        <w:rPr>
          <w:rFonts w:ascii="仿宋_GB2312" w:hAnsi="仿宋" w:eastAsia="仿宋_GB2312" w:cs="宋体"/>
          <w:sz w:val="32"/>
          <w:szCs w:val="32"/>
          <w:lang w:bidi="ar"/>
        </w:rPr>
        <w:t>项目资金，评价范围包括</w:t>
      </w:r>
      <w:r>
        <w:rPr>
          <w:rFonts w:hint="eastAsia" w:ascii="仿宋_GB2312" w:hAnsi="仿宋" w:eastAsia="仿宋_GB2312" w:cs="宋体"/>
          <w:sz w:val="32"/>
          <w:szCs w:val="32"/>
          <w:lang w:eastAsia="zh-CN" w:bidi="ar"/>
        </w:rPr>
        <w:t>代缴参合参保费用，</w:t>
      </w:r>
      <w:r>
        <w:rPr>
          <w:rFonts w:hint="eastAsia" w:ascii="仿宋_GB2312" w:hAnsi="仿宋" w:eastAsia="仿宋_GB2312" w:cs="Times New Roman"/>
          <w:b w:val="0"/>
          <w:bCs w:val="0"/>
          <w:kern w:val="2"/>
          <w:sz w:val="32"/>
          <w:szCs w:val="32"/>
          <w:lang w:val="en-US" w:eastAsia="zh-CN" w:bidi="ar-SA"/>
        </w:rPr>
        <w:t>资助参合参保。对城乡低保对象，符合医疗补助条件的重点优抚对象，可视财力代其缴纳个人应负担的部分或全部参合参保资金，</w:t>
      </w:r>
      <w:r>
        <w:rPr>
          <w:rFonts w:hint="eastAsia" w:ascii="仿宋_GB2312" w:hAnsi="仿宋" w:eastAsia="仿宋_GB2312" w:cs="宋体"/>
          <w:sz w:val="32"/>
          <w:szCs w:val="32"/>
          <w:lang w:eastAsia="zh-CN" w:bidi="ar"/>
        </w:rPr>
        <w:t>实施住院救助。</w:t>
      </w:r>
    </w:p>
    <w:p>
      <w:pPr>
        <w:pStyle w:val="25"/>
        <w:pageBreakBefore w:val="0"/>
        <w:widowControl w:val="0"/>
        <w:numPr>
          <w:ilvl w:val="0"/>
          <w:numId w:val="5"/>
        </w:numPr>
        <w:kinsoku/>
        <w:wordWrap/>
        <w:overflowPunct/>
        <w:topLinePunct w:val="0"/>
        <w:autoSpaceDE/>
        <w:autoSpaceDN/>
        <w:bidi w:val="0"/>
        <w:adjustRightInd w:val="0"/>
        <w:snapToGrid w:val="0"/>
        <w:spacing w:before="0" w:after="0" w:line="560" w:lineRule="exact"/>
        <w:ind w:left="0" w:leftChars="0" w:firstLine="643" w:firstLineChars="200"/>
        <w:textAlignment w:val="auto"/>
        <w:rPr>
          <w:lang w:bidi="ar"/>
        </w:rPr>
      </w:pPr>
      <w:r>
        <w:rPr>
          <w:rFonts w:hint="eastAsia"/>
          <w:lang w:bidi="ar"/>
        </w:rPr>
        <w:t>绩效评价原则</w:t>
      </w:r>
      <w:bookmarkEnd w:id="6"/>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前期积极做好项目支出预算执行的各项准备工作，提出具体的专项资金分配方案或计划，推进全过程项目支出绩效管理，开展绩效监控，实施绩效评价，强化评价结果运用，认真组织绩效自评，确保绩效目标实现</w:t>
      </w:r>
      <w:r>
        <w:rPr>
          <w:rFonts w:hint="eastAsia" w:ascii="仿宋_GB2312" w:hAnsi="仿宋" w:cs="Times New Roman"/>
          <w:sz w:val="32"/>
          <w:szCs w:val="32"/>
          <w:lang w:val="en-US" w:eastAsia="zh-CN"/>
        </w:rPr>
        <w:t>。</w:t>
      </w:r>
      <w:r>
        <w:rPr>
          <w:rFonts w:hint="eastAsia" w:ascii="仿宋_GB2312" w:hAnsi="仿宋" w:eastAsia="仿宋_GB2312" w:cs="Times New Roman"/>
          <w:sz w:val="32"/>
          <w:szCs w:val="32"/>
          <w:lang w:val="en-US" w:eastAsia="zh-CN"/>
        </w:rPr>
        <w:t>开展绩效评价即加强了财政支出管理，又增强了资金绩效理念，更是提高资金使用效益的重要手段，应将此次绩效评价结果作为以后年度资金分配的重要依据。</w:t>
      </w:r>
    </w:p>
    <w:p>
      <w:pPr>
        <w:pStyle w:val="3"/>
        <w:pageBreakBefore w:val="0"/>
        <w:widowControl w:val="0"/>
        <w:kinsoku/>
        <w:wordWrap/>
        <w:overflowPunct/>
        <w:topLinePunct w:val="0"/>
        <w:autoSpaceDE/>
        <w:autoSpaceDN/>
        <w:bidi w:val="0"/>
        <w:adjustRightInd w:val="0"/>
        <w:snapToGrid w:val="0"/>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为使绩效评价工作顺利开展，我单位由项目部门及财务部门相关人员成立绩效评价小组。按照《绩效项目实施方案》及相关批复的要求，对项目绩效监控执行情况进行跟踪监督，确保项目如期按要求完成。</w:t>
      </w:r>
    </w:p>
    <w:p>
      <w:pPr>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本项目绩效评价体系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center"/>
        <w:textAlignment w:val="auto"/>
        <w:outlineLvl w:val="9"/>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我单位选取共性指标：决策中一级指标3个，二级指标7个，三级指标8个，指的是：立项依据充分性，立项程序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宋体" w:hAnsi="宋体" w:eastAsia="宋体" w:cs="宋体"/>
          <w:color w:val="000000"/>
          <w:kern w:val="0"/>
          <w:sz w:val="22"/>
          <w:szCs w:val="22"/>
          <w:lang w:eastAsia="zh-CN"/>
        </w:rPr>
      </w:pPr>
      <w:r>
        <w:rPr>
          <w:rFonts w:hint="eastAsia" w:ascii="仿宋_GB2312" w:hAnsi="仿宋" w:eastAsia="仿宋_GB2312" w:cs="宋体"/>
          <w:sz w:val="32"/>
          <w:szCs w:val="32"/>
          <w:highlight w:val="none"/>
          <w:lang w:val="en-US" w:eastAsia="zh-CN" w:bidi="ar"/>
        </w:rPr>
        <w:t>规范性，绩效目标合理性 ，绩效指标明确性 ，预算编制科学性 ，资金分配合理性，资金到位率，预算执行率，资金使用合规性 ，管理制度健全性 ，制度执行有效性 ，实际完成率 ，质量达标率，完成及时性，成本节约率，实施效益，满意度等</w:t>
      </w:r>
      <w:r>
        <w:rPr>
          <w:rFonts w:hint="eastAsia" w:ascii="宋体" w:hAnsi="宋体" w:eastAsia="宋体" w:cs="宋体"/>
          <w:color w:val="000000"/>
          <w:kern w:val="0"/>
          <w:sz w:val="22"/>
          <w:szCs w:val="2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宋体"/>
          <w:b w:val="0"/>
          <w:bCs w:val="0"/>
          <w:kern w:val="2"/>
          <w:sz w:val="32"/>
          <w:szCs w:val="32"/>
          <w:highlight w:val="none"/>
          <w:lang w:val="en-US" w:eastAsia="zh-CN" w:bidi="ar"/>
        </w:rPr>
      </w:pPr>
      <w:r>
        <w:rPr>
          <w:rFonts w:hint="eastAsia" w:ascii="仿宋_GB2312" w:hAnsi="仿宋" w:eastAsia="仿宋_GB2312" w:cs="宋体"/>
          <w:b w:val="0"/>
          <w:bCs w:val="0"/>
          <w:kern w:val="2"/>
          <w:sz w:val="32"/>
          <w:szCs w:val="32"/>
          <w:highlight w:val="none"/>
          <w:lang w:val="en-US" w:eastAsia="zh-CN" w:bidi="ar"/>
        </w:rPr>
        <w:t>资金到位率：根据喀地财社〔2019〕90号、喀地财社［2019］3号、喀地财社〔2019〕77号、喀地财社［2019］2号下达项目资金。本项目资金12224万元；其中财政资金12224万元，其他资金0万元，资金到位12224万元，资金到位率100%。</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lang w:val="en-US" w:eastAsia="zh-CN" w:bidi="ar"/>
        </w:rPr>
      </w:pPr>
      <w:r>
        <w:rPr>
          <w:rFonts w:hint="eastAsia" w:ascii="仿宋_GB2312" w:hAnsi="仿宋" w:eastAsia="仿宋_GB2312" w:cs="宋体"/>
          <w:b w:val="0"/>
          <w:bCs w:val="0"/>
          <w:kern w:val="2"/>
          <w:sz w:val="32"/>
          <w:szCs w:val="32"/>
          <w:highlight w:val="none"/>
          <w:lang w:val="en-US" w:eastAsia="zh-CN" w:bidi="ar"/>
        </w:rPr>
        <w:t>资金使用合规性：本项目资金严格按照中央资金管理办法和县财政资金管理制度支付资金；资金支付由分管领导，主管财务领导，县财政局等各级部门审批审核；资金的支付有完整的审批程序和手续符合制度要求：不存在截留，挤占，挪用，虚列支出等情况</w:t>
      </w:r>
      <w:r>
        <w:rPr>
          <w:rFonts w:hint="eastAsia"/>
          <w:lang w:val="en-US" w:eastAsia="zh-CN" w:bidi="ar"/>
        </w:rPr>
        <w:t>。</w:t>
      </w:r>
      <w:bookmarkStart w:id="7" w:name="_Toc26401555"/>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仿宋_GB2312" w:hAnsi="仿宋" w:eastAsia="仿宋_GB2312" w:cs="Times New Roman"/>
          <w:b/>
          <w:bCs/>
          <w:sz w:val="32"/>
          <w:szCs w:val="32"/>
          <w:lang w:val="en-US" w:eastAsia="zh-CN"/>
        </w:rPr>
      </w:pPr>
      <w:r>
        <w:rPr>
          <w:rFonts w:hint="eastAsia" w:ascii="仿宋_GB2312" w:hAnsi="仿宋" w:eastAsia="仿宋_GB2312" w:cs="Times New Roman"/>
          <w:b/>
          <w:bCs/>
          <w:sz w:val="32"/>
          <w:szCs w:val="32"/>
          <w:lang w:val="en-US" w:eastAsia="zh-CN"/>
        </w:rPr>
        <w:t>（五）绩效评价方法</w:t>
      </w:r>
      <w:bookmarkEnd w:id="7"/>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pPr>
      <w:r>
        <w:rPr>
          <w:rFonts w:hint="eastAsia" w:ascii="仿宋_GB2312" w:hAnsi="仿宋" w:eastAsia="仿宋_GB2312" w:cs="宋体"/>
          <w:sz w:val="32"/>
          <w:szCs w:val="32"/>
          <w:lang w:val="en-US" w:eastAsia="zh-CN" w:bidi="ar"/>
        </w:rPr>
        <w:t>本单位进行绩效评价时使用了</w:t>
      </w:r>
      <w:r>
        <w:rPr>
          <w:rFonts w:hint="default" w:ascii="仿宋_GB2312" w:hAnsi="仿宋" w:eastAsia="仿宋_GB2312" w:cs="宋体"/>
          <w:sz w:val="32"/>
          <w:szCs w:val="32"/>
          <w:lang w:val="en-US" w:eastAsia="zh-CN" w:bidi="ar"/>
        </w:rPr>
        <w:t>问卷调查法:</w:t>
      </w:r>
      <w:r>
        <w:rPr>
          <w:rFonts w:hint="eastAsia" w:ascii="仿宋_GB2312" w:hAnsi="仿宋" w:eastAsia="仿宋_GB2312" w:cs="Times New Roman"/>
          <w:sz w:val="32"/>
          <w:szCs w:val="32"/>
          <w:lang w:val="en-US" w:eastAsia="zh-CN"/>
        </w:rPr>
        <w:t>本次评价通过文件研读、实地调研、数据分析等方式，全面了解项目资金的使用效率和效果，项目管理过程规范，完成了预期绩效目标等。同时，通过开展自我评价来总结经验和教训，为项目今后的开展提供参考建议。</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本次评价</w:t>
      </w:r>
      <w:r>
        <w:rPr>
          <w:rFonts w:hint="default" w:ascii="仿宋_GB2312" w:hAnsi="仿宋" w:eastAsia="仿宋_GB2312" w:cs="宋体"/>
          <w:sz w:val="32"/>
          <w:szCs w:val="32"/>
          <w:lang w:val="en-US" w:eastAsia="zh-CN" w:bidi="ar"/>
        </w:rPr>
        <w:t>具有民主性、公开性的特点。</w:t>
      </w:r>
      <w:r>
        <w:rPr>
          <w:rFonts w:hint="eastAsia" w:ascii="仿宋_GB2312" w:hAnsi="仿宋" w:eastAsia="仿宋_GB2312" w:cs="宋体"/>
          <w:sz w:val="32"/>
          <w:szCs w:val="32"/>
          <w:lang w:val="en-US" w:eastAsia="zh-CN" w:bidi="ar"/>
        </w:rPr>
        <w:t>本单位城乡医疗补助对</w:t>
      </w:r>
      <w:r>
        <w:rPr>
          <w:rFonts w:hint="default" w:ascii="仿宋_GB2312" w:hAnsi="仿宋" w:eastAsia="仿宋_GB2312" w:cs="宋体"/>
          <w:sz w:val="32"/>
          <w:szCs w:val="32"/>
          <w:lang w:val="en-US" w:eastAsia="zh-CN" w:bidi="ar"/>
        </w:rPr>
        <w:t>公共服务、公共投资</w:t>
      </w:r>
      <w:r>
        <w:rPr>
          <w:rFonts w:hint="eastAsia" w:ascii="仿宋_GB2312" w:hAnsi="仿宋" w:eastAsia="仿宋_GB2312" w:cs="宋体"/>
          <w:sz w:val="32"/>
          <w:szCs w:val="32"/>
          <w:lang w:val="en-US" w:eastAsia="zh-CN" w:bidi="ar"/>
        </w:rPr>
        <w:t>的</w:t>
      </w:r>
      <w:r>
        <w:rPr>
          <w:rFonts w:hint="default" w:ascii="仿宋_GB2312" w:hAnsi="仿宋" w:eastAsia="仿宋_GB2312" w:cs="宋体"/>
          <w:sz w:val="32"/>
          <w:szCs w:val="32"/>
          <w:lang w:val="en-US" w:eastAsia="zh-CN" w:bidi="ar"/>
        </w:rPr>
        <w:t>项目</w:t>
      </w:r>
      <w:r>
        <w:rPr>
          <w:rFonts w:hint="eastAsia" w:ascii="仿宋_GB2312" w:hAnsi="仿宋" w:eastAsia="仿宋_GB2312" w:cs="宋体"/>
          <w:sz w:val="32"/>
          <w:szCs w:val="32"/>
          <w:lang w:val="en-US" w:eastAsia="zh-CN" w:bidi="ar"/>
        </w:rPr>
        <w:t>，所以本单位按照项目目标对</w:t>
      </w:r>
      <w:r>
        <w:rPr>
          <w:rFonts w:hint="default" w:ascii="仿宋_GB2312" w:hAnsi="仿宋" w:eastAsia="仿宋_GB2312" w:cs="宋体"/>
          <w:sz w:val="32"/>
          <w:szCs w:val="32"/>
          <w:lang w:val="en-US" w:eastAsia="zh-CN" w:bidi="ar"/>
        </w:rPr>
        <w:t>群体满意度或公众满意度指标来</w:t>
      </w:r>
      <w:r>
        <w:rPr>
          <w:rFonts w:hint="eastAsia" w:ascii="仿宋_GB2312" w:hAnsi="仿宋" w:eastAsia="仿宋_GB2312" w:cs="宋体"/>
          <w:sz w:val="32"/>
          <w:szCs w:val="32"/>
          <w:lang w:val="en-US" w:eastAsia="zh-CN" w:bidi="ar"/>
        </w:rPr>
        <w:t>进行</w:t>
      </w:r>
      <w:r>
        <w:rPr>
          <w:rFonts w:hint="default" w:ascii="仿宋_GB2312" w:hAnsi="仿宋" w:eastAsia="仿宋_GB2312" w:cs="宋体"/>
          <w:sz w:val="32"/>
          <w:szCs w:val="32"/>
          <w:lang w:val="en-US" w:eastAsia="zh-CN" w:bidi="ar"/>
        </w:rPr>
        <w:t>评价绩效。</w:t>
      </w:r>
    </w:p>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560" w:lineRule="exact"/>
        <w:ind w:firstLine="643" w:firstLineChars="200"/>
        <w:textAlignment w:val="auto"/>
        <w:rPr>
          <w:lang w:bidi="ar"/>
        </w:rPr>
      </w:pPr>
      <w:r>
        <w:rPr>
          <w:rFonts w:hint="eastAsia"/>
          <w:lang w:eastAsia="zh-CN" w:bidi="ar"/>
        </w:rPr>
        <w:t>（</w:t>
      </w:r>
      <w:r>
        <w:rPr>
          <w:rFonts w:hint="eastAsia"/>
          <w:lang w:val="en-US" w:eastAsia="zh-CN" w:bidi="ar"/>
        </w:rPr>
        <w:t>六</w:t>
      </w:r>
      <w:r>
        <w:rPr>
          <w:rFonts w:hint="eastAsia"/>
          <w:lang w:eastAsia="zh-CN" w:bidi="ar"/>
        </w:rPr>
        <w:t>）</w:t>
      </w:r>
      <w:r>
        <w:rPr>
          <w:rFonts w:hint="eastAsia"/>
          <w:lang w:bidi="ar"/>
        </w:rPr>
        <w:t>评价标准</w:t>
      </w:r>
    </w:p>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本次绩效评价遵循财政部《项目支出绩效评价管理办法》（财预〔2020〕10号）和自治区财政厅《自治区财政支出绩效评价管理暂行办法》（新财预〔2018〕189号）等相关政策文件与规定，旨在评价</w:t>
      </w:r>
      <w:r>
        <w:rPr>
          <w:rFonts w:hint="eastAsia" w:hAnsi="仿宋" w:cs="宋体"/>
          <w:b w:val="0"/>
          <w:bCs w:val="0"/>
          <w:kern w:val="2"/>
          <w:sz w:val="32"/>
          <w:szCs w:val="32"/>
          <w:lang w:val="en-US" w:eastAsia="zh-CN" w:bidi="ar"/>
        </w:rPr>
        <w:t>城乡医疗补助项目</w:t>
      </w:r>
      <w:r>
        <w:rPr>
          <w:rFonts w:hint="eastAsia" w:ascii="仿宋_GB2312" w:hAnsi="仿宋" w:eastAsia="仿宋_GB2312" w:cs="宋体"/>
          <w:b w:val="0"/>
          <w:bCs w:val="0"/>
          <w:kern w:val="2"/>
          <w:sz w:val="32"/>
          <w:szCs w:val="32"/>
          <w:lang w:val="en-US" w:eastAsia="zh-CN" w:bidi="ar"/>
        </w:rPr>
        <w:t>实施前期、过程及效果，评价财政预算资金使用的效率及效益。</w:t>
      </w:r>
    </w:p>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Chars="200"/>
        <w:textAlignment w:val="auto"/>
        <w:rPr>
          <w:lang w:bidi="ar"/>
        </w:rPr>
      </w:pPr>
      <w:r>
        <w:rPr>
          <w:rFonts w:hint="eastAsia"/>
          <w:lang w:eastAsia="zh-CN" w:bidi="ar"/>
        </w:rPr>
        <w:t>（</w:t>
      </w:r>
      <w:r>
        <w:rPr>
          <w:rFonts w:hint="eastAsia"/>
          <w:lang w:val="en-US" w:eastAsia="zh-CN" w:bidi="ar"/>
        </w:rPr>
        <w:t>七</w:t>
      </w:r>
      <w:r>
        <w:rPr>
          <w:rFonts w:hint="eastAsia"/>
          <w:lang w:eastAsia="zh-CN" w:bidi="ar"/>
        </w:rPr>
        <w:t>）</w:t>
      </w:r>
      <w:r>
        <w:rPr>
          <w:rFonts w:hint="eastAsia"/>
          <w:lang w:bidi="ar"/>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textAlignment w:val="auto"/>
        <w:outlineLvl w:val="9"/>
        <w:rPr>
          <w:b w:val="0"/>
          <w:bCs w:val="0"/>
          <w:lang w:bidi="ar"/>
        </w:rPr>
      </w:pPr>
      <w:r>
        <w:rPr>
          <w:rFonts w:hint="eastAsia"/>
          <w:b w:val="0"/>
          <w:bCs w:val="0"/>
          <w:lang w:bidi="ar"/>
        </w:rPr>
        <w:t>本次评价成立了评价工作组，成员如下：</w:t>
      </w:r>
    </w:p>
    <w:tbl>
      <w:tblPr>
        <w:tblStyle w:val="15"/>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b w:val="0"/>
                <w:bCs w:val="0"/>
                <w:lang w:bidi="ar"/>
              </w:rPr>
            </w:pPr>
            <w:r>
              <w:rPr>
                <w:rFonts w:hint="eastAsia"/>
                <w:b w:val="0"/>
                <w:bCs w:val="0"/>
                <w:lang w:bidi="ar"/>
              </w:rPr>
              <w:t>评价人</w:t>
            </w:r>
          </w:p>
        </w:tc>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b w:val="0"/>
                <w:bCs w:val="0"/>
                <w:lang w:bidi="ar"/>
              </w:rPr>
            </w:pPr>
            <w:r>
              <w:rPr>
                <w:rFonts w:hint="eastAsia"/>
                <w:b w:val="0"/>
                <w:bCs w:val="0"/>
                <w:lang w:bidi="ar"/>
              </w:rPr>
              <w:t>职责</w:t>
            </w:r>
          </w:p>
        </w:tc>
        <w:tc>
          <w:tcPr>
            <w:tcW w:w="2766"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rFonts w:hint="eastAsia" w:eastAsia="仿宋_GB2312"/>
                <w:b w:val="0"/>
                <w:bCs w:val="0"/>
                <w:lang w:eastAsia="zh-CN" w:bidi="ar"/>
              </w:rPr>
            </w:pPr>
            <w:r>
              <w:rPr>
                <w:rFonts w:hint="eastAsia"/>
                <w:b w:val="0"/>
                <w:bCs w:val="0"/>
                <w:lang w:eastAsia="zh-CN" w:bidi="ar"/>
              </w:rPr>
              <w:t>耿文政</w:t>
            </w:r>
          </w:p>
        </w:tc>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b w:val="0"/>
                <w:bCs w:val="0"/>
                <w:lang w:bidi="ar"/>
              </w:rPr>
            </w:pPr>
            <w:r>
              <w:rPr>
                <w:rFonts w:hint="eastAsia"/>
                <w:b w:val="0"/>
                <w:bCs w:val="0"/>
                <w:lang w:bidi="ar"/>
              </w:rPr>
              <w:t>评价组组长</w:t>
            </w:r>
          </w:p>
        </w:tc>
        <w:tc>
          <w:tcPr>
            <w:tcW w:w="2766"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rFonts w:hint="eastAsia" w:eastAsia="仿宋_GB2312"/>
                <w:b w:val="0"/>
                <w:bCs w:val="0"/>
                <w:lang w:eastAsia="zh-CN" w:bidi="ar"/>
              </w:rPr>
            </w:pPr>
            <w:r>
              <w:rPr>
                <w:rFonts w:hint="eastAsia"/>
                <w:b w:val="0"/>
                <w:bCs w:val="0"/>
                <w:lang w:eastAsia="zh-CN" w:bidi="ar"/>
              </w:rPr>
              <w:t>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rFonts w:hint="eastAsia" w:eastAsia="仿宋_GB2312"/>
                <w:b w:val="0"/>
                <w:bCs w:val="0"/>
                <w:lang w:eastAsia="zh-CN" w:bidi="ar"/>
              </w:rPr>
            </w:pPr>
            <w:r>
              <w:rPr>
                <w:rFonts w:hint="eastAsia"/>
                <w:b w:val="0"/>
                <w:bCs w:val="0"/>
                <w:lang w:eastAsia="zh-CN" w:bidi="ar"/>
              </w:rPr>
              <w:t>杨上慧</w:t>
            </w:r>
          </w:p>
        </w:tc>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b w:val="0"/>
                <w:bCs w:val="0"/>
                <w:lang w:bidi="ar"/>
              </w:rPr>
            </w:pPr>
            <w:r>
              <w:rPr>
                <w:rFonts w:hint="eastAsia"/>
                <w:b w:val="0"/>
                <w:bCs w:val="0"/>
                <w:lang w:bidi="ar"/>
              </w:rPr>
              <w:t>评价组成员</w:t>
            </w:r>
          </w:p>
        </w:tc>
        <w:tc>
          <w:tcPr>
            <w:tcW w:w="2766"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jc w:val="center"/>
              <w:textAlignment w:val="auto"/>
              <w:rPr>
                <w:rFonts w:hint="eastAsia" w:eastAsia="仿宋_GB2312"/>
                <w:b w:val="0"/>
                <w:bCs w:val="0"/>
                <w:lang w:eastAsia="zh-CN" w:bidi="ar"/>
              </w:rPr>
            </w:pPr>
            <w:r>
              <w:rPr>
                <w:rFonts w:hint="eastAsia"/>
                <w:b w:val="0"/>
                <w:bCs w:val="0"/>
                <w:lang w:eastAsia="zh-CN" w:bidi="ar"/>
              </w:rPr>
              <w:t>基金财务股会计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rFonts w:hint="eastAsia" w:eastAsia="仿宋_GB2312"/>
                <w:b w:val="0"/>
                <w:bCs w:val="0"/>
                <w:lang w:eastAsia="zh-CN" w:bidi="ar"/>
              </w:rPr>
            </w:pPr>
            <w:r>
              <w:rPr>
                <w:rFonts w:hint="eastAsia"/>
                <w:b w:val="0"/>
                <w:bCs w:val="0"/>
                <w:lang w:eastAsia="zh-CN" w:bidi="ar"/>
              </w:rPr>
              <w:t>罗蕊</w:t>
            </w:r>
          </w:p>
        </w:tc>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ind w:left="0" w:leftChars="0" w:firstLine="640" w:firstLineChars="200"/>
              <w:jc w:val="center"/>
              <w:textAlignment w:val="auto"/>
              <w:rPr>
                <w:b w:val="0"/>
                <w:bCs w:val="0"/>
                <w:lang w:bidi="ar"/>
              </w:rPr>
            </w:pPr>
            <w:r>
              <w:rPr>
                <w:rFonts w:hint="eastAsia"/>
                <w:b w:val="0"/>
                <w:bCs w:val="0"/>
                <w:lang w:bidi="ar"/>
              </w:rPr>
              <w:t>评价组成员</w:t>
            </w:r>
          </w:p>
        </w:tc>
        <w:tc>
          <w:tcPr>
            <w:tcW w:w="2766"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600" w:lineRule="exact"/>
              <w:jc w:val="center"/>
              <w:textAlignment w:val="auto"/>
              <w:rPr>
                <w:b w:val="0"/>
                <w:bCs w:val="0"/>
                <w:lang w:bidi="ar"/>
              </w:rPr>
            </w:pPr>
            <w:r>
              <w:rPr>
                <w:rFonts w:hint="eastAsia"/>
                <w:b w:val="0"/>
                <w:bCs w:val="0"/>
                <w:lang w:eastAsia="zh-CN" w:bidi="ar"/>
              </w:rPr>
              <w:t>基金财务股人员</w:t>
            </w:r>
          </w:p>
        </w:tc>
      </w:tr>
    </w:tbl>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1.数据采集方法及过程</w:t>
      </w:r>
    </w:p>
    <w:p>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第一阶段：准备阶段。成立项目评价工作小组，制定项目工作计划；参与项目评价工作协调会议，提请相关职能部门及评价方的帮助和配合，确定相关部门的联络人员。</w:t>
      </w:r>
    </w:p>
    <w:p>
      <w:pPr>
        <w:pStyle w:val="3"/>
        <w:keepNext w:val="0"/>
        <w:keepLines w:val="0"/>
        <w:pageBreakBefore w:val="0"/>
        <w:widowControl w:val="0"/>
        <w:kinsoku/>
        <w:wordWrap/>
        <w:overflowPunct/>
        <w:topLinePunct w:val="0"/>
        <w:autoSpaceDE/>
        <w:autoSpaceDN/>
        <w:bidi w:val="0"/>
        <w:adjustRightInd w:val="0"/>
        <w:snapToGrid w:val="0"/>
        <w:spacing w:before="0" w:after="0" w:afterAutospacing="0" w:line="560" w:lineRule="exact"/>
        <w:ind w:left="0" w:leftChars="0"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第二阶段：组织赴项目单位调研，现场考察与收集初步资料；绩效评价人员赴项目单位现场调研；项目评价小组联合相关部门参与人员，设计项目评价指标体系及评价方案。</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2.绩效评价实施过程</w:t>
      </w:r>
    </w:p>
    <w:p>
      <w:pPr>
        <w:pStyle w:val="3"/>
        <w:keepNext w:val="0"/>
        <w:keepLines w:val="0"/>
        <w:pageBreakBefore w:val="0"/>
        <w:widowControl w:val="0"/>
        <w:kinsoku/>
        <w:wordWrap/>
        <w:overflowPunct/>
        <w:topLinePunct w:val="0"/>
        <w:autoSpaceDE/>
        <w:autoSpaceDN/>
        <w:bidi w:val="0"/>
        <w:adjustRightInd w:val="0"/>
        <w:snapToGrid w:val="0"/>
        <w:spacing w:before="0" w:after="0" w:afterAutospacing="0" w:line="560" w:lineRule="exact"/>
        <w:ind w:left="0" w:leftChars="0"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第三阶段：按照评价方案细化评价工作计划，依据评价指标体系收集相关数据，根据需要组织问卷调查和项目调研等工作；开展资金使用情况调查工作，加强相关职能部门与被评价方的信息沟通，召开小型工作推进会，撰写调研的阶段情况综合报告。</w:t>
      </w:r>
    </w:p>
    <w:p>
      <w:pPr>
        <w:pStyle w:val="3"/>
        <w:keepNext w:val="0"/>
        <w:keepLines w:val="0"/>
        <w:pageBreakBefore w:val="0"/>
        <w:widowControl w:val="0"/>
        <w:kinsoku/>
        <w:wordWrap/>
        <w:overflowPunct/>
        <w:topLinePunct w:val="0"/>
        <w:autoSpaceDE/>
        <w:autoSpaceDN/>
        <w:bidi w:val="0"/>
        <w:adjustRightInd w:val="0"/>
        <w:snapToGrid w:val="0"/>
        <w:spacing w:before="0" w:after="0" w:afterAutospacing="0" w:line="560" w:lineRule="exact"/>
        <w:ind w:left="0" w:leftChars="0" w:firstLine="640" w:firstLineChars="200"/>
        <w:textAlignment w:val="auto"/>
        <w:rPr>
          <w:rFonts w:hint="eastAsia"/>
          <w:lang w:val="en-US" w:eastAsia="zh-CN"/>
        </w:rPr>
      </w:pPr>
      <w:r>
        <w:rPr>
          <w:rFonts w:hint="eastAsia" w:ascii="仿宋_GB2312" w:eastAsia="仿宋_GB2312" w:cs="Times New Roman" w:hAnsiTheme="majorHAnsi"/>
          <w:b w:val="0"/>
          <w:bCs w:val="0"/>
          <w:kern w:val="2"/>
          <w:sz w:val="32"/>
          <w:szCs w:val="32"/>
          <w:lang w:val="en-US" w:eastAsia="zh-CN" w:bidi="ar"/>
        </w:rPr>
        <w:t>本次绩效评价局限性受项目团队调研成本，调研对象的配合情况，抽样的随机性和个别指标取数困难等因素的影响，虽然项目团队在评价过程中，通过科学方法尽量避免取证的偏差，但本次绩效评价仍无法做到百分之百正确合理。</w:t>
      </w:r>
    </w:p>
    <w:p>
      <w:pPr>
        <w:pStyle w:val="23"/>
        <w:pageBreakBefore w:val="0"/>
        <w:widowControl w:val="0"/>
        <w:numPr>
          <w:ilvl w:val="0"/>
          <w:numId w:val="2"/>
        </w:numPr>
        <w:kinsoku/>
        <w:wordWrap/>
        <w:overflowPunct/>
        <w:topLinePunct w:val="0"/>
        <w:autoSpaceDE/>
        <w:autoSpaceDN/>
        <w:bidi w:val="0"/>
        <w:adjustRightInd w:val="0"/>
        <w:snapToGrid w:val="0"/>
        <w:spacing w:before="0" w:after="0" w:line="560" w:lineRule="exact"/>
        <w:ind w:left="0" w:leftChars="0" w:firstLine="643" w:firstLineChars="200"/>
        <w:textAlignment w:val="auto"/>
        <w:rPr>
          <w:rFonts w:hint="eastAsia" w:ascii="黑体" w:hAnsi="黑体"/>
          <w:highlight w:val="none"/>
        </w:rPr>
      </w:pPr>
      <w:bookmarkStart w:id="8" w:name="_Toc26401558"/>
      <w:r>
        <w:rPr>
          <w:rFonts w:hint="eastAsia" w:ascii="黑体" w:hAnsi="黑体"/>
          <w:highlight w:val="none"/>
        </w:rPr>
        <w:t>综合评价情况及评价结论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经综合评价，本项目达成预期指标，在项目实施过程中，做到了资金使用、管理、保障到位，严格执行扶贫资金管理办法和财政资金管理制度，按照项目实施方案、招投标管理办法，根据年初设定的绩效目标，此项目综合评价得分为97分。</w:t>
      </w:r>
    </w:p>
    <w:p>
      <w:pPr>
        <w:pStyle w:val="23"/>
        <w:pageBreakBefore w:val="0"/>
        <w:widowControl w:val="0"/>
        <w:numPr>
          <w:ilvl w:val="0"/>
          <w:numId w:val="2"/>
        </w:numPr>
        <w:kinsoku/>
        <w:wordWrap/>
        <w:overflowPunct/>
        <w:topLinePunct w:val="0"/>
        <w:autoSpaceDE/>
        <w:autoSpaceDN/>
        <w:bidi w:val="0"/>
        <w:adjustRightInd w:val="0"/>
        <w:snapToGrid w:val="0"/>
        <w:spacing w:before="0" w:after="0" w:line="560" w:lineRule="exact"/>
        <w:ind w:left="0" w:leftChars="0" w:firstLine="643" w:firstLineChars="200"/>
        <w:textAlignment w:val="auto"/>
        <w:rPr>
          <w:lang w:bidi="ar"/>
        </w:rPr>
      </w:pPr>
      <w:r>
        <w:rPr>
          <w:rFonts w:hint="eastAsia"/>
          <w:lang w:bidi="ar"/>
        </w:rPr>
        <w:t>绩效评价指标分析</w:t>
      </w:r>
      <w:bookmarkEnd w:id="8"/>
    </w:p>
    <w:p>
      <w:pPr>
        <w:pStyle w:val="19"/>
        <w:pageBreakBefore w:val="0"/>
        <w:widowControl w:val="0"/>
        <w:numPr>
          <w:ilvl w:val="0"/>
          <w:numId w:val="6"/>
        </w:numPr>
        <w:kinsoku/>
        <w:wordWrap/>
        <w:overflowPunct/>
        <w:topLinePunct w:val="0"/>
        <w:autoSpaceDE/>
        <w:autoSpaceDN/>
        <w:bidi w:val="0"/>
        <w:adjustRightInd w:val="0"/>
        <w:snapToGrid w:val="0"/>
        <w:spacing w:line="560" w:lineRule="exact"/>
        <w:ind w:left="0" w:lef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lang w:val="en-US" w:eastAsia="zh-CN"/>
        </w:rPr>
      </w:pPr>
      <w:r>
        <w:rPr>
          <w:rFonts w:hint="eastAsia" w:ascii="仿宋_GB2312" w:hAnsi="仿宋" w:eastAsia="仿宋_GB2312" w:cs="宋体"/>
          <w:sz w:val="32"/>
          <w:szCs w:val="32"/>
          <w:lang w:eastAsia="zh-CN" w:bidi="ar"/>
        </w:rPr>
        <w:t>本</w:t>
      </w:r>
      <w:r>
        <w:rPr>
          <w:rFonts w:hint="eastAsia" w:ascii="仿宋_GB2312" w:hAnsi="仿宋" w:eastAsia="仿宋_GB2312" w:cs="宋体"/>
          <w:sz w:val="32"/>
          <w:szCs w:val="32"/>
          <w:lang w:bidi="ar"/>
        </w:rPr>
        <w:t>项目根据</w:t>
      </w:r>
      <w:r>
        <w:rPr>
          <w:rFonts w:hint="eastAsia" w:ascii="仿宋_GB2312" w:hAnsi="仿宋" w:eastAsia="仿宋_GB2312" w:cs="宋体"/>
          <w:sz w:val="32"/>
          <w:szCs w:val="32"/>
          <w:lang w:eastAsia="zh-CN" w:bidi="ar"/>
        </w:rPr>
        <w:t>地委，行署批准的《叶城县机构改革方案》（喀党办字</w:t>
      </w:r>
      <w:r>
        <w:rPr>
          <w:rFonts w:hint="eastAsia" w:ascii="仿宋_GB2312" w:hAnsi="仿宋" w:eastAsia="仿宋_GB2312" w:cs="宋体"/>
          <w:sz w:val="32"/>
          <w:szCs w:val="32"/>
          <w:lang w:val="en-US" w:eastAsia="zh-CN" w:bidi="ar"/>
        </w:rPr>
        <w:t>{2019}11号</w:t>
      </w:r>
      <w:r>
        <w:rPr>
          <w:rFonts w:hint="eastAsia" w:ascii="仿宋_GB2312" w:hAnsi="仿宋" w:eastAsia="仿宋_GB2312" w:cs="宋体"/>
          <w:sz w:val="32"/>
          <w:szCs w:val="32"/>
          <w:lang w:eastAsia="zh-CN" w:bidi="ar"/>
        </w:rPr>
        <w:t>）和县委办公室，县人民政府办公室《关于印发，叶城县机构改革方案实施意见的通知》（叶党办发</w:t>
      </w:r>
      <w:r>
        <w:rPr>
          <w:rFonts w:hint="eastAsia" w:ascii="仿宋_GB2312" w:hAnsi="仿宋" w:eastAsia="仿宋_GB2312" w:cs="宋体"/>
          <w:sz w:val="32"/>
          <w:szCs w:val="32"/>
          <w:lang w:val="en-US" w:eastAsia="zh-CN" w:bidi="ar"/>
        </w:rPr>
        <w:t>{2019}3号），制定本规定。贯彻落实党中央，自治区人民政府行署，县委，县人民政府关于医疗保障工作的方针政策和决策部署，在履行职责过程中坚持和加强党对医疗保障工作的集中统一领导，根据相关通知，此项目负责成员前期研读政策文件，了解类似项目投入使用情况等，并召开工作会议分析讨论，最后确定预算明细及金额预算编制经过科学论证有明确标准，资金额度与年度目标相适应，与地方实际标准相适应。</w:t>
      </w:r>
    </w:p>
    <w:p>
      <w:pPr>
        <w:pStyle w:val="19"/>
        <w:pageBreakBefore w:val="0"/>
        <w:widowControl w:val="0"/>
        <w:numPr>
          <w:ilvl w:val="0"/>
          <w:numId w:val="6"/>
        </w:numPr>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仿宋" w:eastAsia="仿宋_GB2312" w:cs="宋体"/>
          <w:b/>
          <w:bCs/>
          <w:sz w:val="32"/>
          <w:szCs w:val="32"/>
          <w:lang w:bidi="ar"/>
        </w:rPr>
      </w:pPr>
      <w:r>
        <w:rPr>
          <w:rFonts w:hint="eastAsia" w:ascii="仿宋_GB2312" w:hAnsi="仿宋" w:eastAsia="仿宋_GB2312" w:cs="宋体"/>
          <w:sz w:val="32"/>
          <w:szCs w:val="32"/>
          <w:lang w:val="en-US" w:eastAsia="zh-CN" w:bidi="ar"/>
        </w:rPr>
        <w:t xml:space="preserve"> </w:t>
      </w:r>
      <w:r>
        <w:rPr>
          <w:rFonts w:hint="eastAsia" w:ascii="仿宋_GB2312" w:hAnsi="仿宋" w:eastAsia="仿宋_GB2312" w:cs="宋体"/>
          <w:b/>
          <w:bCs/>
          <w:sz w:val="32"/>
          <w:szCs w:val="32"/>
          <w:lang w:bidi="ar"/>
        </w:rPr>
        <w:t>项目的过程情况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Times New Roman"/>
          <w:sz w:val="32"/>
          <w:szCs w:val="32"/>
          <w:highlight w:val="none"/>
          <w:lang w:val="en-US" w:eastAsia="zh-CN"/>
        </w:rPr>
        <w:t>叶城县医疗保障局根据</w:t>
      </w:r>
      <w:r>
        <w:rPr>
          <w:rFonts w:hint="eastAsia" w:ascii="仿宋_GB2312" w:hAnsi="仿宋" w:eastAsia="仿宋_GB2312" w:cs="宋体"/>
          <w:sz w:val="32"/>
          <w:szCs w:val="32"/>
          <w:lang w:eastAsia="zh-CN" w:bidi="ar"/>
        </w:rPr>
        <w:t>《叶城县医疗保障局专项资金管理制度》进行支付，实行实施一个项目，支付一笔资金，报账一笔资金，资金跟着项目走，项目跟着需求走。资金按时到位，到位率</w:t>
      </w:r>
      <w:r>
        <w:rPr>
          <w:rFonts w:hint="eastAsia" w:ascii="仿宋_GB2312" w:hAnsi="仿宋" w:eastAsia="仿宋_GB2312" w:cs="宋体"/>
          <w:sz w:val="32"/>
          <w:szCs w:val="32"/>
          <w:lang w:val="en-US" w:eastAsia="zh-CN" w:bidi="ar"/>
        </w:rPr>
        <w:t>100%。项目资金到位保证足额及时及时支付，并制定相应的资金管理制度《叶城县医疗保障局，行政人员绩效考核及奖金分配办法》符合国家法规和财务管理制度；坚决保证资金拨付流程合理合规，有完整的审批程序和手续，不存在截留，挤占，挪用，虚列支出等情况。</w:t>
      </w:r>
    </w:p>
    <w:p>
      <w:pPr>
        <w:pageBreakBefore w:val="0"/>
        <w:widowControl w:val="0"/>
        <w:numPr>
          <w:ilvl w:val="0"/>
          <w:numId w:val="7"/>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叶城县医疗保障局在项目管理上总体情况较好。该项目预算资金安排12224万元，项目实际使用资金12224万元，资金按照规定制度及时支付到位。为保证资金的高效，合规使用，叶城县医疗保障局制定并依据项目实施方案，有效促进了城乡医疗补助项目资金支出管理工作。</w:t>
      </w:r>
    </w:p>
    <w:p>
      <w:pPr>
        <w:pStyle w:val="3"/>
        <w:pageBreakBefore w:val="0"/>
        <w:widowControl w:val="0"/>
        <w:numPr>
          <w:ilvl w:val="0"/>
          <w:numId w:val="7"/>
        </w:numPr>
        <w:kinsoku/>
        <w:wordWrap/>
        <w:overflowPunct/>
        <w:topLinePunct w:val="0"/>
        <w:autoSpaceDE/>
        <w:autoSpaceDN/>
        <w:bidi w:val="0"/>
        <w:adjustRightInd w:val="0"/>
        <w:snapToGrid w:val="0"/>
        <w:spacing w:before="0" w:after="0" w:line="560" w:lineRule="exact"/>
        <w:ind w:left="0" w:leftChars="0" w:firstLine="640" w:firstLineChars="200"/>
        <w:textAlignment w:val="auto"/>
        <w:rPr>
          <w:rFonts w:hint="default"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从制度建设看：制定了相应的管理制度。</w:t>
      </w:r>
    </w:p>
    <w:p>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rPr>
          <w:rFonts w:hint="default"/>
          <w:lang w:val="en-US" w:eastAsia="zh-CN"/>
        </w:rPr>
      </w:pPr>
      <w:r>
        <w:rPr>
          <w:rFonts w:hint="eastAsia" w:ascii="仿宋_GB2312" w:hAnsi="仿宋" w:eastAsia="仿宋_GB2312" w:cs="宋体"/>
          <w:sz w:val="32"/>
          <w:szCs w:val="32"/>
          <w:lang w:val="en-US" w:eastAsia="zh-CN" w:bidi="ar"/>
        </w:rPr>
        <w:t>3.从过程控制部分看：严格按照资金支出的管理办法，对审批过程和流程进行了统一和规范，确保项目高质量完成。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仿宋_GB2312" w:hAnsi="仿宋" w:eastAsia="仿宋_GB2312" w:cs="Times New Roman"/>
          <w:b/>
          <w:bCs/>
          <w:sz w:val="32"/>
          <w:szCs w:val="32"/>
          <w:highlight w:val="none"/>
          <w:lang w:val="en-US" w:eastAsia="zh-CN"/>
        </w:rPr>
      </w:pPr>
      <w:r>
        <w:rPr>
          <w:rFonts w:hint="eastAsia" w:ascii="仿宋_GB2312" w:hAnsi="仿宋" w:eastAsia="仿宋_GB2312" w:cs="Times New Roman"/>
          <w:b/>
          <w:bCs/>
          <w:sz w:val="32"/>
          <w:szCs w:val="32"/>
          <w:highlight w:val="none"/>
          <w:lang w:val="en-US" w:eastAsia="zh-CN"/>
        </w:rPr>
        <w:t>（三）项目产出情况</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项目根据地委，行署批准的《叶城县机构改革方案》（喀党办字{2019}11号）和县委办公室，县人民政府办公室《关于印发，叶城县机构改革方案实施意见的通知》（叶党办发{2019}3号），制定本规定。贯彻落实叶城县医疗保障局筹资和待遇政策。完善动态调整和区域调剂平衡机制，统筹城乡医疗保障待遇标准，建立健全与筹资水平相适应的待遇调整机制。组织实施长期护理保险改革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本项目为2019年城乡医疗补助项目，政策依据是国务院《关于整合城乡居民基本医疗保险制度的意见》（国发{2016}3号）文件。目的是为促进城乡经济社会协调发展，促进社会公平正义，促进全面建成小康社会，实现城乡居民公平享有基本医疗保险权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为城乡困难群众、孤儿及国家供养的重度精神病交纳医保;提高重特大疾病医疗补助水平，减轻困难群众看病就医负担;维护困难群众基本医疗权益，根据“</w:t>
      </w:r>
      <w:bookmarkStart w:id="9" w:name="_GoBack"/>
      <w:bookmarkEnd w:id="9"/>
      <w:r>
        <w:rPr>
          <w:rFonts w:hint="eastAsia" w:ascii="仿宋_GB2312" w:hAnsi="仿宋" w:eastAsia="仿宋_GB2312" w:cs="宋体"/>
          <w:b w:val="0"/>
          <w:bCs w:val="0"/>
          <w:kern w:val="2"/>
          <w:sz w:val="32"/>
          <w:szCs w:val="32"/>
          <w:lang w:val="en-US" w:eastAsia="zh-CN" w:bidi="ar"/>
        </w:rPr>
        <w:t>城乡医疗补助项目方案”、城乡医疗补助项目目标表及监控表、绩效自评报告分析，各项目指标基本完成。资金执行率为100%。</w:t>
      </w:r>
    </w:p>
    <w:tbl>
      <w:tblPr>
        <w:tblStyle w:val="14"/>
        <w:tblW w:w="8342" w:type="dxa"/>
        <w:tblInd w:w="0" w:type="dxa"/>
        <w:shd w:val="clear" w:color="auto" w:fill="auto"/>
        <w:tblLayout w:type="fixed"/>
        <w:tblCellMar>
          <w:top w:w="0" w:type="dxa"/>
          <w:left w:w="0" w:type="dxa"/>
          <w:bottom w:w="0" w:type="dxa"/>
          <w:right w:w="0" w:type="dxa"/>
        </w:tblCellMar>
      </w:tblPr>
      <w:tblGrid>
        <w:gridCol w:w="1323"/>
        <w:gridCol w:w="1127"/>
        <w:gridCol w:w="2658"/>
        <w:gridCol w:w="1617"/>
        <w:gridCol w:w="1617"/>
      </w:tblGrid>
      <w:tr>
        <w:tblPrEx>
          <w:shd w:val="clear" w:color="auto" w:fill="auto"/>
          <w:tblCellMar>
            <w:top w:w="0" w:type="dxa"/>
            <w:left w:w="0" w:type="dxa"/>
            <w:bottom w:w="0" w:type="dxa"/>
            <w:right w:w="0" w:type="dxa"/>
          </w:tblCellMar>
        </w:tblPrEx>
        <w:trPr>
          <w:trHeight w:val="500" w:hRule="atLeast"/>
        </w:trPr>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1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3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符合政策予以补助的贫困人口全覆盖（%）</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医疗补助对象覆盖范围（%）</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贫困人口参保率（%）</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一站式结算覆盖率（%）</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CellMar>
            <w:top w:w="0" w:type="dxa"/>
            <w:left w:w="0" w:type="dxa"/>
            <w:bottom w:w="0" w:type="dxa"/>
            <w:right w:w="0" w:type="dxa"/>
          </w:tblCellMar>
        </w:tblPrEx>
        <w:trPr>
          <w:trHeight w:val="500" w:hRule="atLeast"/>
        </w:trPr>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医疗补助资金拨付及时性（%）</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医疗补助补助资金（万元）</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12224</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12224</w:t>
            </w:r>
          </w:p>
        </w:tc>
      </w:tr>
    </w:tbl>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 w:eastAsia="仿宋_GB2312" w:cs="宋体"/>
          <w:b w:val="0"/>
          <w:bCs w:val="0"/>
          <w:kern w:val="2"/>
          <w:sz w:val="32"/>
          <w:szCs w:val="32"/>
          <w:lang w:val="en-US" w:eastAsia="zh-CN" w:bidi="ar"/>
        </w:rPr>
      </w:pPr>
    </w:p>
    <w:p>
      <w:pPr>
        <w:pStyle w:val="19"/>
        <w:pageBreakBefore w:val="0"/>
        <w:widowControl w:val="0"/>
        <w:numPr>
          <w:ilvl w:val="0"/>
          <w:numId w:val="0"/>
        </w:numPr>
        <w:kinsoku/>
        <w:wordWrap/>
        <w:overflowPunct/>
        <w:topLinePunct w:val="0"/>
        <w:autoSpaceDE/>
        <w:autoSpaceDN/>
        <w:bidi w:val="0"/>
        <w:adjustRightInd w:val="0"/>
        <w:snapToGrid w:val="0"/>
        <w:spacing w:line="560" w:lineRule="exact"/>
        <w:ind w:left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eastAsia="zh-CN" w:bidi="ar"/>
        </w:rPr>
        <w:t>（</w:t>
      </w:r>
      <w:r>
        <w:rPr>
          <w:rFonts w:hint="eastAsia" w:ascii="仿宋_GB2312" w:hAnsi="仿宋" w:eastAsia="仿宋_GB2312" w:cs="宋体"/>
          <w:b/>
          <w:bCs/>
          <w:sz w:val="32"/>
          <w:szCs w:val="32"/>
          <w:highlight w:val="none"/>
          <w:lang w:val="en-US" w:eastAsia="zh-CN" w:bidi="ar"/>
        </w:rPr>
        <w:t>四</w:t>
      </w:r>
      <w:r>
        <w:rPr>
          <w:rFonts w:hint="eastAsia" w:ascii="仿宋_GB2312" w:hAnsi="仿宋" w:eastAsia="仿宋_GB2312" w:cs="宋体"/>
          <w:b/>
          <w:bCs/>
          <w:sz w:val="32"/>
          <w:szCs w:val="32"/>
          <w:highlight w:val="none"/>
          <w:lang w:eastAsia="zh-CN" w:bidi="ar"/>
        </w:rPr>
        <w:t>）</w:t>
      </w:r>
      <w:r>
        <w:rPr>
          <w:rFonts w:hint="eastAsia" w:ascii="仿宋_GB2312" w:hAnsi="仿宋" w:eastAsia="仿宋_GB2312" w:cs="宋体"/>
          <w:b/>
          <w:bCs/>
          <w:sz w:val="32"/>
          <w:szCs w:val="32"/>
          <w:highlight w:val="none"/>
          <w:lang w:bidi="ar"/>
        </w:rPr>
        <w:t>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sz w:val="32"/>
          <w:szCs w:val="32"/>
          <w:highlight w:val="none"/>
          <w:lang w:val="en-US" w:eastAsia="zh-CN"/>
        </w:rPr>
      </w:pPr>
      <w:r>
        <w:rPr>
          <w:rFonts w:hint="eastAsia" w:ascii="仿宋_GB2312" w:hAnsi="仿宋" w:eastAsia="仿宋_GB2312" w:cs="Times New Roman"/>
          <w:sz w:val="32"/>
          <w:szCs w:val="32"/>
          <w:highlight w:val="none"/>
          <w:lang w:val="en-US" w:eastAsia="zh-CN"/>
        </w:rPr>
        <w:t>城乡医疗补助资金项目的运行持续减轻参保人员就医经济负担，缓解社会矛盾，有效保障居民生活质量，民生工程项目实施效果良好，建立和完善了医疗保障制度，实现了所有人口全覆盖，提高群众生活质量和健康水平。缓解了因病致贫，因病返贫等问题。实现了项目设定的绩效目标，百姓的获得感和幸福感不断增加。</w:t>
      </w:r>
    </w:p>
    <w:tbl>
      <w:tblPr>
        <w:tblStyle w:val="14"/>
        <w:tblW w:w="8342" w:type="dxa"/>
        <w:tblInd w:w="0" w:type="dxa"/>
        <w:shd w:val="clear" w:color="auto" w:fill="auto"/>
        <w:tblLayout w:type="fixed"/>
        <w:tblCellMar>
          <w:top w:w="0" w:type="dxa"/>
          <w:left w:w="0" w:type="dxa"/>
          <w:bottom w:w="0" w:type="dxa"/>
          <w:right w:w="0" w:type="dxa"/>
        </w:tblCellMar>
      </w:tblPr>
      <w:tblGrid>
        <w:gridCol w:w="1323"/>
        <w:gridCol w:w="1127"/>
        <w:gridCol w:w="2658"/>
        <w:gridCol w:w="1617"/>
        <w:gridCol w:w="1617"/>
      </w:tblGrid>
      <w:tr>
        <w:tblPrEx>
          <w:shd w:val="clear" w:color="auto" w:fill="auto"/>
          <w:tblCellMar>
            <w:top w:w="0" w:type="dxa"/>
            <w:left w:w="0" w:type="dxa"/>
            <w:bottom w:w="0" w:type="dxa"/>
            <w:right w:w="0" w:type="dxa"/>
          </w:tblCellMar>
        </w:tblPrEx>
        <w:trPr>
          <w:trHeight w:val="500" w:hRule="atLeast"/>
        </w:trPr>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12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3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12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政策宣传到位、群众知晓率（%）</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w:t>
            </w:r>
          </w:p>
        </w:tc>
      </w:tr>
      <w:tr>
        <w:tblPrEx>
          <w:tblCellMar>
            <w:top w:w="0" w:type="dxa"/>
            <w:left w:w="0" w:type="dxa"/>
            <w:bottom w:w="0" w:type="dxa"/>
            <w:right w:w="0" w:type="dxa"/>
          </w:tblCellMar>
        </w:tblPrEx>
        <w:trPr>
          <w:trHeight w:val="500" w:hRule="atLeast"/>
        </w:trPr>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农村因病致贫人数</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逐渐减少</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32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农村贫困患者保障政策满意度（%）</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w:t>
            </w:r>
          </w:p>
        </w:tc>
      </w:tr>
    </w:tbl>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Times New Roman"/>
          <w:sz w:val="32"/>
          <w:szCs w:val="32"/>
          <w:highlight w:val="none"/>
          <w:lang w:val="en-US" w:eastAsia="zh-CN"/>
        </w:rPr>
      </w:pPr>
    </w:p>
    <w:p>
      <w:pPr>
        <w:pStyle w:val="23"/>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60" w:lineRule="exact"/>
        <w:ind w:left="0" w:leftChars="0" w:firstLine="643" w:firstLineChars="200"/>
        <w:textAlignment w:val="auto"/>
        <w:rPr>
          <w:highlight w:val="none"/>
          <w:lang w:bidi="ar"/>
        </w:rPr>
      </w:pPr>
      <w:r>
        <w:rPr>
          <w:rFonts w:hint="eastAsia" w:ascii="黑体" w:hAnsi="黑体"/>
          <w:highlight w:val="none"/>
        </w:rPr>
        <w:t>主要经验及做法、存在的问题及原因分析</w:t>
      </w:r>
    </w:p>
    <w:p>
      <w:pPr>
        <w:pStyle w:val="25"/>
        <w:keepNext w:val="0"/>
        <w:keepLines w:val="0"/>
        <w:pageBreakBefore w:val="0"/>
        <w:widowControl w:val="0"/>
        <w:numPr>
          <w:ilvl w:val="0"/>
          <w:numId w:val="8"/>
        </w:numPr>
        <w:kinsoku/>
        <w:wordWrap/>
        <w:overflowPunct/>
        <w:topLinePunct w:val="0"/>
        <w:autoSpaceDE/>
        <w:autoSpaceDN/>
        <w:bidi w:val="0"/>
        <w:adjustRightInd w:val="0"/>
        <w:snapToGrid w:val="0"/>
        <w:spacing w:before="0" w:after="0" w:line="560" w:lineRule="exact"/>
        <w:ind w:left="0" w:leftChars="0" w:firstLine="643" w:firstLineChars="200"/>
        <w:textAlignment w:val="auto"/>
        <w:rPr>
          <w:lang w:bidi="ar"/>
        </w:rPr>
      </w:pPr>
      <w:r>
        <w:rPr>
          <w:rFonts w:hint="eastAsia"/>
          <w:lang w:bidi="ar"/>
        </w:rPr>
        <w:t>主要经验及做法</w:t>
      </w:r>
    </w:p>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前期积极做好项目支出预算执行的各项准备工作，提出具体的专项资金分配方案或计划，推进全过程项目支出绩效管理，开展绩效监控，实施绩效评价，强化评价结果运用，认真组织绩效自评，确保绩效目标实现。</w:t>
      </w:r>
    </w:p>
    <w:p>
      <w:pPr>
        <w:pStyle w:val="25"/>
        <w:pageBreakBefore w:val="0"/>
        <w:widowControl w:val="0"/>
        <w:numPr>
          <w:ilvl w:val="0"/>
          <w:numId w:val="8"/>
        </w:numPr>
        <w:kinsoku/>
        <w:wordWrap/>
        <w:overflowPunct/>
        <w:topLinePunct w:val="0"/>
        <w:autoSpaceDE/>
        <w:autoSpaceDN/>
        <w:bidi w:val="0"/>
        <w:adjustRightInd w:val="0"/>
        <w:snapToGrid w:val="0"/>
        <w:spacing w:before="0" w:after="0" w:line="560" w:lineRule="exact"/>
        <w:ind w:left="0" w:leftChars="0" w:firstLine="643" w:firstLineChars="200"/>
        <w:textAlignment w:val="auto"/>
        <w:rPr>
          <w:lang w:bidi="ar"/>
        </w:rPr>
      </w:pPr>
      <w:r>
        <w:rPr>
          <w:rFonts w:hint="eastAsia"/>
          <w:lang w:bidi="ar"/>
        </w:rPr>
        <w:t>存在的问题及原因分析</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420" w:firstLineChars="200"/>
        <w:textAlignment w:val="auto"/>
        <w:outlineLvl w:val="9"/>
        <w:rPr>
          <w:rFonts w:ascii="仿宋_GB2312" w:hAnsi="宋体" w:eastAsia="仿宋_GB2312" w:cs="仿宋_GB2312"/>
          <w:sz w:val="32"/>
          <w:szCs w:val="32"/>
          <w:shd w:val="clear" w:color="auto" w:fill="FFFFFF"/>
        </w:rPr>
      </w:pPr>
      <w:r>
        <w:rPr>
          <w:rFonts w:hint="eastAsia"/>
          <w:b w:val="0"/>
          <w:lang w:bidi="ar"/>
        </w:rPr>
        <w:t xml:space="preserve"> </w:t>
      </w:r>
      <w:r>
        <w:rPr>
          <w:b w:val="0"/>
          <w:lang w:bidi="ar"/>
        </w:rPr>
        <w:t xml:space="preserve">  </w:t>
      </w:r>
      <w:r>
        <w:rPr>
          <w:rFonts w:hint="eastAsia" w:ascii="仿宋_GB2312" w:eastAsia="仿宋_GB2312"/>
          <w:sz w:val="32"/>
          <w:szCs w:val="32"/>
        </w:rPr>
        <w:t>我单位</w:t>
      </w:r>
      <w:r>
        <w:rPr>
          <w:rFonts w:hint="eastAsia" w:ascii="仿宋_GB2312" w:hAnsi="仿宋_GB2312" w:eastAsia="仿宋_GB2312" w:cs="仿宋_GB2312"/>
          <w:bCs/>
          <w:color w:val="000000" w:themeColor="text1"/>
          <w:spacing w:val="-4"/>
          <w:sz w:val="32"/>
          <w:szCs w:val="32"/>
          <w14:textFill>
            <w14:solidFill>
              <w14:schemeClr w14:val="tx1"/>
            </w14:solidFill>
          </w14:textFill>
        </w:rPr>
        <w:t>为新成立单位</w:t>
      </w:r>
      <w:r>
        <w:rPr>
          <w:rFonts w:ascii="仿宋_GB2312" w:hAnsi="宋体" w:eastAsia="仿宋_GB2312" w:cs="仿宋_GB2312"/>
          <w:sz w:val="32"/>
          <w:szCs w:val="32"/>
          <w:shd w:val="clear" w:color="auto" w:fill="FFFFFF"/>
        </w:rPr>
        <w:t>，</w:t>
      </w:r>
      <w:r>
        <w:rPr>
          <w:rFonts w:hint="eastAsia" w:ascii="仿宋_GB2312" w:hAnsi="宋体" w:eastAsia="仿宋_GB2312" w:cs="仿宋_GB2312"/>
          <w:sz w:val="32"/>
          <w:szCs w:val="32"/>
          <w:shd w:val="clear" w:color="auto" w:fill="FFFFFF"/>
          <w:lang w:val="en-US" w:eastAsia="zh-CN"/>
        </w:rPr>
        <w:t>2019年</w:t>
      </w:r>
      <w:r>
        <w:rPr>
          <w:rFonts w:hint="eastAsia" w:ascii="仿宋_GB2312" w:hAnsi="宋体" w:eastAsia="仿宋_GB2312" w:cs="仿宋_GB2312"/>
          <w:sz w:val="32"/>
          <w:szCs w:val="32"/>
          <w:shd w:val="clear" w:color="auto" w:fill="FFFFFF"/>
        </w:rPr>
        <w:t>4月中旬各项工作才逐步正常运转</w:t>
      </w:r>
      <w:r>
        <w:rPr>
          <w:rFonts w:ascii="仿宋_GB2312" w:hAnsi="宋体" w:eastAsia="仿宋_GB2312" w:cs="仿宋_GB2312"/>
          <w:sz w:val="32"/>
          <w:szCs w:val="32"/>
          <w:shd w:val="clear" w:color="auto" w:fill="FFFFFF"/>
        </w:rPr>
        <w:t>。</w:t>
      </w:r>
      <w:r>
        <w:rPr>
          <w:rFonts w:hint="eastAsia" w:ascii="仿宋_GB2312" w:hAnsi="宋体" w:eastAsia="仿宋_GB2312" w:cs="仿宋_GB2312"/>
          <w:sz w:val="32"/>
          <w:szCs w:val="32"/>
          <w:shd w:val="clear" w:color="auto" w:fill="FFFFFF"/>
        </w:rPr>
        <w:t>单位</w:t>
      </w:r>
      <w:r>
        <w:rPr>
          <w:rFonts w:hint="eastAsia" w:ascii="仿宋_GB2312" w:eastAsia="仿宋_GB2312" w:hAnsiTheme="minorEastAsia"/>
          <w:sz w:val="32"/>
          <w:szCs w:val="32"/>
        </w:rPr>
        <w:t>设置绩效监控工作组织机构新成立，各工作不熟。</w:t>
      </w:r>
      <w:r>
        <w:rPr>
          <w:rFonts w:ascii="仿宋_GB2312" w:hAnsi="宋体" w:eastAsia="仿宋_GB2312" w:cs="仿宋_GB2312"/>
          <w:sz w:val="32"/>
          <w:szCs w:val="32"/>
          <w:shd w:val="clear" w:color="auto" w:fill="FFFFFF"/>
        </w:rPr>
        <w:t>通过制定</w:t>
      </w:r>
      <w:r>
        <w:rPr>
          <w:rFonts w:hint="eastAsia" w:ascii="仿宋_GB2312" w:eastAsia="仿宋_GB2312" w:hAnsiTheme="minorEastAsia"/>
          <w:sz w:val="32"/>
          <w:szCs w:val="32"/>
        </w:rPr>
        <w:t>年度监控计划</w:t>
      </w:r>
      <w:r>
        <w:rPr>
          <w:rFonts w:ascii="仿宋_GB2312" w:hAnsi="宋体" w:eastAsia="仿宋_GB2312" w:cs="仿宋_GB2312"/>
          <w:sz w:val="32"/>
          <w:szCs w:val="32"/>
          <w:shd w:val="clear" w:color="auto" w:fill="FFFFFF"/>
        </w:rPr>
        <w:t>，确定工作目标，明确组织实施措施和策略，有效地指导</w:t>
      </w:r>
      <w:r>
        <w:rPr>
          <w:rFonts w:hint="eastAsia" w:ascii="仿宋_GB2312" w:hAnsi="宋体" w:eastAsia="仿宋_GB2312" w:cs="仿宋_GB2312"/>
          <w:sz w:val="32"/>
          <w:szCs w:val="32"/>
          <w:shd w:val="clear" w:color="auto" w:fill="FFFFFF"/>
        </w:rPr>
        <w:t>下半年</w:t>
      </w:r>
      <w:r>
        <w:rPr>
          <w:rFonts w:ascii="仿宋_GB2312" w:hAnsi="宋体" w:eastAsia="仿宋_GB2312" w:cs="仿宋_GB2312"/>
          <w:sz w:val="32"/>
          <w:szCs w:val="32"/>
          <w:shd w:val="clear" w:color="auto" w:fill="FFFFFF"/>
        </w:rPr>
        <w:t>工作的正常有序开展。</w:t>
      </w:r>
    </w:p>
    <w:p>
      <w:pPr>
        <w:pStyle w:val="2"/>
        <w:keepNext w:val="0"/>
        <w:keepLines w:val="0"/>
        <w:pageBreakBefore w:val="0"/>
        <w:kinsoku/>
        <w:wordWrap/>
        <w:overflowPunct/>
        <w:topLinePunct w:val="0"/>
        <w:autoSpaceDE/>
        <w:autoSpaceDN/>
        <w:bidi w:val="0"/>
        <w:spacing w:line="520" w:lineRule="exact"/>
        <w:textAlignment w:val="auto"/>
        <w:outlineLvl w:val="9"/>
        <w:rPr>
          <w:rFonts w:hint="eastAsia" w:ascii="仿宋_GB2312" w:eastAsia="仿宋_GB2312" w:hAnsiTheme="minorEastAsia" w:cstheme="minorBidi"/>
          <w:kern w:val="2"/>
          <w:sz w:val="32"/>
          <w:szCs w:val="32"/>
          <w:lang w:val="en-US" w:eastAsia="zh-CN" w:bidi="ar-SA"/>
        </w:rPr>
      </w:pPr>
      <w:r>
        <w:rPr>
          <w:rFonts w:hint="eastAsia" w:ascii="仿宋_GB2312" w:eastAsia="仿宋_GB2312" w:hAnsiTheme="minorEastAsia" w:cstheme="minorBidi"/>
          <w:kern w:val="2"/>
          <w:sz w:val="32"/>
          <w:szCs w:val="32"/>
          <w:lang w:val="en-US" w:eastAsia="zh-CN" w:bidi="ar-SA"/>
        </w:rPr>
        <w:t>该项目绩效管理欠缺，绩效管理工作还存在绩效目标申报不够全面，绩效指标量化不够，绩效评价手段和方法有待优化，绩效自评组织实施还不够规范，项目完成值等问题。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六、</w:t>
      </w:r>
      <w:r>
        <w:rPr>
          <w:rFonts w:hint="eastAsia" w:ascii="黑体" w:hAnsi="黑体" w:eastAsia="黑体" w:cs="黑体"/>
          <w:b/>
          <w:bCs/>
          <w:sz w:val="32"/>
          <w:szCs w:val="32"/>
        </w:rPr>
        <w:t>有关建议</w:t>
      </w:r>
    </w:p>
    <w:p>
      <w:pPr>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pPr>
        <w:pStyle w:val="23"/>
        <w:pageBreakBefore w:val="0"/>
        <w:widowControl w:val="0"/>
        <w:numPr>
          <w:ilvl w:val="0"/>
          <w:numId w:val="0"/>
        </w:numPr>
        <w:kinsoku/>
        <w:wordWrap/>
        <w:overflowPunct/>
        <w:topLinePunct w:val="0"/>
        <w:autoSpaceDE/>
        <w:autoSpaceDN/>
        <w:bidi w:val="0"/>
        <w:adjustRightInd w:val="0"/>
        <w:snapToGrid w:val="0"/>
        <w:spacing w:before="0" w:after="0" w:line="560" w:lineRule="exact"/>
        <w:ind w:leftChars="200"/>
        <w:textAlignment w:val="auto"/>
        <w:rPr>
          <w:rFonts w:ascii="黑体" w:hAnsi="黑体"/>
        </w:rPr>
      </w:pPr>
      <w:r>
        <w:rPr>
          <w:rFonts w:hint="eastAsia" w:ascii="黑体" w:hAnsi="黑体"/>
          <w:lang w:val="en-US" w:eastAsia="zh-CN"/>
        </w:rPr>
        <w:t>七、</w:t>
      </w:r>
      <w:r>
        <w:rPr>
          <w:rFonts w:hint="eastAsia" w:ascii="黑体" w:hAnsi="黑体"/>
        </w:rPr>
        <w:t>其他需要说明的问题</w:t>
      </w:r>
    </w:p>
    <w:p>
      <w:pPr>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无其他说明问题。</w:t>
      </w:r>
    </w:p>
    <w:p>
      <w:pPr>
        <w:pageBreakBefore w:val="0"/>
        <w:widowControl w:val="0"/>
        <w:kinsoku/>
        <w:wordWrap/>
        <w:overflowPunct/>
        <w:topLinePunct w:val="0"/>
        <w:bidi w:val="0"/>
        <w:adjustRightInd w:val="0"/>
        <w:snapToGrid w:val="0"/>
        <w:spacing w:line="600" w:lineRule="exact"/>
        <w:textAlignment w:val="auto"/>
        <w:rPr>
          <w:rFonts w:ascii="仿宋_GB2312" w:hAnsi="仿宋" w:eastAsia="仿宋_GB2312" w:cs="宋体"/>
          <w:sz w:val="32"/>
          <w:szCs w:val="32"/>
          <w:lang w:bidi="ar"/>
        </w:rPr>
      </w:pPr>
    </w:p>
    <w:p>
      <w:pPr>
        <w:pageBreakBefore w:val="0"/>
        <w:widowControl w:val="0"/>
        <w:kinsoku/>
        <w:wordWrap/>
        <w:overflowPunct/>
        <w:topLinePunct w:val="0"/>
        <w:bidi w:val="0"/>
        <w:adjustRightInd w:val="0"/>
        <w:snapToGrid w:val="0"/>
        <w:spacing w:line="60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w:t>
      </w:r>
      <w:r>
        <w:rPr>
          <w:rFonts w:hint="eastAsia" w:ascii="仿宋_GB2312" w:hAnsi="仿宋" w:eastAsia="仿宋_GB2312" w:cs="宋体"/>
          <w:sz w:val="32"/>
          <w:szCs w:val="32"/>
          <w:lang w:eastAsia="zh-CN" w:bidi="ar"/>
        </w:rPr>
        <w:t>叶城县医疗保障局城乡医疗补助项目</w:t>
      </w:r>
      <w:r>
        <w:rPr>
          <w:rFonts w:hint="eastAsia" w:ascii="仿宋_GB2312" w:hAnsi="仿宋" w:eastAsia="仿宋_GB2312" w:cs="宋体"/>
          <w:sz w:val="32"/>
          <w:szCs w:val="32"/>
          <w:lang w:bidi="ar"/>
        </w:rPr>
        <w:t>支出绩效目标申报表</w:t>
      </w:r>
    </w:p>
    <w:p>
      <w:pPr>
        <w:pageBreakBefore w:val="0"/>
        <w:widowControl w:val="0"/>
        <w:kinsoku/>
        <w:wordWrap/>
        <w:overflowPunct/>
        <w:topLinePunct w:val="0"/>
        <w:bidi w:val="0"/>
        <w:adjustRightInd w:val="0"/>
        <w:snapToGrid w:val="0"/>
        <w:spacing w:line="60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叶城县医疗保障局城乡医疗补助项目</w:t>
      </w:r>
      <w:r>
        <w:rPr>
          <w:rFonts w:hint="eastAsia" w:ascii="仿宋_GB2312" w:hAnsi="仿宋" w:eastAsia="仿宋_GB2312" w:cs="宋体"/>
          <w:sz w:val="32"/>
          <w:szCs w:val="32"/>
          <w:lang w:bidi="ar"/>
        </w:rPr>
        <w:t>支出绩效自评表</w:t>
      </w:r>
    </w:p>
    <w:p>
      <w:pPr>
        <w:pageBreakBefore w:val="0"/>
        <w:widowControl w:val="0"/>
        <w:kinsoku/>
        <w:wordWrap/>
        <w:overflowPunct/>
        <w:topLinePunct w:val="0"/>
        <w:bidi w:val="0"/>
        <w:adjustRightInd w:val="0"/>
        <w:snapToGrid w:val="0"/>
        <w:spacing w:line="60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叶城县医疗保障局城乡医疗补助项目</w:t>
      </w:r>
      <w:r>
        <w:rPr>
          <w:rFonts w:hint="eastAsia" w:ascii="仿宋_GB2312" w:hAnsi="仿宋" w:eastAsia="仿宋_GB2312" w:cs="宋体"/>
          <w:sz w:val="32"/>
          <w:szCs w:val="32"/>
          <w:lang w:bidi="ar"/>
        </w:rPr>
        <w:t>支出绩效评价指标体系</w:t>
      </w:r>
    </w:p>
    <w:p>
      <w:pPr>
        <w:pageBreakBefore w:val="0"/>
        <w:widowControl w:val="0"/>
        <w:kinsoku/>
        <w:wordWrap/>
        <w:overflowPunct/>
        <w:topLinePunct w:val="0"/>
        <w:bidi w:val="0"/>
        <w:adjustRightInd w:val="0"/>
        <w:snapToGrid w:val="0"/>
        <w:spacing w:line="60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9AAD38"/>
    <w:multiLevelType w:val="singleLevel"/>
    <w:tmpl w:val="909AAD38"/>
    <w:lvl w:ilvl="0" w:tentative="0">
      <w:start w:val="1"/>
      <w:numFmt w:val="decimal"/>
      <w:lvlText w:val="%1."/>
      <w:lvlJc w:val="left"/>
      <w:pPr>
        <w:tabs>
          <w:tab w:val="left" w:pos="312"/>
        </w:tabs>
      </w:pPr>
    </w:lvl>
  </w:abstractNum>
  <w:abstractNum w:abstractNumId="1">
    <w:nsid w:val="0B8C0C7F"/>
    <w:multiLevelType w:val="singleLevel"/>
    <w:tmpl w:val="0B8C0C7F"/>
    <w:lvl w:ilvl="0" w:tentative="0">
      <w:start w:val="1"/>
      <w:numFmt w:val="decimal"/>
      <w:lvlText w:val="%1."/>
      <w:lvlJc w:val="left"/>
      <w:pPr>
        <w:tabs>
          <w:tab w:val="left" w:pos="312"/>
        </w:tabs>
      </w:pPr>
    </w:lvl>
  </w:abstractNum>
  <w:abstractNum w:abstractNumId="2">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1"/>
  </w:num>
  <w:num w:numId="5">
    <w:abstractNumId w:val="3"/>
  </w:num>
  <w:num w:numId="6">
    <w:abstractNumId w:val="5"/>
  </w:num>
  <w:num w:numId="7">
    <w:abstractNumId w:val="0"/>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1654B"/>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6A16D5"/>
    <w:rsid w:val="017949AC"/>
    <w:rsid w:val="0181630D"/>
    <w:rsid w:val="01BE6316"/>
    <w:rsid w:val="02600250"/>
    <w:rsid w:val="07AE4845"/>
    <w:rsid w:val="080C04E1"/>
    <w:rsid w:val="0D875083"/>
    <w:rsid w:val="0FD332FC"/>
    <w:rsid w:val="112B72B0"/>
    <w:rsid w:val="119650C2"/>
    <w:rsid w:val="141C7387"/>
    <w:rsid w:val="154C0A2F"/>
    <w:rsid w:val="191A55AB"/>
    <w:rsid w:val="19BF1246"/>
    <w:rsid w:val="19D551C5"/>
    <w:rsid w:val="217F35A7"/>
    <w:rsid w:val="22E87E64"/>
    <w:rsid w:val="22F200D6"/>
    <w:rsid w:val="231D7175"/>
    <w:rsid w:val="23564B26"/>
    <w:rsid w:val="24E73B1F"/>
    <w:rsid w:val="24ED67D6"/>
    <w:rsid w:val="26F03C06"/>
    <w:rsid w:val="2A3402AA"/>
    <w:rsid w:val="2A547683"/>
    <w:rsid w:val="2B53652B"/>
    <w:rsid w:val="2D592DA9"/>
    <w:rsid w:val="306A4501"/>
    <w:rsid w:val="31C366C0"/>
    <w:rsid w:val="32C20978"/>
    <w:rsid w:val="32CB41AC"/>
    <w:rsid w:val="33CA34B6"/>
    <w:rsid w:val="355839A0"/>
    <w:rsid w:val="373D1118"/>
    <w:rsid w:val="39B64B4B"/>
    <w:rsid w:val="3B393C97"/>
    <w:rsid w:val="3BC01B4C"/>
    <w:rsid w:val="3BF764ED"/>
    <w:rsid w:val="3BFC179C"/>
    <w:rsid w:val="3DBE7D68"/>
    <w:rsid w:val="3FA22117"/>
    <w:rsid w:val="40491D8F"/>
    <w:rsid w:val="41555D52"/>
    <w:rsid w:val="46116DF7"/>
    <w:rsid w:val="46C16BC4"/>
    <w:rsid w:val="48B16260"/>
    <w:rsid w:val="4AE50FF1"/>
    <w:rsid w:val="4B194228"/>
    <w:rsid w:val="4EE3499A"/>
    <w:rsid w:val="509F44DE"/>
    <w:rsid w:val="50D33240"/>
    <w:rsid w:val="51A00720"/>
    <w:rsid w:val="53960EC2"/>
    <w:rsid w:val="55945462"/>
    <w:rsid w:val="56F75BE8"/>
    <w:rsid w:val="57964064"/>
    <w:rsid w:val="58563FFA"/>
    <w:rsid w:val="5A781A20"/>
    <w:rsid w:val="5B196194"/>
    <w:rsid w:val="5DF331BB"/>
    <w:rsid w:val="61984D0B"/>
    <w:rsid w:val="65C40F86"/>
    <w:rsid w:val="664E79CC"/>
    <w:rsid w:val="666A0059"/>
    <w:rsid w:val="667765BF"/>
    <w:rsid w:val="682C70E4"/>
    <w:rsid w:val="68374BE0"/>
    <w:rsid w:val="68AC0EA3"/>
    <w:rsid w:val="69A23576"/>
    <w:rsid w:val="69A8293F"/>
    <w:rsid w:val="6A1D5326"/>
    <w:rsid w:val="6A913DA6"/>
    <w:rsid w:val="6E7647F8"/>
    <w:rsid w:val="6EC1160E"/>
    <w:rsid w:val="713B652C"/>
    <w:rsid w:val="72470EB9"/>
    <w:rsid w:val="7300252F"/>
    <w:rsid w:val="74BA3FCC"/>
    <w:rsid w:val="764D188F"/>
    <w:rsid w:val="7775238E"/>
    <w:rsid w:val="77E547D9"/>
    <w:rsid w:val="788242BC"/>
    <w:rsid w:val="79FE7372"/>
    <w:rsid w:val="7A8638D9"/>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qFormat/>
    <w:uiPriority w:val="0"/>
    <w:pPr>
      <w:widowControl/>
      <w:spacing w:after="160" w:line="240" w:lineRule="exact"/>
      <w:jc w:val="left"/>
    </w:pPr>
    <w:rPr>
      <w:rFonts w:ascii="Times New Roman" w:hAnsi="Times New Roman" w:eastAsia="宋体" w:cs="Times New Roman"/>
      <w:szCs w:val="22"/>
    </w:rPr>
  </w:style>
  <w:style w:type="paragraph" w:styleId="6">
    <w:name w:val="annotation text"/>
    <w:basedOn w:val="1"/>
    <w:semiHidden/>
    <w:unhideWhenUsed/>
    <w:qFormat/>
    <w:uiPriority w:val="99"/>
    <w:pPr>
      <w:jc w:val="left"/>
    </w:pPr>
  </w:style>
  <w:style w:type="paragraph" w:styleId="7">
    <w:name w:val="toc 3"/>
    <w:basedOn w:val="1"/>
    <w:next w:val="1"/>
    <w:semiHidden/>
    <w:unhideWhenUsed/>
    <w:qFormat/>
    <w:uiPriority w:val="39"/>
    <w:rPr>
      <w:rFonts w:eastAsia="仿宋_GB2312"/>
      <w:sz w:val="28"/>
    </w:rPr>
  </w:style>
  <w:style w:type="paragraph" w:styleId="8">
    <w:name w:val="Balloon Text"/>
    <w:basedOn w:val="1"/>
    <w:link w:val="22"/>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rPr>
      <w:rFonts w:eastAsia="仿宋_GB2312"/>
      <w:sz w:val="28"/>
    </w:rPr>
  </w:style>
  <w:style w:type="paragraph" w:styleId="12">
    <w:name w:val="toc 2"/>
    <w:basedOn w:val="1"/>
    <w:next w:val="1"/>
    <w:unhideWhenUsed/>
    <w:qFormat/>
    <w:uiPriority w:val="39"/>
    <w:rPr>
      <w:rFonts w:eastAsia="仿宋_GB2312"/>
      <w:sz w:val="28"/>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customStyle="1" w:styleId="18">
    <w:name w:val="标题 1 字符"/>
    <w:basedOn w:val="16"/>
    <w:link w:val="3"/>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6"/>
    <w:link w:val="10"/>
    <w:qFormat/>
    <w:uiPriority w:val="99"/>
    <w:rPr>
      <w:sz w:val="18"/>
      <w:szCs w:val="18"/>
    </w:rPr>
  </w:style>
  <w:style w:type="character" w:customStyle="1" w:styleId="21">
    <w:name w:val="页脚 字符"/>
    <w:basedOn w:val="16"/>
    <w:link w:val="9"/>
    <w:qFormat/>
    <w:uiPriority w:val="99"/>
    <w:rPr>
      <w:sz w:val="18"/>
      <w:szCs w:val="18"/>
    </w:rPr>
  </w:style>
  <w:style w:type="character" w:customStyle="1" w:styleId="22">
    <w:name w:val="批注框文本 字符"/>
    <w:basedOn w:val="16"/>
    <w:link w:val="8"/>
    <w:semiHidden/>
    <w:qFormat/>
    <w:uiPriority w:val="99"/>
    <w:rPr>
      <w:sz w:val="18"/>
      <w:szCs w:val="18"/>
    </w:rPr>
  </w:style>
  <w:style w:type="paragraph" w:customStyle="1" w:styleId="23">
    <w:name w:val="标题1"/>
    <w:basedOn w:val="3"/>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6"/>
    <w:link w:val="4"/>
    <w:qFormat/>
    <w:uiPriority w:val="9"/>
    <w:rPr>
      <w:rFonts w:asciiTheme="majorHAnsi" w:hAnsiTheme="majorHAnsi" w:eastAsiaTheme="majorEastAsia" w:cstheme="majorBidi"/>
      <w:b/>
      <w:bCs/>
      <w:sz w:val="32"/>
      <w:szCs w:val="32"/>
    </w:rPr>
  </w:style>
  <w:style w:type="paragraph" w:customStyle="1" w:styleId="25">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5"/>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6"/>
    <w:link w:val="5"/>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6"/>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3</TotalTime>
  <ScaleCrop>false</ScaleCrop>
  <LinksUpToDate>false</LinksUpToDate>
  <CharactersWithSpaces>6006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2023-12-14T05:03:03Z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