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喀什地区叶城县2019年残疾人事业发展补助项目支出绩效评价报告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项目名称：2019年残疾人事业发展补助项目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实施单位：叶城县残疾人联合会</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评价部门：叶城县残疾人联合会</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pStyle w:val="2"/>
        <w:rPr>
          <w:rFonts w:ascii="仿宋_GB2312" w:hAnsi="仿宋" w:eastAsia="仿宋_GB2312" w:cs="Times New Roman"/>
          <w:spacing w:val="-2"/>
          <w:sz w:val="36"/>
          <w:szCs w:val="36"/>
        </w:rPr>
      </w:pPr>
    </w:p>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afterLines="50" w:line="600" w:lineRule="exact"/>
        <w:jc w:val="both"/>
        <w:rPr>
          <w:rFonts w:ascii="方正小标宋简体" w:hAnsi="仿宋_GB2312" w:eastAsia="方正小标宋简体" w:cs="仿宋_GB2312"/>
          <w:color w:val="FF0000"/>
          <w:kern w:val="0"/>
          <w:sz w:val="44"/>
          <w:szCs w:val="44"/>
          <w:shd w:val="clear" w:color="auto" w:fill="FFFFFF"/>
        </w:rPr>
      </w:pP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19"/>
        <w:keepNext w:val="0"/>
        <w:keepLines w:val="0"/>
        <w:pageBreakBefore w:val="0"/>
        <w:widowControl w:val="0"/>
        <w:numPr>
          <w:ilvl w:val="0"/>
          <w:numId w:val="3"/>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项目背景：为我县16354名残疾人康复服务事业，其中：精神病康复（服药200名）残疾人83名，残疾脑瘫儿童康复救助残疾人83名、基本康复服务及精准康复服务的残疾人2510名，享受残疾人辅助器具购置费，基本辅助器具适配的残疾人3040名，残疾人住宿制托养服务的残疾人60名，400名肢体残疾人发放机动轮椅车燃油补贴，110名智力精神和重度残疾人发放残疾评定补贴，100名康复专业技术人员培训（社区康复协调员培训）及康复人才培养专业技术人员培训，390名贫困残疾人实用技术培训，110名贫困残青状年文盲扫盲培训疾人实用技术培训，9191名残疾人进行专项调查整理。同时也能更好地为残疾人精准康复服务，助力我县脱贫攻坚，2020年最终达到“人人享有康复服务”目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人员情况：2019年我局编制人数5人，其中：行政人员编制4人，工勤人员编制1人。实有在职人数6人，其中：行政在职5人，工勤在职人数1人，退休人员6人，遗属补助人员1人。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ascii="仿宋_GB2312" w:hAnsi="仿宋" w:eastAsia="仿宋_GB2312"/>
          <w:bCs/>
          <w:spacing w:val="-4"/>
          <w:sz w:val="32"/>
          <w:szCs w:val="32"/>
        </w:rPr>
      </w:pPr>
      <w:r>
        <w:rPr>
          <w:rFonts w:hint="eastAsia" w:ascii="仿宋_GB2312" w:hAnsi="仿宋" w:eastAsia="仿宋_GB2312"/>
          <w:bCs/>
          <w:spacing w:val="-4"/>
          <w:sz w:val="32"/>
          <w:szCs w:val="32"/>
        </w:rPr>
        <w:t>2．机构情况。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截止到2019年12月，该局内设机构为1个，即：根据职责，纳入2019年部门预算编制范围的有1个内设机构。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rPr>
        <w:t>1）</w:t>
      </w:r>
      <w:r>
        <w:rPr>
          <w:rFonts w:hint="eastAsia" w:ascii="仿宋_GB2312" w:hAnsi="仿宋" w:eastAsia="仿宋_GB2312"/>
          <w:bCs/>
          <w:spacing w:val="-4"/>
          <w:sz w:val="32"/>
          <w:szCs w:val="32"/>
          <w:lang w:val="en-US" w:eastAsia="zh-CN"/>
        </w:rPr>
        <w:t>办公室负责单位内务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rPr>
        <w:t>2）</w:t>
      </w:r>
      <w:r>
        <w:rPr>
          <w:rFonts w:hint="eastAsia" w:ascii="仿宋_GB2312" w:hAnsi="仿宋" w:eastAsia="仿宋_GB2312"/>
          <w:bCs/>
          <w:spacing w:val="-4"/>
          <w:sz w:val="32"/>
          <w:szCs w:val="32"/>
          <w:lang w:val="en-US" w:eastAsia="zh-CN"/>
        </w:rPr>
        <w:t>办证（股）负责大厅办残疾证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rPr>
        <w:t>3）</w:t>
      </w:r>
      <w:r>
        <w:rPr>
          <w:rFonts w:hint="eastAsia" w:ascii="仿宋_GB2312" w:hAnsi="仿宋" w:eastAsia="仿宋_GB2312"/>
          <w:bCs/>
          <w:spacing w:val="-4"/>
          <w:sz w:val="32"/>
          <w:szCs w:val="32"/>
          <w:lang w:val="en-US" w:eastAsia="zh-CN"/>
        </w:rPr>
        <w:t>乡镇残疾人服务站（股）负责乡镇残疾人服务（就业，康复，办证）。纳入本年决算编制范围的独立核算单位共 1个。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ascii="仿宋_GB2312" w:hAnsi="仿宋" w:eastAsia="仿宋_GB2312"/>
          <w:bCs/>
          <w:spacing w:val="-4"/>
          <w:sz w:val="32"/>
          <w:szCs w:val="32"/>
        </w:rPr>
      </w:pPr>
      <w:r>
        <w:rPr>
          <w:rFonts w:hint="eastAsia" w:ascii="仿宋_GB2312" w:hAnsi="仿宋" w:eastAsia="仿宋_GB2312"/>
          <w:bCs/>
          <w:spacing w:val="-4"/>
          <w:sz w:val="32"/>
          <w:szCs w:val="32"/>
        </w:rPr>
        <w:t>3．</w:t>
      </w:r>
      <w:r>
        <w:rPr>
          <w:rFonts w:hint="eastAsia" w:ascii="仿宋_GB2312" w:hAnsi="仿宋" w:eastAsia="仿宋_GB2312"/>
          <w:bCs/>
          <w:spacing w:val="-4"/>
          <w:sz w:val="32"/>
          <w:szCs w:val="32"/>
          <w:lang w:val="en-US" w:eastAsia="zh-CN"/>
        </w:rPr>
        <w:t>主要职能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叶城县残疾人联合会位于叶城县育才路行政审批局2楼。主要负责全县残疾人办理残疾证，残疾人各项康复，就业，残疾人两项补贴审核上报，协调各乡镇残疾人服务工作等各项工作，残联由县人民政府领导，承担县人民政府委托的部分行政职能，业务上接受有关部门对口指导项目主要内容及实施情况项目实施前已进行充分调研，并结合我单位实际制定实施，项目实施过程中严格按照该办法进行实施并及时进行监督管理，项目实施后进行及时进行了后期督导，项目资金已按照预期计划执行，不存在截留、挪用等情况。</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cs="宋体"/>
          <w:sz w:val="32"/>
          <w:szCs w:val="32"/>
        </w:rPr>
        <w:t>4.</w:t>
      </w:r>
      <w:r>
        <w:rPr>
          <w:rFonts w:hint="eastAsia" w:ascii="仿宋_GB2312" w:hAnsi="仿宋" w:eastAsia="仿宋_GB2312"/>
          <w:bCs/>
          <w:spacing w:val="-4"/>
          <w:sz w:val="32"/>
          <w:szCs w:val="32"/>
          <w:lang w:val="en-US" w:eastAsia="zh-CN"/>
        </w:rPr>
        <w:t>项目负责人为艾热提·艾力，主要职责为在</w:t>
      </w:r>
      <w:bookmarkStart w:id="8" w:name="_GoBack"/>
      <w:bookmarkEnd w:id="8"/>
      <w:r>
        <w:rPr>
          <w:rFonts w:hint="eastAsia" w:ascii="仿宋_GB2312" w:hAnsi="仿宋" w:eastAsia="仿宋_GB2312"/>
          <w:bCs/>
          <w:spacing w:val="-4"/>
          <w:sz w:val="32"/>
          <w:szCs w:val="32"/>
          <w:lang w:val="en-US" w:eastAsia="zh-CN"/>
        </w:rPr>
        <w:t>项目前期进行可行性研究，指导并监督部门工作安排，制定方案并严格按照该方案指导财务人员进行工作，确保该项目目标实现。</w:t>
      </w:r>
    </w:p>
    <w:p>
      <w:pPr>
        <w:pStyle w:val="25"/>
        <w:keepNext w:val="0"/>
        <w:keepLines w:val="0"/>
        <w:pageBreakBefore w:val="0"/>
        <w:widowControl w:val="0"/>
        <w:kinsoku/>
        <w:wordWrap/>
        <w:overflowPunct/>
        <w:topLinePunct w:val="0"/>
        <w:autoSpaceDE/>
        <w:autoSpaceDN/>
        <w:bidi w:val="0"/>
        <w:spacing w:before="0" w:after="0" w:line="560" w:lineRule="exact"/>
        <w:ind w:left="0" w:leftChars="0" w:firstLine="643" w:firstLineChars="200"/>
        <w:textAlignment w:val="auto"/>
      </w:pPr>
      <w:bookmarkStart w:id="1" w:name="_Toc26401550"/>
      <w:r>
        <w:rPr>
          <w:rFonts w:hint="eastAsia"/>
        </w:rPr>
        <w:t>资金</w:t>
      </w:r>
      <w:bookmarkEnd w:id="1"/>
      <w:r>
        <w:rPr>
          <w:rFonts w:hint="eastAsia"/>
        </w:rPr>
        <w:t>投入和使用情况</w:t>
      </w:r>
    </w:p>
    <w:p>
      <w:pPr>
        <w:keepNext w:val="0"/>
        <w:keepLines w:val="0"/>
        <w:pageBreakBefore w:val="0"/>
        <w:widowControl w:val="0"/>
        <w:kinsoku/>
        <w:wordWrap/>
        <w:overflowPunct/>
        <w:topLinePunct w:val="0"/>
        <w:autoSpaceDE/>
        <w:autoSpaceDN/>
        <w:bidi w:val="0"/>
        <w:spacing w:line="560" w:lineRule="exact"/>
        <w:ind w:left="0" w:leftChars="0" w:firstLine="627" w:firstLineChars="200"/>
        <w:textAlignment w:val="auto"/>
        <w:rPr>
          <w:rFonts w:ascii="楷体_GB2312" w:hAnsi="楷体" w:eastAsia="楷体_GB2312" w:cs="Times New Roman"/>
          <w:b/>
          <w:spacing w:val="-4"/>
          <w:sz w:val="32"/>
          <w:szCs w:val="32"/>
        </w:rPr>
      </w:pPr>
      <w:r>
        <w:rPr>
          <w:rFonts w:hint="eastAsia" w:ascii="楷体_GB2312" w:hAnsi="楷体" w:eastAsia="楷体_GB2312" w:cs="Times New Roman"/>
          <w:b/>
          <w:spacing w:val="-4"/>
          <w:sz w:val="32"/>
          <w:szCs w:val="32"/>
        </w:rPr>
        <w:t>1.项目资金安排落实、总投入等情况分析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outlineLvl w:val="0"/>
        <w:rPr>
          <w:rFonts w:ascii="仿宋_GB2312" w:hAnsi="楷体" w:eastAsia="仿宋_GB2312"/>
          <w:bCs/>
          <w:spacing w:val="-4"/>
          <w:sz w:val="32"/>
          <w:szCs w:val="32"/>
        </w:rPr>
      </w:pPr>
      <w:r>
        <w:rPr>
          <w:rFonts w:hint="eastAsia" w:ascii="仿宋_GB2312" w:hAnsi="仿宋" w:eastAsia="仿宋_GB2312"/>
          <w:bCs/>
          <w:spacing w:val="-4"/>
          <w:sz w:val="32"/>
          <w:szCs w:val="32"/>
          <w:lang w:val="en-US" w:eastAsia="zh-CN"/>
        </w:rPr>
        <w:t>叶城县残疾人事业发展补助项目支出财政拨款上级专项总投入474.79万元，其中财政资474.79万元，其他资金0元，金资金到位474.79万元，资金到位率100%。</w:t>
      </w:r>
    </w:p>
    <w:p>
      <w:pPr>
        <w:keepNext w:val="0"/>
        <w:keepLines w:val="0"/>
        <w:pageBreakBefore w:val="0"/>
        <w:widowControl w:val="0"/>
        <w:kinsoku/>
        <w:wordWrap/>
        <w:overflowPunct/>
        <w:topLinePunct w:val="0"/>
        <w:autoSpaceDE/>
        <w:autoSpaceDN/>
        <w:bidi w:val="0"/>
        <w:spacing w:line="560" w:lineRule="exact"/>
        <w:ind w:left="0" w:leftChars="0" w:firstLine="627" w:firstLineChars="200"/>
        <w:textAlignment w:val="auto"/>
        <w:rPr>
          <w:rFonts w:ascii="楷体_GB2312" w:hAnsi="楷体" w:eastAsia="楷体_GB2312" w:cs="Times New Roman"/>
          <w:b/>
          <w:spacing w:val="-4"/>
          <w:sz w:val="32"/>
          <w:szCs w:val="32"/>
        </w:rPr>
      </w:pPr>
      <w:r>
        <w:rPr>
          <w:rFonts w:hint="eastAsia" w:ascii="楷体_GB2312" w:hAnsi="楷体" w:eastAsia="楷体_GB2312" w:cs="Times New Roman"/>
          <w:b/>
          <w:spacing w:val="-4"/>
          <w:sz w:val="32"/>
          <w:szCs w:val="32"/>
        </w:rPr>
        <w:t>2.项目资金实际使用情况分析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根据喀地财社[2019]27-30号和喀地财社[2019]70号文件精神，到位资金474.79万元，本项目实际支付资金444.3万元，预算执行率93.58%，项目资金主要用于为重度残疾人的康复、残疾人精准康复服务、残疾人实用技术培训、康复人才培养专业技术人员培训、智力精神和重度残疾人残疾评定补贴，基本辅助器具适配，残疾人辅助器具购置费，残疾儿童康复救助，脑瘫儿童康复，精神病康复（服药）医保可不报，住宿制托养，康复工作补助经费等方面。</w:t>
      </w:r>
    </w:p>
    <w:p>
      <w:pPr>
        <w:keepNext w:val="0"/>
        <w:keepLines w:val="0"/>
        <w:pageBreakBefore w:val="0"/>
        <w:widowControl w:val="0"/>
        <w:kinsoku/>
        <w:wordWrap/>
        <w:overflowPunct/>
        <w:topLinePunct w:val="0"/>
        <w:autoSpaceDE/>
        <w:autoSpaceDN/>
        <w:bidi w:val="0"/>
        <w:spacing w:line="560" w:lineRule="exact"/>
        <w:ind w:left="0" w:leftChars="0" w:firstLine="627" w:firstLineChars="200"/>
        <w:textAlignment w:val="auto"/>
        <w:rPr>
          <w:rFonts w:ascii="楷体_GB2312" w:hAnsi="楷体" w:eastAsia="楷体_GB2312" w:cs="Times New Roman"/>
          <w:b/>
          <w:spacing w:val="-4"/>
          <w:sz w:val="32"/>
          <w:szCs w:val="32"/>
        </w:rPr>
      </w:pPr>
      <w:r>
        <w:rPr>
          <w:rFonts w:hint="eastAsia" w:ascii="楷体_GB2312" w:hAnsi="楷体" w:eastAsia="楷体_GB2312" w:cs="Times New Roman"/>
          <w:b/>
          <w:spacing w:val="-4"/>
          <w:sz w:val="32"/>
          <w:szCs w:val="32"/>
        </w:rPr>
        <w:t>3.项目资金管理情况分析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本项目已制定相应的项目资金管理办法《叶城县财政专项资金管理暂行办法》；项目资金管理办法符合国家财经法规和财务管理制度以及有关资金管理办法的规定；资金的拨付有完整的审批程序和手续；不存在截留、挤占、挪用、虚列支出等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根据中央和自治区项目资金管理办法的要求，单位严格按照项目资金规定的专项资金支持的项目条件和范围要求，严格按照有关规定使用管理项目资金。</w:t>
      </w:r>
    </w:p>
    <w:p>
      <w:pPr>
        <w:keepNext w:val="0"/>
        <w:keepLines w:val="0"/>
        <w:pageBreakBefore w:val="0"/>
        <w:widowControl w:val="0"/>
        <w:kinsoku/>
        <w:wordWrap/>
        <w:overflowPunct/>
        <w:topLinePunct w:val="0"/>
        <w:autoSpaceDE/>
        <w:autoSpaceDN/>
        <w:bidi w:val="0"/>
        <w:spacing w:line="560" w:lineRule="exact"/>
        <w:ind w:left="0" w:leftChars="0" w:firstLine="627" w:firstLineChars="200"/>
        <w:textAlignment w:val="auto"/>
        <w:rPr>
          <w:rFonts w:hint="eastAsia" w:ascii="楷体_GB2312" w:hAnsi="楷体" w:eastAsia="楷体_GB2312" w:cs="Times New Roman"/>
          <w:b/>
          <w:spacing w:val="-4"/>
          <w:sz w:val="32"/>
          <w:szCs w:val="32"/>
        </w:rPr>
      </w:pPr>
      <w:r>
        <w:rPr>
          <w:rFonts w:hint="eastAsia" w:ascii="楷体_GB2312" w:hAnsi="楷体" w:eastAsia="楷体_GB2312" w:cs="Times New Roman"/>
          <w:b/>
          <w:spacing w:val="-4"/>
          <w:sz w:val="32"/>
          <w:szCs w:val="32"/>
          <w:lang w:val="en-US" w:eastAsia="zh-CN"/>
        </w:rPr>
        <w:t>4.</w:t>
      </w:r>
      <w:r>
        <w:rPr>
          <w:rFonts w:hint="eastAsia" w:ascii="楷体_GB2312" w:hAnsi="楷体" w:eastAsia="楷体_GB2312" w:cs="Times New Roman"/>
          <w:b/>
          <w:spacing w:val="-4"/>
          <w:sz w:val="32"/>
          <w:szCs w:val="32"/>
        </w:rPr>
        <w:t>残疾人事业发展项目资金的使用范围：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主要用于重度残疾人的康复、残疾人精准康复服务、残疾人实用技术培训、康复人才培养专业技术人员培训、智力精神和重度残疾人残疾评定补贴，基本辅助器具适配，残疾人辅助器具购置费，残疾儿童康复救助，脑瘫儿童康复，精神病康复（服药）医保可不报，住宿制托养，康复工作补助经费等方面。继续宣传贯彻好《自治区残疾人就业条例》，落实好残疾人就业优惠政策，大力开展残疾人就业技能培训，加大征收残疾人就业保障金力度，努力开创残疾人就业工作新局面。</w:t>
      </w:r>
    </w:p>
    <w:p>
      <w:pPr>
        <w:pStyle w:val="25"/>
        <w:keepNext w:val="0"/>
        <w:keepLines w:val="0"/>
        <w:pageBreakBefore w:val="0"/>
        <w:widowControl w:val="0"/>
        <w:kinsoku/>
        <w:wordWrap/>
        <w:overflowPunct/>
        <w:topLinePunct w:val="0"/>
        <w:autoSpaceDE/>
        <w:autoSpaceDN/>
        <w:bidi w:val="0"/>
        <w:spacing w:before="0" w:after="0" w:line="560" w:lineRule="exact"/>
        <w:ind w:left="0" w:leftChars="0" w:firstLine="643" w:firstLineChars="200"/>
        <w:textAlignment w:val="auto"/>
      </w:pPr>
      <w:bookmarkStart w:id="2" w:name="_Toc26401551"/>
      <w:r>
        <w:rPr>
          <w:rFonts w:hint="eastAsia"/>
        </w:rPr>
        <w:t>绩效目标</w:t>
      </w:r>
      <w:bookmarkEnd w:id="2"/>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总体目标为：该项目为2019年残疾人事业发展补助项目，年度预期目标开展好残疾好残疾人儿童补助、精神病服药、精准康复服务、实用技术培训，残疾人辅助器具购置费，基本辅助器具适配等各项工作，更好的服务于全县残疾人，为残疾人安全康复和健康提供了有力保障，进一步减轻了社会负担，确保社会大局和谐。</w:t>
      </w:r>
    </w:p>
    <w:p>
      <w:pPr>
        <w:pStyle w:val="23"/>
        <w:keepNext w:val="0"/>
        <w:keepLines w:val="0"/>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bookmarkStart w:id="3" w:name="_Toc26401552"/>
      <w:r>
        <w:rPr>
          <w:rFonts w:hint="eastAsia"/>
        </w:rPr>
        <w:t>评价工作简述</w:t>
      </w:r>
      <w:bookmarkEnd w:id="3"/>
    </w:p>
    <w:p>
      <w:pPr>
        <w:pStyle w:val="25"/>
        <w:keepNext w:val="0"/>
        <w:keepLines w:val="0"/>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pPr>
      <w:bookmarkStart w:id="4" w:name="_Toc26401553"/>
      <w:r>
        <w:rPr>
          <w:rFonts w:hint="eastAsia"/>
        </w:rPr>
        <w:t>评价目的</w:t>
      </w:r>
      <w:bookmarkEnd w:id="4"/>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本次绩效评价遵循财政部《项目支出绩效评价管理办法》（财预〔2020〕10号）和自治区财政厅《自治区财政支出绩效评价管理暂行办法》（新财预〔2018〕189号）等相关政策文件与规定，旨在法官绩效工资项目实施前期、过程及效果，评价财政预算资金使用的效率及效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通过部门项目支出绩效自评,进一步严格落实《预算法》以及党中央、国务院关于加强预算绩效管理的指示精神,建立健全“花钱问效”的绩效预算管理机制、提升政府效能。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本次评价从残疾人事业发展项目产生的效果角度出发,力求从绩效的角度发现2019年度残疾人事业发展项目中取得的成绩和产生的问题,优化财政支出管理改革,为下一步实施绩效预算奠定基础。</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cs="宋体"/>
          <w:color w:val="000000"/>
          <w:kern w:val="0"/>
          <w:sz w:val="32"/>
          <w:szCs w:val="32"/>
        </w:rPr>
        <w:t>1.</w:t>
      </w:r>
      <w:r>
        <w:rPr>
          <w:rFonts w:hint="eastAsia" w:ascii="仿宋_GB2312" w:hAnsi="仿宋" w:eastAsia="仿宋_GB2312"/>
          <w:bCs/>
          <w:spacing w:val="-4"/>
          <w:sz w:val="32"/>
          <w:szCs w:val="32"/>
          <w:lang w:val="en-US" w:eastAsia="zh-CN"/>
        </w:rPr>
        <w:t>通过评价,了解2019年度残疾人事业发展项目的基本情况对项目背景和目的、项目内容和现状、项目预算做深入调研和分析;</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cs="宋体"/>
          <w:color w:val="000000"/>
          <w:kern w:val="0"/>
          <w:sz w:val="32"/>
          <w:szCs w:val="32"/>
        </w:rPr>
        <w:t>2.</w:t>
      </w:r>
      <w:r>
        <w:rPr>
          <w:rFonts w:hint="eastAsia" w:ascii="仿宋_GB2312" w:hAnsi="仿宋" w:eastAsia="仿宋_GB2312"/>
          <w:bCs/>
          <w:spacing w:val="-4"/>
          <w:sz w:val="32"/>
          <w:szCs w:val="32"/>
          <w:lang w:val="en-US" w:eastAsia="zh-CN"/>
        </w:rPr>
        <w:t>通过评价,了解2019年度残疾人事业发展项目的产出和效果情况、整体绩效状况。</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cs="宋体"/>
          <w:color w:val="000000"/>
          <w:kern w:val="0"/>
          <w:sz w:val="32"/>
          <w:szCs w:val="32"/>
        </w:rPr>
        <w:t>3,</w:t>
      </w:r>
      <w:r>
        <w:rPr>
          <w:rFonts w:hint="eastAsia" w:ascii="仿宋_GB2312" w:hAnsi="仿宋" w:eastAsia="仿宋_GB2312"/>
          <w:bCs/>
          <w:spacing w:val="-4"/>
          <w:sz w:val="32"/>
          <w:szCs w:val="32"/>
          <w:lang w:val="en-US" w:eastAsia="zh-CN"/>
        </w:rPr>
        <w:t>通过评价,发掘2019年度残疾人事业发展项目所产生的现实意义和实际价值:促进我县残疾人队伍的康复素质、激励我县残疾人生活的提高能力、改进健康方法，提升服务水平工作积极性。</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b/>
          <w:bCs/>
          <w:color w:val="C00000"/>
          <w:sz w:val="32"/>
          <w:szCs w:val="32"/>
          <w:highlight w:val="yellow"/>
        </w:rPr>
      </w:pPr>
      <w:r>
        <w:rPr>
          <w:rFonts w:hint="eastAsia" w:ascii="仿宋_GB2312" w:hAnsi="仿宋" w:eastAsia="仿宋_GB2312" w:cs="宋体"/>
          <w:color w:val="000000"/>
          <w:kern w:val="0"/>
          <w:sz w:val="32"/>
          <w:szCs w:val="32"/>
        </w:rPr>
        <w:t>4,</w:t>
      </w:r>
      <w:r>
        <w:rPr>
          <w:rFonts w:hint="eastAsia" w:ascii="仿宋_GB2312" w:hAnsi="仿宋" w:eastAsia="仿宋_GB2312"/>
          <w:bCs/>
          <w:spacing w:val="-4"/>
          <w:sz w:val="32"/>
          <w:szCs w:val="32"/>
          <w:lang w:val="en-US" w:eastAsia="zh-CN"/>
        </w:rPr>
        <w:t>通过评价,了解到该项目资金有效补充了我单位的财务缺口，对我单位落实残疾人服务为民，提升质量，完善便民服务提供了有力的保障。提高了我县残疾人事业工作者的积极性，2019年县残联在压力中前行，在改革中奋进，我县16354名残疾人康复服务事业，其中：精神病康复（服药200名）残疾人83名，残疾脑瘫儿童康复救助残疾人83名、基本康复服务及精准康复服务的残疾人2510名，享受残疾人辅助器具购置费，基本辅助器具适配的残疾人3040名，残疾人住宿制托养服务的残疾人60名，400名肢体残疾人发放机动轮椅车燃油补贴，110名智力精神和重度残疾人发放残疾评定补贴，100名康复专业技术人员培训（社区康复协调员培训）及康复人才培养专业技术人员培训，390名贫困残疾人实用技术培训，110名贫困残青状年文盲扫盲培训疾人实用技术培训，9191名残疾人进行专项调查整理。</w:t>
      </w:r>
    </w:p>
    <w:p>
      <w:pPr>
        <w:pStyle w:val="25"/>
        <w:keepNext w:val="0"/>
        <w:keepLines w:val="0"/>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pPr>
      <w:r>
        <w:rPr>
          <w:rFonts w:hint="eastAsia"/>
        </w:rPr>
        <w:t>本次绩效评价的对象及范围</w:t>
      </w:r>
      <w:bookmarkStart w:id="5" w:name="_Toc26401554"/>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本次评价对象为各乡镇残疾人，评价范围包括专项资金的安排、组织及使用效益。本次评价对象为乡镇16354名残疾人中符合条件的上报单位，单位审核通过后资金拨付到25个乡镇，各乡镇兑现，单位监督兑现情况、部分项目脑瘫儿童残疾人康复，精神病残疾人服药等项目委托医疗机构。</w:t>
      </w:r>
    </w:p>
    <w:p>
      <w:pPr>
        <w:pStyle w:val="25"/>
        <w:keepNext w:val="0"/>
        <w:keepLines w:val="0"/>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pPr>
      <w:r>
        <w:rPr>
          <w:rFonts w:hint="eastAsia"/>
        </w:rPr>
        <w:t>绩效评价原则</w:t>
      </w:r>
      <w:bookmarkEnd w:id="5"/>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lang w:val="en-US" w:eastAsia="zh-CN"/>
        </w:rPr>
        <w:t>本次绩效评价遵循的原则包括：</w:t>
      </w:r>
    </w:p>
    <w:p>
      <w:pPr>
        <w:pStyle w:val="25"/>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科</w:t>
      </w:r>
      <w:r>
        <w:rPr>
          <w:rFonts w:hint="eastAsia" w:ascii="仿宋_GB2312" w:hAnsi="仿宋" w:eastAsia="仿宋_GB2312" w:cstheme="minorBidi"/>
          <w:b w:val="0"/>
          <w:bCs w:val="0"/>
          <w:spacing w:val="-4"/>
          <w:kern w:val="2"/>
          <w:sz w:val="32"/>
          <w:szCs w:val="32"/>
          <w:lang w:val="en-US" w:eastAsia="zh-CN" w:bidi="ar-SA"/>
        </w:rPr>
        <w:t>学公正。绩效评价应当运用科学合理的方法，按照规范的程序，对项目绩效进行客观、公正的反映。</w:t>
      </w:r>
    </w:p>
    <w:p>
      <w:pPr>
        <w:pStyle w:val="25"/>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firstLine="640"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hAnsi="仿宋" w:cs="宋体"/>
          <w:b w:val="0"/>
        </w:rPr>
        <w:t>统</w:t>
      </w:r>
      <w:r>
        <w:rPr>
          <w:rFonts w:hint="eastAsia" w:ascii="仿宋_GB2312" w:hAnsi="仿宋" w:eastAsia="仿宋_GB2312" w:cstheme="minorBidi"/>
          <w:b w:val="0"/>
          <w:bCs w:val="0"/>
          <w:spacing w:val="-4"/>
          <w:kern w:val="2"/>
          <w:sz w:val="32"/>
          <w:szCs w:val="32"/>
          <w:lang w:val="en-US" w:eastAsia="zh-CN" w:bidi="ar-SA"/>
        </w:rPr>
        <w:t>筹兼顾。单位自评、部门评价和财政评价应职责明确，各有侧重，相互衔接。单位自评应由项目单位自主实施，即“谁支出、谁自评”。</w:t>
      </w:r>
    </w:p>
    <w:p>
      <w:pPr>
        <w:pStyle w:val="25"/>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firstLine="640"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hAnsi="仿宋" w:cs="宋体"/>
          <w:b w:val="0"/>
        </w:rPr>
        <w:t>激</w:t>
      </w:r>
      <w:r>
        <w:rPr>
          <w:rFonts w:hint="eastAsia" w:ascii="仿宋_GB2312" w:hAnsi="仿宋" w:eastAsia="仿宋_GB2312" w:cstheme="minorBidi"/>
          <w:b w:val="0"/>
          <w:bCs w:val="0"/>
          <w:spacing w:val="-4"/>
          <w:kern w:val="2"/>
          <w:sz w:val="32"/>
          <w:szCs w:val="32"/>
          <w:lang w:val="en-US" w:eastAsia="zh-CN" w:bidi="ar-SA"/>
        </w:rPr>
        <w:t>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firstLine="640"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hAnsi="仿宋" w:cs="宋体"/>
          <w:b w:val="0"/>
        </w:rPr>
        <w:t>公</w:t>
      </w:r>
      <w:r>
        <w:rPr>
          <w:rFonts w:hint="eastAsia" w:ascii="仿宋_GB2312" w:hAnsi="仿宋" w:eastAsia="仿宋_GB2312" w:cstheme="minorBidi"/>
          <w:b w:val="0"/>
          <w:bCs w:val="0"/>
          <w:spacing w:val="-4"/>
          <w:kern w:val="2"/>
          <w:sz w:val="32"/>
          <w:szCs w:val="32"/>
          <w:lang w:val="en-US" w:eastAsia="zh-CN" w:bidi="ar-SA"/>
        </w:rPr>
        <w:t>开透明。绩效评价结果应依法依规公开，并自觉接受社会监督。</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24"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theme="minorBidi"/>
          <w:b w:val="0"/>
          <w:bCs w:val="0"/>
          <w:spacing w:val="-4"/>
          <w:kern w:val="2"/>
          <w:sz w:val="32"/>
          <w:szCs w:val="32"/>
          <w:lang w:val="en-US" w:eastAsia="zh-CN" w:bidi="ar-SA"/>
        </w:rPr>
        <w:t>根据以上原则,绩效评价应遵循如下要求:</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宋体"/>
          <w:sz w:val="32"/>
          <w:szCs w:val="32"/>
        </w:rPr>
        <w:t>（1）</w:t>
      </w:r>
      <w:r>
        <w:rPr>
          <w:rFonts w:hint="eastAsia" w:ascii="仿宋_GB2312" w:hAnsi="仿宋" w:eastAsia="仿宋_GB2312" w:cstheme="minorBidi"/>
          <w:b w:val="0"/>
          <w:bCs w:val="0"/>
          <w:spacing w:val="-4"/>
          <w:kern w:val="2"/>
          <w:sz w:val="32"/>
          <w:szCs w:val="32"/>
          <w:lang w:val="en-US" w:eastAsia="zh-CN" w:bidi="ar-SA"/>
        </w:rPr>
        <w:t>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宋体"/>
          <w:sz w:val="32"/>
          <w:szCs w:val="32"/>
        </w:rPr>
        <w:t>(2)</w:t>
      </w:r>
      <w:r>
        <w:rPr>
          <w:rFonts w:hint="eastAsia" w:ascii="仿宋_GB2312" w:hAnsi="仿宋" w:eastAsia="仿宋_GB2312" w:cstheme="minorBidi"/>
          <w:b w:val="0"/>
          <w:bCs w:val="0"/>
          <w:spacing w:val="-4"/>
          <w:kern w:val="2"/>
          <w:sz w:val="32"/>
          <w:szCs w:val="32"/>
          <w:lang w:val="en-US" w:eastAsia="zh-CN" w:bidi="ar-SA"/>
        </w:rPr>
        <w:t>保证评价结果的真实性、公正性,提高评价报告的公信力。</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pPr>
      <w:r>
        <w:rPr>
          <w:rFonts w:hint="eastAsia" w:ascii="仿宋_GB2312" w:hAnsi="仿宋" w:eastAsia="仿宋_GB2312" w:cs="宋体"/>
          <w:sz w:val="32"/>
          <w:szCs w:val="32"/>
        </w:rPr>
        <w:t>(3)</w:t>
      </w:r>
      <w:r>
        <w:rPr>
          <w:rFonts w:hint="eastAsia" w:ascii="仿宋_GB2312" w:hAnsi="仿宋" w:eastAsia="仿宋_GB2312" w:cstheme="minorBidi"/>
          <w:b w:val="0"/>
          <w:bCs w:val="0"/>
          <w:spacing w:val="-4"/>
          <w:kern w:val="2"/>
          <w:sz w:val="32"/>
          <w:szCs w:val="32"/>
          <w:lang w:val="en-US" w:eastAsia="zh-CN" w:bidi="ar-SA"/>
        </w:rPr>
        <w:t>绩教评价报告应当简明扼要,除了对绩效评价的过程、结果描述外,还应总结经验,指出问题,并就共性问题提出可操作性改进建议。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24"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theme="minorBidi"/>
          <w:b w:val="0"/>
          <w:bCs w:val="0"/>
          <w:spacing w:val="-4"/>
          <w:kern w:val="2"/>
          <w:sz w:val="32"/>
          <w:szCs w:val="32"/>
          <w:lang w:val="en-US" w:eastAsia="zh-CN" w:bidi="ar-SA"/>
        </w:rPr>
        <w:t>遵循“科学性、规范性、客观性和公正性”的绩效评价原则,根据财政部制定的《项目支出绩效评价共性指标体系框架》,结合残疾人事业发展项目特性、我单位实际情况,本项目按照财预﹝2020﹞10号文件制定评价指标体系。</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24"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theme="minorBidi"/>
          <w:b w:val="0"/>
          <w:bCs w:val="0"/>
          <w:spacing w:val="-4"/>
          <w:kern w:val="2"/>
          <w:sz w:val="32"/>
          <w:szCs w:val="32"/>
          <w:lang w:val="en-US" w:eastAsia="zh-CN" w:bidi="ar-SA"/>
        </w:rPr>
        <w:t>我单位选取共性指标：我单位选取共性指标：决策中一级指标1个，二级指标5个（项目立项、绩效目标、资金投入、资金管理、组织实施）；三级指标3个（绩效指标明确性、预算编制科学性、资金分配合理性）。</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24"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theme="minorBidi"/>
          <w:b w:val="0"/>
          <w:bCs w:val="0"/>
          <w:spacing w:val="-4"/>
          <w:kern w:val="2"/>
          <w:sz w:val="32"/>
          <w:szCs w:val="32"/>
          <w:lang w:val="en-US" w:eastAsia="zh-CN" w:bidi="ar-SA"/>
        </w:rPr>
        <w:t>过程中一级指标1个，二级指标2个（资金管理，组织实施），三级指标1个（资金到位率），根据喀地财[2019]27-30号和喀地财社[2019]70号，本项目资金474.79万元，其中财政资金474.79万元，其他资金0万元，资金到位474.79万元；资金到位率100%。</w:t>
      </w:r>
    </w:p>
    <w:p>
      <w:pPr>
        <w:pStyle w:val="25"/>
        <w:keepNext w:val="0"/>
        <w:keepLines w:val="0"/>
        <w:pageBreakBefore w:val="0"/>
        <w:widowControl w:val="0"/>
        <w:numPr>
          <w:ilvl w:val="0"/>
          <w:numId w:val="0"/>
        </w:numPr>
        <w:tabs>
          <w:tab w:val="left" w:pos="886"/>
        </w:tabs>
        <w:kinsoku/>
        <w:wordWrap/>
        <w:overflowPunct/>
        <w:topLinePunct w:val="0"/>
        <w:autoSpaceDE/>
        <w:autoSpaceDN/>
        <w:bidi w:val="0"/>
        <w:spacing w:before="0" w:after="0" w:line="560" w:lineRule="exact"/>
        <w:ind w:left="0" w:leftChars="0" w:firstLine="643" w:firstLineChars="200"/>
        <w:textAlignment w:val="auto"/>
      </w:pPr>
      <w:bookmarkStart w:id="6" w:name="_Toc26401555"/>
      <w:r>
        <w:rPr>
          <w:rFonts w:hint="eastAsia"/>
        </w:rPr>
        <w:t>（五）绩效评价方法</w:t>
      </w:r>
      <w:bookmarkEnd w:id="6"/>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24"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theme="minorBidi"/>
          <w:b w:val="0"/>
          <w:bCs w:val="0"/>
          <w:spacing w:val="-4"/>
          <w:kern w:val="2"/>
          <w:sz w:val="32"/>
          <w:szCs w:val="32"/>
          <w:lang w:val="en-US" w:eastAsia="zh-CN" w:bidi="ar-SA"/>
        </w:rPr>
        <w:t>本次绩效评价方法的选用坚持简便有效的原则采用问卷调查法。问卷调查法:2019年12月1日-2019年12月30日,项目组对残疾人事业发展项目涉及受益残疾人进行问卷调查。向各乡镇残疾人代表共发放100份问卷,回收100份问卷,其中有效问卷为100份,有效问卷为100%，满意度98%</w:t>
      </w:r>
      <w:r>
        <w:rPr>
          <w:rFonts w:hint="eastAsia" w:hAnsi="仿宋" w:cstheme="minorBidi"/>
          <w:b w:val="0"/>
          <w:bCs w:val="0"/>
          <w:spacing w:val="-4"/>
          <w:kern w:val="2"/>
          <w:sz w:val="32"/>
          <w:szCs w:val="32"/>
          <w:lang w:val="en-US" w:eastAsia="zh-CN" w:bidi="ar-SA"/>
        </w:rPr>
        <w:t>。</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3" w:firstLineChars="200"/>
        <w:textAlignment w:val="auto"/>
        <w:rPr>
          <w:lang w:bidi="ar"/>
        </w:rPr>
      </w:pPr>
      <w:r>
        <w:rPr>
          <w:rFonts w:hint="eastAsia"/>
          <w:lang w:eastAsia="zh-CN" w:bidi="ar"/>
        </w:rPr>
        <w:t>（</w:t>
      </w:r>
      <w:r>
        <w:rPr>
          <w:rFonts w:hint="eastAsia"/>
          <w:lang w:val="en-US" w:eastAsia="zh-CN" w:bidi="ar"/>
        </w:rPr>
        <w:t>六</w:t>
      </w:r>
      <w:r>
        <w:rPr>
          <w:rFonts w:hint="eastAsia"/>
          <w:lang w:eastAsia="zh-CN" w:bidi="ar"/>
        </w:rPr>
        <w:t>）</w:t>
      </w:r>
      <w:r>
        <w:rPr>
          <w:rFonts w:hint="eastAsia"/>
          <w:lang w:bidi="ar"/>
        </w:rPr>
        <w:t>评价标准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24"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theme="minorBidi"/>
          <w:b w:val="0"/>
          <w:bCs w:val="0"/>
          <w:spacing w:val="-4"/>
          <w:kern w:val="2"/>
          <w:sz w:val="32"/>
          <w:szCs w:val="32"/>
          <w:lang w:val="en-US" w:eastAsia="zh-CN" w:bidi="ar-SA"/>
        </w:rPr>
        <w:t>该项目使用历史比较法:将今年残疾人事业发展项目于前三年作对比，相对往年资金较多，受益干警满意度上升，本次评价通过文件研读、实地调研、数据分析等方式，全面了解项目资金的使用效率和效果，项目管理过程是否规范，是否完成了预期绩效目标等，同时，通过开展自我评价吸取经验和教训，更好的开展2020年项目实施。</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3" w:firstLineChars="200"/>
        <w:textAlignment w:val="auto"/>
      </w:pPr>
      <w:r>
        <w:rPr>
          <w:rFonts w:hint="eastAsia"/>
          <w:lang w:eastAsia="zh-CN"/>
        </w:rPr>
        <w:t>（</w:t>
      </w:r>
      <w:r>
        <w:rPr>
          <w:rFonts w:hint="eastAsia"/>
          <w:lang w:val="en-US" w:eastAsia="zh-CN"/>
        </w:rPr>
        <w:t>七</w:t>
      </w:r>
      <w:r>
        <w:rPr>
          <w:rFonts w:hint="eastAsia"/>
          <w:lang w:eastAsia="zh-CN"/>
        </w:rPr>
        <w:t>）</w:t>
      </w:r>
      <w:r>
        <w:rPr>
          <w:rFonts w:hint="eastAsia"/>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24" w:firstLineChars="200"/>
        <w:textAlignment w:val="auto"/>
        <w:rPr>
          <w:b w:val="0"/>
          <w:bCs w:val="0"/>
        </w:rPr>
      </w:pPr>
      <w:r>
        <w:rPr>
          <w:rFonts w:hint="eastAsia" w:hAnsi="仿宋" w:cstheme="minorBidi"/>
          <w:b w:val="0"/>
          <w:bCs w:val="0"/>
          <w:spacing w:val="-4"/>
          <w:kern w:val="2"/>
          <w:sz w:val="32"/>
          <w:szCs w:val="32"/>
          <w:lang w:val="en-US" w:eastAsia="zh-CN" w:bidi="ar-SA"/>
        </w:rPr>
        <w:t>1.</w:t>
      </w:r>
      <w:r>
        <w:rPr>
          <w:rFonts w:hint="eastAsia" w:ascii="仿宋_GB2312" w:hAnsi="仿宋" w:eastAsia="仿宋_GB2312" w:cstheme="minorBidi"/>
          <w:b w:val="0"/>
          <w:bCs w:val="0"/>
          <w:spacing w:val="-4"/>
          <w:kern w:val="2"/>
          <w:sz w:val="32"/>
          <w:szCs w:val="32"/>
          <w:lang w:val="en-US" w:eastAsia="zh-CN" w:bidi="ar-SA"/>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艾热提·艾力</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理事长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郭伟宏</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党组成员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艾力买合木提</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财务人员</w:t>
            </w:r>
          </w:p>
        </w:tc>
      </w:tr>
    </w:tbl>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24" w:firstLineChars="200"/>
        <w:textAlignment w:val="auto"/>
        <w:outlineLvl w:val="9"/>
        <w:rPr>
          <w:b w:val="0"/>
          <w:bCs w:val="0"/>
        </w:rPr>
      </w:pPr>
      <w:r>
        <w:rPr>
          <w:rFonts w:hint="eastAsia" w:ascii="仿宋_GB2312" w:hAnsi="仿宋" w:eastAsia="仿宋_GB2312" w:cstheme="minorBidi"/>
          <w:b w:val="0"/>
          <w:bCs w:val="0"/>
          <w:spacing w:val="-4"/>
          <w:kern w:val="2"/>
          <w:sz w:val="32"/>
          <w:szCs w:val="32"/>
          <w:lang w:val="en-US" w:eastAsia="zh-CN" w:bidi="ar-SA"/>
        </w:rPr>
        <w:t>本次评价设计了评价方案、评价指标体系，通过资料分析、调研、访谈满意度调查等方式形成评价结论，在与项目单位沟通后确定评价意见，今后这样项目的范围内夸大，跟多残疾人收益，主要是脑瘫儿童，精神病，成人肢体康复，各项等项目。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ascii="仿宋_GB2312" w:eastAsia="仿宋_GB2312" w:cs="Times New Roman" w:hAnsiTheme="majorHAnsi"/>
          <w:sz w:val="32"/>
          <w:szCs w:val="32"/>
        </w:rPr>
      </w:pPr>
      <w:r>
        <w:rPr>
          <w:rFonts w:hint="eastAsia" w:ascii="仿宋_GB2312" w:eastAsia="仿宋_GB2312" w:cs="Times New Roman" w:hAnsiTheme="majorHAnsi"/>
          <w:sz w:val="32"/>
          <w:szCs w:val="32"/>
          <w:lang w:val="en-US" w:eastAsia="zh-CN"/>
        </w:rPr>
        <w:t>2.</w:t>
      </w:r>
      <w:r>
        <w:rPr>
          <w:rFonts w:hint="eastAsia" w:ascii="仿宋_GB2312" w:eastAsia="仿宋_GB2312" w:cs="Times New Roman" w:hAnsiTheme="majorHAnsi"/>
          <w:sz w:val="32"/>
          <w:szCs w:val="32"/>
        </w:rPr>
        <w:t>数据采集方法及过程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theme="minorBidi"/>
          <w:b w:val="0"/>
          <w:bCs w:val="0"/>
          <w:spacing w:val="-4"/>
          <w:kern w:val="2"/>
          <w:sz w:val="32"/>
          <w:szCs w:val="32"/>
          <w:lang w:val="en-US" w:eastAsia="zh-CN" w:bidi="ar-SA"/>
        </w:rPr>
        <w:t>本次绩效评价数据包括定性和定量两种数据,定性数据主要通过实地考察、面对面访谈,问卷调研等社会调查的方式来采集。问卷调查法:2019年12月1日-2019年12月30日,项目组对残疾人事业发展项目涉及受益残疾人进行问卷调查。向各乡镇残疾人代表共发放100份问卷,回收100份问卷,其中有效问卷为100份,有效问卷为100%，满意度98%。</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eastAsia="仿宋_GB2312" w:cs="Times New Roman" w:hAnsiTheme="majorHAnsi"/>
          <w:sz w:val="32"/>
          <w:szCs w:val="32"/>
        </w:rPr>
      </w:pPr>
      <w:r>
        <w:rPr>
          <w:rFonts w:hint="eastAsia" w:ascii="仿宋_GB2312" w:eastAsia="仿宋_GB2312" w:cs="Times New Roman" w:hAnsiTheme="majorHAnsi"/>
          <w:sz w:val="32"/>
          <w:szCs w:val="32"/>
          <w:lang w:val="en-US" w:eastAsia="zh-CN"/>
        </w:rPr>
        <w:t>3.</w:t>
      </w:r>
      <w:r>
        <w:rPr>
          <w:rFonts w:hint="eastAsia" w:ascii="仿宋_GB2312" w:eastAsia="仿宋_GB2312" w:cs="Times New Roman" w:hAnsiTheme="majorHAnsi"/>
          <w:sz w:val="32"/>
          <w:szCs w:val="32"/>
        </w:rPr>
        <w:t>绩效评价实施过程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Fonts w:hint="eastAsia" w:ascii="仿宋_GB2312" w:hAnsi="仿宋" w:eastAsia="仿宋_GB2312" w:cstheme="minorBidi"/>
          <w:b w:val="0"/>
          <w:bCs w:val="0"/>
          <w:spacing w:val="-4"/>
          <w:kern w:val="2"/>
          <w:sz w:val="32"/>
          <w:szCs w:val="32"/>
          <w:lang w:val="en-US" w:eastAsia="zh-CN" w:bidi="ar-SA"/>
        </w:rPr>
      </w:pPr>
      <w:r>
        <w:rPr>
          <w:rFonts w:hint="eastAsia" w:ascii="仿宋_GB2312" w:hAnsi="仿宋" w:eastAsia="仿宋_GB2312" w:cstheme="minorBidi"/>
          <w:b w:val="0"/>
          <w:bCs w:val="0"/>
          <w:spacing w:val="-4"/>
          <w:kern w:val="2"/>
          <w:sz w:val="32"/>
          <w:szCs w:val="32"/>
          <w:lang w:val="en-US" w:eastAsia="zh-CN" w:bidi="ar-SA"/>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项目得分为97.5分，评价结果为优，详见附件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b w:val="0"/>
          <w:bCs w:val="0"/>
          <w:sz w:val="32"/>
          <w:szCs w:val="32"/>
        </w:rPr>
      </w:pPr>
      <w:r>
        <w:rPr>
          <w:rFonts w:hint="eastAsia" w:ascii="仿宋_GB2312" w:hAnsi="仿宋" w:eastAsia="仿宋_GB2312" w:cs="宋体"/>
          <w:b w:val="0"/>
          <w:bCs w:val="0"/>
          <w:sz w:val="32"/>
          <w:szCs w:val="32"/>
          <w:lang w:val="en-US" w:eastAsia="zh-CN"/>
        </w:rPr>
        <w:t>1）.</w:t>
      </w:r>
      <w:r>
        <w:rPr>
          <w:rFonts w:hint="eastAsia" w:ascii="仿宋_GB2312" w:hAnsi="仿宋" w:eastAsia="仿宋_GB2312" w:cs="宋体"/>
          <w:b w:val="0"/>
          <w:bCs w:val="0"/>
          <w:sz w:val="32"/>
          <w:szCs w:val="32"/>
        </w:rPr>
        <w:t>问卷调查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b/>
          <w:bCs/>
          <w:color w:val="00B0F0"/>
          <w:sz w:val="32"/>
          <w:szCs w:val="32"/>
          <w:highlight w:val="yellow"/>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12</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12</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30</w:t>
      </w:r>
      <w:r>
        <w:rPr>
          <w:rFonts w:ascii="仿宋_GB2312" w:eastAsia="仿宋_GB2312" w:cs="Times New Roman" w:hAnsiTheme="majorHAnsi"/>
          <w:sz w:val="32"/>
          <w:szCs w:val="32"/>
        </w:rPr>
        <w:t>日,项目组对</w:t>
      </w:r>
      <w:r>
        <w:rPr>
          <w:rFonts w:hint="eastAsia" w:ascii="仿宋_GB2312" w:eastAsia="仿宋_GB2312" w:cs="Times New Roman" w:hAnsiTheme="majorHAnsi"/>
          <w:sz w:val="32"/>
          <w:szCs w:val="32"/>
        </w:rPr>
        <w:t>残疾人事业发展</w:t>
      </w:r>
      <w:r>
        <w:rPr>
          <w:rFonts w:ascii="仿宋_GB2312" w:eastAsia="仿宋_GB2312" w:cs="Times New Roman" w:hAnsiTheme="majorHAnsi"/>
          <w:sz w:val="32"/>
          <w:szCs w:val="32"/>
        </w:rPr>
        <w:t>项目涉及受益</w:t>
      </w:r>
      <w:r>
        <w:rPr>
          <w:rFonts w:hint="eastAsia" w:ascii="仿宋_GB2312" w:eastAsia="仿宋_GB2312" w:cs="Times New Roman" w:hAnsiTheme="majorHAnsi"/>
          <w:sz w:val="32"/>
          <w:szCs w:val="32"/>
        </w:rPr>
        <w:t>残疾人</w:t>
      </w:r>
      <w:r>
        <w:rPr>
          <w:rFonts w:ascii="仿宋_GB2312" w:eastAsia="仿宋_GB2312" w:cs="Times New Roman" w:hAnsiTheme="majorHAnsi"/>
          <w:sz w:val="32"/>
          <w:szCs w:val="32"/>
        </w:rPr>
        <w:t>进行问卷调查。向</w:t>
      </w:r>
      <w:r>
        <w:rPr>
          <w:rFonts w:hint="eastAsia" w:ascii="仿宋_GB2312" w:eastAsia="仿宋_GB2312" w:cs="Times New Roman" w:hAnsiTheme="majorHAnsi"/>
          <w:sz w:val="32"/>
          <w:szCs w:val="32"/>
        </w:rPr>
        <w:t>各乡镇残疾人代表</w:t>
      </w:r>
      <w:r>
        <w:rPr>
          <w:rFonts w:ascii="仿宋_GB2312" w:eastAsia="仿宋_GB2312" w:cs="Times New Roman" w:hAnsiTheme="majorHAnsi"/>
          <w:sz w:val="32"/>
          <w:szCs w:val="32"/>
        </w:rPr>
        <w:t>共发放</w:t>
      </w:r>
      <w:r>
        <w:rPr>
          <w:rFonts w:hint="eastAsia" w:ascii="仿宋_GB2312" w:eastAsia="仿宋_GB2312" w:cs="Times New Roman" w:hAnsiTheme="majorHAnsi"/>
          <w:sz w:val="32"/>
          <w:szCs w:val="32"/>
        </w:rPr>
        <w:t>100</w:t>
      </w:r>
      <w:r>
        <w:rPr>
          <w:rFonts w:ascii="仿宋_GB2312" w:eastAsia="仿宋_GB2312" w:cs="Times New Roman" w:hAnsiTheme="majorHAnsi"/>
          <w:sz w:val="32"/>
          <w:szCs w:val="32"/>
        </w:rPr>
        <w:t>份问卷,回收</w:t>
      </w:r>
      <w:r>
        <w:rPr>
          <w:rFonts w:hint="eastAsia" w:ascii="仿宋_GB2312" w:eastAsia="仿宋_GB2312" w:cs="Times New Roman" w:hAnsiTheme="majorHAnsi"/>
          <w:sz w:val="32"/>
          <w:szCs w:val="32"/>
        </w:rPr>
        <w:t>100</w:t>
      </w:r>
      <w:r>
        <w:rPr>
          <w:rFonts w:ascii="仿宋_GB2312" w:eastAsia="仿宋_GB2312" w:cs="Times New Roman" w:hAnsiTheme="majorHAnsi"/>
          <w:sz w:val="32"/>
          <w:szCs w:val="32"/>
        </w:rPr>
        <w:t>份问卷,其中有效问卷为</w:t>
      </w:r>
      <w:r>
        <w:rPr>
          <w:rFonts w:hint="eastAsia" w:ascii="仿宋_GB2312" w:eastAsia="仿宋_GB2312" w:cs="Times New Roman" w:hAnsiTheme="majorHAnsi"/>
          <w:sz w:val="32"/>
          <w:szCs w:val="32"/>
        </w:rPr>
        <w:t>100</w:t>
      </w:r>
      <w:r>
        <w:rPr>
          <w:rFonts w:ascii="仿宋_GB2312" w:eastAsia="仿宋_GB2312" w:cs="Times New Roman" w:hAnsiTheme="majorHAnsi"/>
          <w:sz w:val="32"/>
          <w:szCs w:val="32"/>
        </w:rPr>
        <w:t>份,有效问卷为</w:t>
      </w:r>
      <w:r>
        <w:rPr>
          <w:rFonts w:hint="eastAsia" w:ascii="仿宋_GB2312" w:eastAsia="仿宋_GB2312" w:cs="Times New Roman" w:hAnsiTheme="majorHAnsi"/>
          <w:sz w:val="32"/>
          <w:szCs w:val="32"/>
        </w:rPr>
        <w:t>100</w:t>
      </w:r>
      <w:r>
        <w:rPr>
          <w:rFonts w:ascii="仿宋_GB2312" w:eastAsia="仿宋_GB2312" w:cs="Times New Roman" w:hAnsiTheme="majorHAnsi"/>
          <w:sz w:val="32"/>
          <w:szCs w:val="32"/>
        </w:rPr>
        <w:t>%</w:t>
      </w:r>
      <w:r>
        <w:rPr>
          <w:rFonts w:hint="eastAsia" w:ascii="仿宋_GB2312" w:eastAsia="仿宋_GB2312" w:cs="Times New Roman" w:hAnsiTheme="majorHAnsi"/>
          <w:sz w:val="32"/>
          <w:szCs w:val="32"/>
        </w:rPr>
        <w:t>，满意度98%。</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ascii="仿宋_GB2312" w:eastAsia="仿宋_GB2312" w:cs="Times New Roman" w:hAnsiTheme="majorHAnsi"/>
          <w:sz w:val="32"/>
          <w:szCs w:val="32"/>
        </w:rPr>
      </w:pPr>
      <w:r>
        <w:rPr>
          <w:rFonts w:hint="eastAsia" w:ascii="仿宋_GB2312" w:eastAsia="仿宋_GB2312" w:cs="Times New Roman" w:hAnsiTheme="majorHAnsi"/>
          <w:sz w:val="32"/>
          <w:szCs w:val="32"/>
          <w:lang w:val="en-US" w:eastAsia="zh-CN"/>
        </w:rPr>
        <w:t>2）.</w:t>
      </w:r>
      <w:r>
        <w:rPr>
          <w:rFonts w:hint="eastAsia" w:ascii="仿宋_GB2312" w:eastAsia="仿宋_GB2312" w:cs="Times New Roman" w:hAnsiTheme="majorHAnsi"/>
          <w:sz w:val="32"/>
          <w:szCs w:val="32"/>
        </w:rPr>
        <w:t>访谈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5</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12</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31</w:t>
      </w:r>
      <w:r>
        <w:rPr>
          <w:rFonts w:ascii="仿宋_GB2312" w:eastAsia="仿宋_GB2312" w:cs="Times New Roman" w:hAnsiTheme="majorHAnsi"/>
          <w:sz w:val="32"/>
          <w:szCs w:val="32"/>
        </w:rPr>
        <w:t>日,针对</w:t>
      </w:r>
      <w:r>
        <w:rPr>
          <w:rFonts w:hint="eastAsia" w:ascii="仿宋_GB2312" w:eastAsia="仿宋_GB2312" w:cs="Times New Roman" w:hAnsiTheme="majorHAnsi"/>
          <w:sz w:val="32"/>
          <w:szCs w:val="32"/>
        </w:rPr>
        <w:t>脑瘫儿童残疾人访谈工作开展，通过脑瘫儿童家属谈话了解康复情况，遇到困难跟医疗机构协调解、2019年脑瘫儿童55名残疾儿童通过各乡镇社区推荐有困难脑瘫儿童进行审核确定纳入康复助救对象、单位对医疗机构签订责任书，制定了每个脑瘫儿童康复评估制定和每个月跟儿童家属访谈制定。单位制定电话访谈方式，服务给残疾人，打电话</w:t>
      </w:r>
      <w:r>
        <w:rPr>
          <w:rFonts w:hint="eastAsia" w:ascii="仿宋_GB2312" w:eastAsia="仿宋_GB2312" w:cs="Times New Roman" w:hAnsiTheme="majorHAnsi"/>
          <w:sz w:val="32"/>
          <w:szCs w:val="32"/>
          <w:lang w:val="en-US" w:eastAsia="zh-CN"/>
        </w:rPr>
        <w:t>询</w:t>
      </w:r>
      <w:r>
        <w:rPr>
          <w:rFonts w:hint="eastAsia" w:ascii="仿宋_GB2312" w:eastAsia="仿宋_GB2312" w:cs="Times New Roman" w:hAnsiTheme="majorHAnsi"/>
          <w:sz w:val="32"/>
          <w:szCs w:val="32"/>
        </w:rPr>
        <w:t>问问题，热点问题，回答</w:t>
      </w:r>
      <w:r>
        <w:rPr>
          <w:rFonts w:hint="eastAsia" w:ascii="仿宋_GB2312" w:eastAsia="仿宋_GB2312" w:cs="Times New Roman" w:hAnsiTheme="majorHAnsi"/>
          <w:sz w:val="32"/>
          <w:szCs w:val="32"/>
          <w:lang w:val="en-US" w:eastAsia="zh-CN"/>
        </w:rPr>
        <w:t>并</w:t>
      </w:r>
      <w:r>
        <w:rPr>
          <w:rFonts w:hint="eastAsia" w:ascii="仿宋_GB2312" w:eastAsia="仿宋_GB2312" w:cs="Times New Roman" w:hAnsiTheme="majorHAnsi"/>
          <w:sz w:val="32"/>
          <w:szCs w:val="32"/>
        </w:rPr>
        <w:t>解决。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lang w:val="en-US" w:eastAsia="zh-CN"/>
        </w:rPr>
        <w:t>3）.</w:t>
      </w:r>
      <w:r>
        <w:rPr>
          <w:rFonts w:hint="eastAsia" w:ascii="仿宋_GB2312" w:eastAsia="仿宋_GB2312" w:cs="Times New Roman" w:hAnsiTheme="majorHAnsi"/>
          <w:sz w:val="32"/>
          <w:szCs w:val="32"/>
        </w:rPr>
        <w:t>数据分析及撰写报告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2019年3月1日-2019年12月31日,通过资料分析、调研、访谈满意度调查等方式形成评价结论，在与项目单位沟通后确定评价意见，今后这样项目的范围内夸大，跟多残疾人收益，主要是脑瘫儿童，精神病，成人肢体康复，各项等项目。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了各乡镇先摸底，了解残疾人需求上报单位，单位审核通过后实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lang w:val="en-US" w:eastAsia="zh-CN"/>
        </w:rPr>
        <w:t>4）.</w:t>
      </w:r>
      <w:r>
        <w:rPr>
          <w:rFonts w:hint="eastAsia" w:ascii="仿宋_GB2312" w:eastAsia="仿宋_GB2312" w:cs="Times New Roman" w:hAnsiTheme="majorHAnsi"/>
          <w:sz w:val="32"/>
          <w:szCs w:val="32"/>
        </w:rPr>
        <w:t>绩效评价实施过程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绩效评价实施过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项目组在前期调研的基础上,完成了项目绩效评价工作方案,明确了评价的目的、方法、指标体系、评价标准、合规性检查方案、访谈方案等。在此之后,项目组严格按照工作方案,经过了数据采集、问卷调查、数据分析和报告撰写等环节,顺利完成了绩效评价工作。</w:t>
      </w:r>
    </w:p>
    <w:p>
      <w:pPr>
        <w:pStyle w:val="23"/>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color w:val="FF0000"/>
        </w:rPr>
      </w:pPr>
      <w:bookmarkStart w:id="7" w:name="_Toc26401558"/>
      <w:r>
        <w:rPr>
          <w:rFonts w:hint="eastAsia" w:ascii="黑体" w:hAnsi="黑体"/>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eastAsia="仿宋_GB2312" w:cs="Times New Roman" w:hAnsiTheme="majorHAnsi"/>
          <w:sz w:val="32"/>
          <w:szCs w:val="32"/>
          <w:lang w:val="en-US" w:eastAsia="zh-CN"/>
        </w:rPr>
      </w:pPr>
      <w:r>
        <w:rPr>
          <w:rFonts w:hint="eastAsia" w:ascii="仿宋_GB2312" w:eastAsia="仿宋_GB2312" w:cs="Times New Roman" w:hAnsiTheme="majorHAnsi"/>
          <w:sz w:val="32"/>
          <w:szCs w:val="32"/>
        </w:rPr>
        <w:t>经评价组通过实地调研、资料分析等方式，采用综合分析法、成本效益分析法、问卷调查法等对项目的决策、管理、绩效进行的综合评价分析。</w:t>
      </w:r>
      <w:r>
        <w:rPr>
          <w:rFonts w:hint="eastAsia" w:ascii="仿宋_GB2312" w:eastAsia="仿宋_GB2312" w:cs="Times New Roman" w:hAnsiTheme="majorHAnsi"/>
          <w:sz w:val="32"/>
          <w:szCs w:val="32"/>
          <w:lang w:val="en-US" w:eastAsia="zh-CN"/>
        </w:rPr>
        <w:t>经综合评价，此报告得分98分。</w:t>
      </w:r>
    </w:p>
    <w:p>
      <w:pPr>
        <w:pStyle w:val="23"/>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四、绩效评价指标分析</w:t>
      </w:r>
      <w:bookmarkEnd w:id="7"/>
    </w:p>
    <w:p>
      <w:pPr>
        <w:pStyle w:val="19"/>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本项目的立项相关法规政策及部门职责，依据充分；项目按照规定的程序申请设立；审批文件、材料符合相关要求；项目前期已经过必要的可行性研究、绩效评估、集体决策。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项目根据相关文件要求设置了绩效目标，项目绩效目标基本合理，与实际工作内容相关；项目预期产出效益和效果符合正常的业绩水平；与预算确定的项目资金量相匹配。已将项目绩效目标细化分解为具体的绩效指标；通过清晰、可衡量的指标值予以体现；与项目目标计划数相对应。</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项目在资金投入方面，预算编制经过科学论证、有明确标准，资金额度与年度目标相适应，用以反映和考核项目预算编制的科学性、合理性情况。项目预算资金分配否有测算依据，与地方实际相适应。</w:t>
      </w:r>
    </w:p>
    <w:p>
      <w:pPr>
        <w:pStyle w:val="19"/>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在资金管理方面，项目资金到位足额及时，及时支付，资金使用符合国家法规和财务管理制度；资金拨付有完整的审批程序和手续，本项目主要是残疾人事业发展支出，按照资金拨付程序严格审批报账，开展国库集中支付，及时拨付使用，遵守相关法律法规和业务管理规定，项目资料齐全并及时装订、归档，不定期对项目进度情况进行督导检查，对检查过程中发现的问题及时督促整改，确保了项目按时保质完。</w:t>
      </w:r>
    </w:p>
    <w:p>
      <w:pPr>
        <w:pStyle w:val="19"/>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本项目根据《喀什地区实施残疾人事业发展项目》精神，</w:t>
      </w:r>
      <w:r>
        <w:rPr>
          <w:rFonts w:hint="eastAsia" w:ascii="仿宋_GB2312" w:eastAsia="仿宋_GB2312" w:cs="Times New Roman" w:hAnsiTheme="majorHAnsi"/>
          <w:sz w:val="32"/>
          <w:szCs w:val="32"/>
          <w:lang w:val="en-US" w:eastAsia="zh-CN"/>
        </w:rPr>
        <w:t>对全县16354人残疾人进行补助发放，人均补助290.32元/人/年，</w:t>
      </w:r>
      <w:r>
        <w:rPr>
          <w:rFonts w:hint="eastAsia" w:ascii="仿宋_GB2312" w:eastAsia="仿宋_GB2312" w:cs="Times New Roman" w:hAnsiTheme="majorHAnsi"/>
          <w:sz w:val="32"/>
          <w:szCs w:val="32"/>
        </w:rPr>
        <w:t>旨在深入贯彻落实自治区党委、政府以及财政部门各项财政政策和工作部署，进一步加强和规范乡镇残疾人服务管理，康复残疾人基础，提升身体素质、提供残疾人行动能力，切实提高乡镇财务残疾人服务管理工作水平和工作效率，建立执行残疾人惠民政策，切实做好乡镇残联各项工作。</w:t>
      </w:r>
    </w:p>
    <w:tbl>
      <w:tblPr>
        <w:tblStyle w:val="13"/>
        <w:tblW w:w="8339" w:type="dxa"/>
        <w:tblInd w:w="0" w:type="dxa"/>
        <w:shd w:val="clear" w:color="auto" w:fill="auto"/>
        <w:tblLayout w:type="fixed"/>
        <w:tblCellMar>
          <w:top w:w="0" w:type="dxa"/>
          <w:left w:w="0" w:type="dxa"/>
          <w:bottom w:w="0" w:type="dxa"/>
          <w:right w:w="0" w:type="dxa"/>
        </w:tblCellMar>
      </w:tblPr>
      <w:tblGrid>
        <w:gridCol w:w="941"/>
        <w:gridCol w:w="1118"/>
        <w:gridCol w:w="2909"/>
        <w:gridCol w:w="1685"/>
        <w:gridCol w:w="1686"/>
      </w:tblGrid>
      <w:tr>
        <w:tblPrEx>
          <w:shd w:val="clear" w:color="auto" w:fill="auto"/>
          <w:tblCellMar>
            <w:top w:w="0" w:type="dxa"/>
            <w:left w:w="0" w:type="dxa"/>
            <w:bottom w:w="0" w:type="dxa"/>
            <w:right w:w="0" w:type="dxa"/>
          </w:tblCellMar>
        </w:tblPrEx>
        <w:trPr>
          <w:trHeight w:val="500" w:hRule="atLeast"/>
        </w:trPr>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9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全县残疾人数（人）</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16354</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16354</w:t>
            </w:r>
          </w:p>
        </w:tc>
      </w:tr>
      <w:tr>
        <w:tblPrEx>
          <w:tblCellMar>
            <w:top w:w="0" w:type="dxa"/>
            <w:left w:w="0" w:type="dxa"/>
            <w:bottom w:w="0" w:type="dxa"/>
            <w:right w:w="0" w:type="dxa"/>
          </w:tblCellMar>
        </w:tblPrEx>
        <w:trPr>
          <w:trHeight w:val="500" w:hRule="atLeast"/>
        </w:trPr>
        <w:tc>
          <w:tcPr>
            <w:tcW w:w="9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补助发放准确率(%)</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9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0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保障残疾人事业发展补助资金拨付及时性(%)</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w:t>
            </w:r>
          </w:p>
        </w:tc>
      </w:tr>
      <w:tr>
        <w:tblPrEx>
          <w:tblCellMar>
            <w:top w:w="0" w:type="dxa"/>
            <w:left w:w="0" w:type="dxa"/>
            <w:bottom w:w="0" w:type="dxa"/>
            <w:right w:w="0" w:type="dxa"/>
          </w:tblCellMar>
        </w:tblPrEx>
        <w:trPr>
          <w:trHeight w:val="500" w:hRule="atLeast"/>
        </w:trPr>
        <w:tc>
          <w:tcPr>
            <w:tcW w:w="9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0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数据审核及时性(%)</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9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人均补助标准（元/人/年）</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290.32</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290.32</w:t>
            </w:r>
          </w:p>
        </w:tc>
      </w:tr>
    </w:tbl>
    <w:p>
      <w:pPr>
        <w:pStyle w:val="1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eastAsia="zh-CN"/>
        </w:rPr>
        <w:t>（</w:t>
      </w:r>
      <w:r>
        <w:rPr>
          <w:rFonts w:hint="eastAsia" w:ascii="仿宋_GB2312" w:hAnsi="仿宋" w:eastAsia="仿宋_GB2312" w:cs="宋体"/>
          <w:b/>
          <w:bCs/>
          <w:sz w:val="32"/>
          <w:szCs w:val="32"/>
          <w:lang w:val="en-US" w:eastAsia="zh-CN"/>
        </w:rPr>
        <w:t>四</w:t>
      </w:r>
      <w:r>
        <w:rPr>
          <w:rFonts w:hint="eastAsia" w:ascii="仿宋_GB2312" w:hAnsi="仿宋" w:eastAsia="仿宋_GB2312" w:cs="宋体"/>
          <w:b/>
          <w:bCs/>
          <w:sz w:val="32"/>
          <w:szCs w:val="32"/>
          <w:lang w:eastAsia="zh-CN"/>
        </w:rPr>
        <w:t>）</w:t>
      </w:r>
      <w:r>
        <w:rPr>
          <w:rFonts w:hint="eastAsia" w:ascii="仿宋_GB2312" w:hAnsi="仿宋" w:eastAsia="仿宋_GB2312" w:cs="宋体"/>
          <w:b/>
          <w:bCs/>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ascii="仿宋_GB2312" w:hAnsi="仿宋" w:eastAsia="仿宋_GB2312" w:cs="宋体"/>
          <w:bCs/>
          <w:sz w:val="32"/>
          <w:szCs w:val="32"/>
        </w:rPr>
        <w:t xml:space="preserve"> </w:t>
      </w:r>
      <w:r>
        <w:rPr>
          <w:rFonts w:hint="eastAsia" w:ascii="仿宋_GB2312" w:eastAsia="仿宋_GB2312" w:cs="Times New Roman" w:hAnsiTheme="majorHAnsi"/>
          <w:sz w:val="32"/>
          <w:szCs w:val="32"/>
        </w:rPr>
        <w:t>此项目的建设周期为12个月，持续影响范围广大且深远，带动了残疾人服务工作积极性，间接的增加了残疾人的收入，同时不断保证了乡镇残联各项工作的顺利开展。</w:t>
      </w:r>
    </w:p>
    <w:tbl>
      <w:tblPr>
        <w:tblStyle w:val="13"/>
        <w:tblW w:w="8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941"/>
        <w:gridCol w:w="1118"/>
        <w:gridCol w:w="2909"/>
        <w:gridCol w:w="1685"/>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00" w:hRule="atLeast"/>
        </w:trPr>
        <w:tc>
          <w:tcPr>
            <w:tcW w:w="94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1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0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8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68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941"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11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09"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减轻残疾人经济负担总额（万元）</w:t>
            </w:r>
          </w:p>
        </w:tc>
        <w:tc>
          <w:tcPr>
            <w:tcW w:w="168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474.79</w:t>
            </w:r>
          </w:p>
        </w:tc>
        <w:tc>
          <w:tcPr>
            <w:tcW w:w="168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941"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09"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促进残疾人自主发展、和谐发展和可持续发展率(%)</w:t>
            </w:r>
          </w:p>
        </w:tc>
        <w:tc>
          <w:tcPr>
            <w:tcW w:w="168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168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941"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09" w:type="dxa"/>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85" w:type="dxa"/>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86" w:type="dxa"/>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941"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09"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残疾人事业发展补助资金持续年限（年）</w:t>
            </w:r>
          </w:p>
        </w:tc>
        <w:tc>
          <w:tcPr>
            <w:tcW w:w="168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68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94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11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09"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残疾人受益群众满意度(%)</w:t>
            </w:r>
          </w:p>
        </w:tc>
        <w:tc>
          <w:tcPr>
            <w:tcW w:w="168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68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bl>
    <w:p>
      <w:pPr>
        <w:pStyle w:val="2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3" w:firstLineChars="200"/>
        <w:textAlignment w:val="auto"/>
      </w:pPr>
      <w:r>
        <w:rPr>
          <w:rFonts w:hint="eastAsia" w:ascii="黑体" w:hAnsi="黑体"/>
          <w:lang w:val="en-US" w:eastAsia="zh-CN"/>
        </w:rPr>
        <w:t>五、</w:t>
      </w:r>
      <w:r>
        <w:rPr>
          <w:rFonts w:hint="eastAsia" w:ascii="黑体" w:hAnsi="黑体"/>
        </w:rPr>
        <w:t>主要经验及做法、存在的问题及原因分析</w:t>
      </w:r>
    </w:p>
    <w:p>
      <w:pPr>
        <w:pStyle w:val="25"/>
        <w:keepNext w:val="0"/>
        <w:keepLines w:val="0"/>
        <w:pageBreakBefore w:val="0"/>
        <w:widowControl w:val="0"/>
        <w:numPr>
          <w:ilvl w:val="0"/>
          <w:numId w:val="7"/>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主要经验及做法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pPr>
      <w:r>
        <w:rPr>
          <w:rFonts w:hint="eastAsia" w:ascii="仿宋_GB2312" w:eastAsia="仿宋_GB2312" w:cs="Times New Roman" w:hAnsiTheme="majorHAnsi"/>
          <w:sz w:val="32"/>
          <w:szCs w:val="32"/>
        </w:rPr>
        <w:t>通过预算绩效管理，总结了工作中的较好的经验，如：做好资金计划、按时拨付资金。通过预算绩效管理，总结了工作中的较好的经验，如：做好资金计划、按时拨付资金。通过深化预算绩效管理，调整结余资金存量结构，让有限的资金发挥出最大的效益。</w:t>
      </w:r>
    </w:p>
    <w:p>
      <w:pPr>
        <w:pStyle w:val="25"/>
        <w:keepNext w:val="0"/>
        <w:keepLines w:val="0"/>
        <w:pageBreakBefore w:val="0"/>
        <w:widowControl w:val="0"/>
        <w:numPr>
          <w:ilvl w:val="0"/>
          <w:numId w:val="7"/>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项目</w:t>
      </w:r>
      <w:r>
        <w:rPr>
          <w:rFonts w:hint="eastAsia" w:ascii="仿宋_GB2312" w:eastAsia="仿宋_GB2312" w:cs="Times New Roman" w:hAnsiTheme="majorHAnsi"/>
          <w:sz w:val="32"/>
          <w:szCs w:val="32"/>
          <w:lang w:val="en-US" w:eastAsia="zh-CN"/>
        </w:rPr>
        <w:t>进行的</w:t>
      </w:r>
      <w:r>
        <w:rPr>
          <w:rFonts w:hint="eastAsia" w:ascii="仿宋_GB2312" w:eastAsia="仿宋_GB2312" w:cs="Times New Roman" w:hAnsiTheme="majorHAnsi"/>
          <w:sz w:val="32"/>
          <w:szCs w:val="32"/>
        </w:rPr>
        <w:t>过程中管理不够</w:t>
      </w:r>
      <w:r>
        <w:rPr>
          <w:rFonts w:hint="eastAsia" w:ascii="仿宋_GB2312" w:eastAsia="仿宋_GB2312" w:cs="Times New Roman" w:hAnsiTheme="majorHAnsi"/>
          <w:sz w:val="32"/>
          <w:szCs w:val="32"/>
          <w:lang w:val="en-US" w:eastAsia="zh-CN"/>
        </w:rPr>
        <w:t>严谨</w:t>
      </w:r>
      <w:r>
        <w:rPr>
          <w:rFonts w:hint="eastAsia" w:ascii="仿宋_GB2312" w:eastAsia="仿宋_GB2312" w:cs="Times New Roman" w:hAnsiTheme="majorHAnsi"/>
          <w:sz w:val="32"/>
          <w:szCs w:val="32"/>
        </w:rPr>
        <w:t>，资金使用还需要进一步规范，项目档案资料需进一步完善，项目实施成效还需加强。</w:t>
      </w:r>
    </w:p>
    <w:p>
      <w:pPr>
        <w:pStyle w:val="2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pPr>
      <w:r>
        <w:rPr>
          <w:rFonts w:hint="eastAsia" w:ascii="黑体" w:hAnsi="黑体"/>
          <w:lang w:val="en-US" w:eastAsia="zh-CN"/>
        </w:rPr>
        <w:t>六、</w:t>
      </w:r>
      <w:r>
        <w:rPr>
          <w:rFonts w:hint="eastAsia" w:ascii="黑体" w:hAnsi="黑体"/>
        </w:rPr>
        <w:t>有关建议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年初做好资金计划，按照项目进度及时拨付资金，使资金使用效益最大化，减少不必要的浪费，节约成本，对残疾人事业发展补助资金，在使用上根据疾人的实际情况，因地制宜让残疾人享受到国家优惠政策，根据我县实际情况来申报各项残疾人项目资金，不符合规定的残疾人项目资金下年度不申报，完善全县残疾人跟好的服务，推进残疾人健康工作，加强项目使用及会计人员业务培训力度。</w:t>
      </w:r>
    </w:p>
    <w:p>
      <w:pPr>
        <w:pStyle w:val="2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ascii="黑体" w:hAnsi="黑体"/>
        </w:rPr>
      </w:pPr>
      <w:r>
        <w:rPr>
          <w:rFonts w:hint="eastAsia" w:ascii="黑体" w:hAnsi="黑体"/>
          <w:lang w:val="en-US" w:eastAsia="zh-CN"/>
        </w:rPr>
        <w:t>七、</w:t>
      </w:r>
      <w:r>
        <w:rPr>
          <w:rFonts w:hint="eastAsia" w:ascii="黑体" w:hAnsi="黑体"/>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无其他说明问题。</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highlight w:val="yellow"/>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附件1：喀什地区</w:t>
      </w:r>
      <w:r>
        <w:rPr>
          <w:rFonts w:hint="eastAsia" w:ascii="仿宋_GB2312" w:eastAsia="仿宋_GB2312" w:cs="Times New Roman" w:hAnsiTheme="majorHAnsi"/>
          <w:sz w:val="32"/>
          <w:szCs w:val="32"/>
          <w:lang w:val="en-US" w:eastAsia="zh-CN"/>
        </w:rPr>
        <w:t>残联</w:t>
      </w:r>
      <w:r>
        <w:rPr>
          <w:rFonts w:hint="eastAsia" w:ascii="仿宋_GB2312" w:eastAsia="仿宋_GB2312" w:cs="Times New Roman" w:hAnsiTheme="majorHAnsi"/>
          <w:sz w:val="32"/>
          <w:szCs w:val="32"/>
        </w:rPr>
        <w:t>单位残疾人事业发展补助项目支出绩效目标申报表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附件2：喀什地区</w:t>
      </w:r>
      <w:r>
        <w:rPr>
          <w:rFonts w:hint="eastAsia" w:ascii="仿宋_GB2312" w:eastAsia="仿宋_GB2312" w:cs="Times New Roman" w:hAnsiTheme="majorHAnsi"/>
          <w:sz w:val="32"/>
          <w:szCs w:val="32"/>
          <w:lang w:val="en-US" w:eastAsia="zh-CN"/>
        </w:rPr>
        <w:t>残联</w:t>
      </w:r>
      <w:r>
        <w:rPr>
          <w:rFonts w:hint="eastAsia" w:ascii="仿宋_GB2312" w:eastAsia="仿宋_GB2312" w:cs="Times New Roman" w:hAnsiTheme="majorHAnsi"/>
          <w:sz w:val="32"/>
          <w:szCs w:val="32"/>
        </w:rPr>
        <w:t>单位残疾人事业发展补助项目支出绩效自评表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附件3：喀什地区</w:t>
      </w:r>
      <w:r>
        <w:rPr>
          <w:rFonts w:hint="eastAsia" w:ascii="仿宋_GB2312" w:eastAsia="仿宋_GB2312" w:cs="Times New Roman" w:hAnsiTheme="majorHAnsi"/>
          <w:sz w:val="32"/>
          <w:szCs w:val="32"/>
          <w:lang w:val="en-US" w:eastAsia="zh-CN"/>
        </w:rPr>
        <w:t>残联</w:t>
      </w:r>
      <w:r>
        <w:rPr>
          <w:rFonts w:hint="eastAsia" w:ascii="仿宋_GB2312" w:eastAsia="仿宋_GB2312" w:cs="Times New Roman" w:hAnsiTheme="majorHAnsi"/>
          <w:sz w:val="32"/>
          <w:szCs w:val="32"/>
        </w:rPr>
        <w:t>单位残疾人事业发展补助项目支出绩效评价指标体系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Times New Roman" w:hAnsiTheme="majorHAnsi"/>
          <w:sz w:val="32"/>
          <w:szCs w:val="32"/>
        </w:rPr>
      </w:pPr>
      <w:r>
        <w:rPr>
          <w:rFonts w:hint="eastAsia" w:ascii="仿宋_GB2312" w:eastAsia="仿宋_GB2312" w:cs="Times New Roman" w:hAnsiTheme="majorHAnsi"/>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E0C7B"/>
    <w:rsid w:val="000F2007"/>
    <w:rsid w:val="00100A64"/>
    <w:rsid w:val="00100AA9"/>
    <w:rsid w:val="001051B1"/>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230A1"/>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D1E06"/>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3471A2A"/>
    <w:rsid w:val="03746FAD"/>
    <w:rsid w:val="04C36E9A"/>
    <w:rsid w:val="06F35740"/>
    <w:rsid w:val="07AE4845"/>
    <w:rsid w:val="09492B8F"/>
    <w:rsid w:val="0E2F7597"/>
    <w:rsid w:val="0EDE4A3C"/>
    <w:rsid w:val="10E26882"/>
    <w:rsid w:val="15EE6910"/>
    <w:rsid w:val="1A774F0C"/>
    <w:rsid w:val="1B431436"/>
    <w:rsid w:val="1CE012CA"/>
    <w:rsid w:val="1D7018C4"/>
    <w:rsid w:val="1E6F3DD4"/>
    <w:rsid w:val="1EAD77C3"/>
    <w:rsid w:val="1F14681A"/>
    <w:rsid w:val="1F353E47"/>
    <w:rsid w:val="20535F35"/>
    <w:rsid w:val="217F35A7"/>
    <w:rsid w:val="224C4756"/>
    <w:rsid w:val="24E73B1F"/>
    <w:rsid w:val="26F03C06"/>
    <w:rsid w:val="27A74FEC"/>
    <w:rsid w:val="28FB504A"/>
    <w:rsid w:val="2A547683"/>
    <w:rsid w:val="2B4740EB"/>
    <w:rsid w:val="306A4501"/>
    <w:rsid w:val="30AD29B3"/>
    <w:rsid w:val="31C366C0"/>
    <w:rsid w:val="33CA34B6"/>
    <w:rsid w:val="3565667D"/>
    <w:rsid w:val="377D2173"/>
    <w:rsid w:val="37916079"/>
    <w:rsid w:val="38974622"/>
    <w:rsid w:val="39D6742A"/>
    <w:rsid w:val="3A15734A"/>
    <w:rsid w:val="3BC01B4C"/>
    <w:rsid w:val="3EAF1479"/>
    <w:rsid w:val="40637FE8"/>
    <w:rsid w:val="40F57BCB"/>
    <w:rsid w:val="439758EE"/>
    <w:rsid w:val="44503A13"/>
    <w:rsid w:val="44D11C83"/>
    <w:rsid w:val="46C16BC4"/>
    <w:rsid w:val="4C856E03"/>
    <w:rsid w:val="4C945796"/>
    <w:rsid w:val="4E8D050D"/>
    <w:rsid w:val="4EC00A2C"/>
    <w:rsid w:val="509F44DE"/>
    <w:rsid w:val="51CA7AAB"/>
    <w:rsid w:val="54997A0E"/>
    <w:rsid w:val="54CF2255"/>
    <w:rsid w:val="55945462"/>
    <w:rsid w:val="57964064"/>
    <w:rsid w:val="5A781A20"/>
    <w:rsid w:val="5B2D3DA1"/>
    <w:rsid w:val="5D7A4BCF"/>
    <w:rsid w:val="5FA6489E"/>
    <w:rsid w:val="61413402"/>
    <w:rsid w:val="64671921"/>
    <w:rsid w:val="65471435"/>
    <w:rsid w:val="660268BD"/>
    <w:rsid w:val="667765BF"/>
    <w:rsid w:val="671409E7"/>
    <w:rsid w:val="67987A2B"/>
    <w:rsid w:val="68AC0EA3"/>
    <w:rsid w:val="6BE51426"/>
    <w:rsid w:val="6F344043"/>
    <w:rsid w:val="705C7A7D"/>
    <w:rsid w:val="737F2793"/>
    <w:rsid w:val="7775238E"/>
    <w:rsid w:val="78E206F5"/>
    <w:rsid w:val="7A8638D9"/>
    <w:rsid w:val="7E961649"/>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F20204-6745-463C-8BC6-7FD5E9AA66A8}">
  <ds:schemaRefs/>
</ds:datastoreItem>
</file>

<file path=docProps/app.xml><?xml version="1.0" encoding="utf-8"?>
<Properties xmlns="http://schemas.openxmlformats.org/officeDocument/2006/extended-properties" xmlns:vt="http://schemas.openxmlformats.org/officeDocument/2006/docPropsVTypes">
  <Template>Normal</Template>
  <Pages>15</Pages>
  <Words>991</Words>
  <Characters>5650</Characters>
  <Lines>47</Lines>
  <Paragraphs>13</Paragraphs>
  <TotalTime>85</TotalTime>
  <ScaleCrop>false</ScaleCrop>
  <LinksUpToDate>false</LinksUpToDate>
  <CharactersWithSpaces>6628</CharactersWithSpaces>
  <Application>WPS Office_11.8.2.9022_F1E327BC-269C-435d-A152-05C5408002CA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2023-10-18T05:29:41Z</dcterms:modified>
  <dc:title>新疆普天鹏华商务信息咨询有限公司</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