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 xml:space="preserve"> </w:t>
      </w: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r>
        <w:rPr>
          <w:rFonts w:hint="eastAsia" w:ascii="方正小标宋简体" w:eastAsia="方正小标宋简体"/>
          <w:sz w:val="44"/>
          <w:szCs w:val="44"/>
          <w:lang w:eastAsia="zh-CN"/>
        </w:rPr>
        <w:t>叶城县疾病预防控制</w:t>
      </w:r>
      <w:r>
        <w:rPr>
          <w:rFonts w:hint="eastAsia" w:ascii="方正小标宋简体" w:eastAsia="方正小标宋简体"/>
          <w:sz w:val="44"/>
          <w:szCs w:val="44"/>
        </w:rPr>
        <w:t>项目支出绩效评价报告</w:t>
      </w: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autoSpaceDE w:val="0"/>
        <w:autoSpaceDN w:val="0"/>
        <w:spacing w:line="540" w:lineRule="exact"/>
        <w:ind w:left="718" w:leftChars="342" w:firstLine="0" w:firstLineChars="0"/>
        <w:rPr>
          <w:rFonts w:hint="eastAsia" w:ascii="仿宋_GB2312" w:hAnsi="仿宋" w:eastAsia="仿宋_GB2312" w:cs="Times New Roman"/>
          <w:spacing w:val="-2"/>
          <w:sz w:val="36"/>
          <w:szCs w:val="36"/>
          <w:lang w:eastAsia="zh-CN"/>
        </w:rPr>
      </w:pPr>
      <w:r>
        <w:rPr>
          <w:rFonts w:hint="eastAsia" w:ascii="仿宋_GB2312" w:hAnsi="仿宋" w:eastAsia="仿宋_GB2312" w:cs="Times New Roman"/>
          <w:spacing w:val="-2"/>
          <w:sz w:val="36"/>
          <w:szCs w:val="36"/>
        </w:rPr>
        <w:t>项目名称：2019年重大传染病防控经费项目</w:t>
      </w:r>
      <w:r>
        <w:rPr>
          <w:rFonts w:hint="eastAsia" w:ascii="仿宋_GB2312" w:hAnsi="仿宋" w:eastAsia="仿宋_GB2312" w:cs="Times New Roman"/>
          <w:spacing w:val="-2"/>
          <w:sz w:val="36"/>
          <w:szCs w:val="36"/>
          <w:lang w:val="en-US" w:eastAsia="zh-CN"/>
        </w:rPr>
        <w:t xml:space="preserve">    </w:t>
      </w:r>
      <w:r>
        <w:rPr>
          <w:rFonts w:hint="eastAsia" w:ascii="仿宋_GB2312" w:hAnsi="仿宋" w:eastAsia="仿宋_GB2312" w:cs="Times New Roman"/>
          <w:spacing w:val="-2"/>
          <w:sz w:val="36"/>
          <w:szCs w:val="36"/>
        </w:rPr>
        <w:t>实施单位：</w:t>
      </w:r>
      <w:r>
        <w:rPr>
          <w:rFonts w:hint="eastAsia" w:ascii="仿宋_GB2312" w:hAnsi="仿宋" w:eastAsia="仿宋_GB2312" w:cs="Times New Roman"/>
          <w:spacing w:val="-2"/>
          <w:sz w:val="36"/>
          <w:szCs w:val="36"/>
          <w:lang w:eastAsia="zh-CN"/>
        </w:rPr>
        <w:t>叶城县疾病预防控制</w:t>
      </w:r>
    </w:p>
    <w:p>
      <w:pPr>
        <w:autoSpaceDE w:val="0"/>
        <w:autoSpaceDN w:val="0"/>
        <w:spacing w:line="540" w:lineRule="exact"/>
        <w:ind w:firstLine="712" w:firstLineChars="200"/>
        <w:rPr>
          <w:rFonts w:ascii="仿宋_GB2312" w:hAnsi="仿宋" w:eastAsia="仿宋_GB2312" w:cs="Times New Roman"/>
          <w:spacing w:val="-2"/>
          <w:sz w:val="36"/>
          <w:szCs w:val="36"/>
          <w:highlight w:val="none"/>
        </w:rPr>
      </w:pPr>
      <w:r>
        <w:rPr>
          <w:rFonts w:hint="eastAsia" w:ascii="仿宋_GB2312" w:hAnsi="仿宋" w:eastAsia="仿宋_GB2312" w:cs="Times New Roman"/>
          <w:spacing w:val="-2"/>
          <w:sz w:val="36"/>
          <w:szCs w:val="36"/>
        </w:rPr>
        <w:t>评价部门：</w:t>
      </w:r>
      <w:r>
        <w:rPr>
          <w:rFonts w:hint="eastAsia" w:ascii="仿宋_GB2312" w:hAnsi="仿宋" w:eastAsia="仿宋_GB2312" w:cs="Times New Roman"/>
          <w:spacing w:val="-2"/>
          <w:sz w:val="36"/>
          <w:szCs w:val="36"/>
          <w:highlight w:val="none"/>
        </w:rPr>
        <w:t>叶城县疾病预防控制</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56" w:beforeLines="50" w:line="0" w:lineRule="atLeast"/>
        <w:jc w:val="left"/>
        <w:rPr>
          <w:sz w:val="28"/>
          <w:szCs w:val="28"/>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pStyle w:val="32"/>
        <w:numPr>
          <w:ilvl w:val="0"/>
          <w:numId w:val="2"/>
        </w:numPr>
        <w:ind w:firstLineChars="0"/>
        <w:rPr>
          <w:lang w:bidi="ar"/>
        </w:rPr>
      </w:pPr>
      <w:r>
        <w:rPr>
          <w:rFonts w:hint="eastAsia"/>
          <w:lang w:bidi="ar"/>
        </w:rPr>
        <w:t>基本情况</w:t>
      </w:r>
    </w:p>
    <w:p>
      <w:pPr>
        <w:pStyle w:val="34"/>
        <w:ind w:left="0" w:firstLine="643" w:firstLineChars="200"/>
        <w:rPr>
          <w:lang w:bidi="ar"/>
        </w:rPr>
      </w:pPr>
      <w:bookmarkStart w:id="0" w:name="_Toc26401549"/>
      <w:r>
        <w:rPr>
          <w:rFonts w:hint="eastAsia"/>
          <w:lang w:bidi="ar"/>
        </w:rPr>
        <w:t>项目概况</w:t>
      </w:r>
      <w:bookmarkEnd w:id="0"/>
    </w:p>
    <w:p>
      <w:pPr>
        <w:pStyle w:val="28"/>
        <w:keepNext w:val="0"/>
        <w:keepLines w:val="0"/>
        <w:pageBreakBefore w:val="0"/>
        <w:widowControl w:val="0"/>
        <w:numPr>
          <w:ilvl w:val="0"/>
          <w:numId w:val="3"/>
        </w:numPr>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叶城县疾病预防控制单位无下属预算单位，下设9个处室，分别是：行政办公室、党建办、财务科、结防科、艾滋病防治科、地方病防治科、麻风病防治科、计划免疫科、检验科,编制人数42人，实有人数33人。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新疆维吾尔自治区喀什地区财政局文件喀地财社【2019年】98号“关于拨付2019年重大传染病防控经费的通知” 下发资金预算金额为31.83万元，2019年度设定的预期目标4个. 通过实施国家重大传染病防控，对城乡居民重大疾病实施干预措施，减少主要健康危险因素，有效预防和控制主要传染病、艾滋病、结核病、包虫病及慢性病，提高公共卫生服务和突发公共卫生事件应急处置能力，使城乡居民逐步享有均等化的基本公共卫生服务。到2011年城乡和地区间公共卫生服务差距明显缩小。到2020年，基本公共卫生服务逐步均等化的机制基本完善，重大疾病和主要健康危险因素得到有效控制，城乡居民健康水平得到进一步提高。</w:t>
      </w:r>
    </w:p>
    <w:p>
      <w:pPr>
        <w:pStyle w:val="28"/>
        <w:keepNext w:val="0"/>
        <w:keepLines w:val="0"/>
        <w:pageBreakBefore w:val="0"/>
        <w:widowControl w:val="0"/>
        <w:numPr>
          <w:ilvl w:val="0"/>
          <w:numId w:val="3"/>
        </w:numPr>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项目实施前进行充分调研，制定实施方案，项目实施过程中严格按照实施方案进行实施并及时进行监督管理，项目实施后进行及时验收及后期维护。</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3.项目负责人为蒋新华，主要职责为</w:t>
      </w:r>
      <w:r>
        <w:rPr>
          <w:rFonts w:hint="eastAsia" w:ascii="仿宋_GB2312" w:hAnsi="仿宋" w:eastAsia="仿宋_GB2312" w:cs="宋体"/>
          <w:sz w:val="32"/>
          <w:szCs w:val="32"/>
          <w:lang w:bidi="ar"/>
        </w:rPr>
        <w:t>传染病、艾滋病、结核病、包虫病及慢性病</w:t>
      </w:r>
      <w:r>
        <w:rPr>
          <w:rFonts w:hint="eastAsia" w:ascii="仿宋_GB2312" w:hAnsi="仿宋" w:eastAsia="仿宋_GB2312" w:cs="宋体"/>
          <w:sz w:val="32"/>
          <w:szCs w:val="32"/>
          <w:lang w:val="en-US" w:eastAsia="zh-CN" w:bidi="ar"/>
        </w:rPr>
        <w:t>业务领导。蒋新华为业务、财务负责人。</w:t>
      </w:r>
    </w:p>
    <w:p>
      <w:pPr>
        <w:pStyle w:val="34"/>
        <w:keepNext w:val="0"/>
        <w:keepLines w:val="0"/>
        <w:pageBreakBefore w:val="0"/>
        <w:widowControl w:val="0"/>
        <w:kinsoku/>
        <w:wordWrap/>
        <w:overflowPunct/>
        <w:topLinePunct w:val="0"/>
        <w:autoSpaceDE/>
        <w:autoSpaceDN/>
        <w:bidi w:val="0"/>
        <w:spacing w:before="0" w:after="0" w:line="560" w:lineRule="exact"/>
        <w:ind w:left="0" w:leftChars="0" w:firstLine="643" w:firstLineChars="200"/>
        <w:textAlignment w:val="auto"/>
        <w:rPr>
          <w:lang w:bidi="ar"/>
        </w:rPr>
      </w:pPr>
      <w:bookmarkStart w:id="1" w:name="_Toc26401550"/>
      <w:r>
        <w:rPr>
          <w:rFonts w:hint="eastAsia"/>
          <w:lang w:bidi="ar"/>
        </w:rPr>
        <w:t>资金</w:t>
      </w:r>
      <w:bookmarkEnd w:id="1"/>
      <w:r>
        <w:rPr>
          <w:rFonts w:hint="eastAsia"/>
          <w:lang w:bidi="ar"/>
        </w:rPr>
        <w:t>投入和使用情况</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bidi="ar"/>
        </w:rPr>
        <w:t>本项目总投资31.83元，资金来源为自治区专项资金</w:t>
      </w:r>
      <w:r>
        <w:rPr>
          <w:rFonts w:hint="eastAsia" w:ascii="仿宋_GB2312" w:hAnsi="仿宋" w:eastAsia="仿宋_GB2312" w:cs="宋体"/>
          <w:sz w:val="32"/>
          <w:szCs w:val="32"/>
          <w:lang w:eastAsia="zh-CN" w:bidi="ar"/>
        </w:rPr>
        <w:t>。项目自</w:t>
      </w:r>
      <w:r>
        <w:rPr>
          <w:rFonts w:hint="eastAsia" w:ascii="仿宋_GB2312" w:hAnsi="仿宋" w:eastAsia="仿宋_GB2312" w:cs="宋体"/>
          <w:sz w:val="32"/>
          <w:szCs w:val="32"/>
          <w:lang w:val="en-US" w:eastAsia="zh-CN" w:bidi="ar"/>
        </w:rPr>
        <w:t>2019年1月1日开始至2019年12月31日截止，</w:t>
      </w:r>
      <w:r>
        <w:rPr>
          <w:rFonts w:hint="eastAsia" w:ascii="仿宋_GB2312" w:hAnsi="仿宋" w:eastAsia="仿宋_GB2312" w:cs="宋体"/>
          <w:sz w:val="32"/>
          <w:szCs w:val="32"/>
          <w:lang w:bidi="ar"/>
        </w:rPr>
        <w:t>2019年重大传染病防控经费资金的使用范围：</w:t>
      </w:r>
      <w:r>
        <w:rPr>
          <w:rFonts w:hint="eastAsia" w:ascii="仿宋_GB2312" w:hAnsi="仿宋" w:eastAsia="仿宋_GB2312" w:cs="宋体"/>
          <w:sz w:val="32"/>
          <w:szCs w:val="32"/>
          <w:lang w:val="en-US" w:eastAsia="zh-CN" w:bidi="ar"/>
        </w:rPr>
        <w:t>新疆维吾尔自治区喀什地区财政局文件喀地财社【2019年】98号“关于拨付2019年重大传染病防控经费的通知”</w:t>
      </w:r>
      <w:r>
        <w:rPr>
          <w:rFonts w:hint="eastAsia" w:ascii="仿宋_GB2312" w:hAnsi="仿宋" w:eastAsia="仿宋_GB2312" w:cs="宋体"/>
          <w:sz w:val="32"/>
          <w:szCs w:val="32"/>
          <w:lang w:eastAsia="zh-CN" w:bidi="ar"/>
        </w:rPr>
        <w:t>叶城县疾病预防控制</w:t>
      </w:r>
      <w:r>
        <w:rPr>
          <w:rFonts w:hint="eastAsia" w:ascii="仿宋_GB2312" w:hAnsi="仿宋" w:eastAsia="仿宋_GB2312" w:cs="宋体"/>
          <w:sz w:val="32"/>
          <w:szCs w:val="32"/>
          <w:lang w:bidi="ar"/>
        </w:rPr>
        <w:t>单位制定了</w:t>
      </w:r>
      <w:r>
        <w:rPr>
          <w:rFonts w:hint="eastAsia" w:ascii="仿宋_GB2312" w:hAnsi="仿宋" w:eastAsia="仿宋_GB2312" w:cs="宋体"/>
          <w:sz w:val="32"/>
          <w:szCs w:val="32"/>
          <w:lang w:eastAsia="zh-CN" w:bidi="ar"/>
        </w:rPr>
        <w:t>项目</w:t>
      </w:r>
      <w:r>
        <w:rPr>
          <w:rFonts w:hint="eastAsia" w:ascii="仿宋_GB2312" w:hAnsi="仿宋" w:eastAsia="仿宋_GB2312" w:cs="宋体"/>
          <w:sz w:val="32"/>
          <w:szCs w:val="32"/>
          <w:lang w:bidi="ar"/>
        </w:rPr>
        <w:t>资金管理办法，按照</w:t>
      </w:r>
      <w:r>
        <w:rPr>
          <w:rFonts w:hint="eastAsia" w:ascii="仿宋_GB2312" w:hAnsi="仿宋" w:eastAsia="仿宋_GB2312" w:cs="宋体"/>
          <w:sz w:val="32"/>
          <w:szCs w:val="32"/>
          <w:lang w:val="en-US" w:eastAsia="zh-CN" w:bidi="ar"/>
        </w:rPr>
        <w:t>喀地财社【2019年】98号</w:t>
      </w:r>
      <w:r>
        <w:rPr>
          <w:rFonts w:hint="eastAsia" w:ascii="仿宋_GB2312" w:hAnsi="仿宋" w:eastAsia="仿宋_GB2312" w:cs="宋体"/>
          <w:sz w:val="32"/>
          <w:szCs w:val="32"/>
          <w:lang w:bidi="ar"/>
        </w:rPr>
        <w:t>文件进行使用</w:t>
      </w:r>
      <w:r>
        <w:rPr>
          <w:rFonts w:hint="eastAsia" w:ascii="仿宋_GB2312" w:hAnsi="仿宋" w:eastAsia="仿宋_GB2312" w:cs="宋体"/>
          <w:sz w:val="32"/>
          <w:szCs w:val="32"/>
          <w:lang w:eastAsia="zh-CN" w:bidi="ar"/>
        </w:rPr>
        <w:t>。</w:t>
      </w:r>
    </w:p>
    <w:p>
      <w:pPr>
        <w:pStyle w:val="34"/>
        <w:keepNext w:val="0"/>
        <w:keepLines w:val="0"/>
        <w:pageBreakBefore w:val="0"/>
        <w:widowControl w:val="0"/>
        <w:kinsoku/>
        <w:wordWrap/>
        <w:overflowPunct/>
        <w:topLinePunct w:val="0"/>
        <w:autoSpaceDE/>
        <w:autoSpaceDN/>
        <w:bidi w:val="0"/>
        <w:spacing w:before="0" w:after="0" w:line="560" w:lineRule="exact"/>
        <w:ind w:left="0" w:leftChars="0" w:firstLine="643" w:firstLineChars="200"/>
        <w:textAlignment w:val="auto"/>
        <w:rPr>
          <w:lang w:bidi="ar"/>
        </w:rPr>
      </w:pPr>
      <w:bookmarkStart w:id="2" w:name="_Toc26401551"/>
      <w:r>
        <w:rPr>
          <w:rFonts w:hint="eastAsia"/>
          <w:lang w:bidi="ar"/>
        </w:rPr>
        <w:t>绩效目标</w:t>
      </w:r>
      <w:bookmarkEnd w:id="2"/>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总体目标为：通过实施国家重大传染病防控，对城乡居民重大疾病实施干预措施，减少主要健康危险因素，有效预防和控制主要传染病、艾滋病、结核病、包虫病及慢性病，提高公共卫生服务和突发公共卫生事件应急处置能力，使城乡居民逐步享有均等化的基本公共卫生服务。到2011年城乡和地区间公共卫生服务差距明显缩小。到2020年，基本公共卫生服务逐步均等化的机制基本完善，重大疾病和主要健康危险因素得到有效控制，城乡居民健康水平得到进一步提高。</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实施国家重大传染病防控，对城乡居民重大疾病实施干预措施，减少主要健康危险因素，有效预防和控制主要传染病、艾滋病、结核病、包虫病及慢性病，提高公共卫生服务和突发公共卫生事件应急处置能力，使城乡居民逐步享有均等化的基本公共卫生服务。到2011年城乡和地区间公共卫生服务差距明显缩小。到2020年，基本公共卫生服务逐步均等化的机制基本完善，重大疾病和主要健康危险因素得到有效控制，城乡居民健康水平得到进一步提高。</w:t>
      </w:r>
    </w:p>
    <w:p>
      <w:pPr>
        <w:pStyle w:val="32"/>
        <w:keepNext w:val="0"/>
        <w:keepLines w:val="0"/>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rPr>
          <w:lang w:bidi="ar"/>
        </w:rPr>
      </w:pPr>
      <w:bookmarkStart w:id="3" w:name="_Toc26401552"/>
      <w:r>
        <w:rPr>
          <w:rFonts w:hint="eastAsia"/>
          <w:lang w:bidi="ar"/>
        </w:rPr>
        <w:t>评价工作简述</w:t>
      </w:r>
      <w:bookmarkEnd w:id="3"/>
    </w:p>
    <w:p>
      <w:pPr>
        <w:pStyle w:val="34"/>
        <w:keepNext w:val="0"/>
        <w:keepLines w:val="0"/>
        <w:pageBreakBefore w:val="0"/>
        <w:widowControl w:val="0"/>
        <w:numPr>
          <w:ilvl w:val="0"/>
          <w:numId w:val="4"/>
        </w:numPr>
        <w:kinsoku/>
        <w:wordWrap/>
        <w:overflowPunct/>
        <w:topLinePunct w:val="0"/>
        <w:autoSpaceDE/>
        <w:autoSpaceDN/>
        <w:bidi w:val="0"/>
        <w:spacing w:before="0" w:after="0" w:line="560" w:lineRule="exact"/>
        <w:ind w:left="0" w:leftChars="0" w:firstLine="643" w:firstLineChars="200"/>
        <w:textAlignment w:val="auto"/>
        <w:rPr>
          <w:lang w:bidi="ar"/>
        </w:rPr>
      </w:pPr>
      <w:bookmarkStart w:id="4" w:name="_Toc26401553"/>
      <w:r>
        <w:rPr>
          <w:rFonts w:hint="eastAsia"/>
          <w:lang w:bidi="ar"/>
        </w:rPr>
        <w:t>评价目的</w:t>
      </w:r>
      <w:bookmarkEnd w:id="4"/>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财政部《项目支出绩效评价管理办法》（财预〔2020〕10号）和自治区财政厅《自治区财政支出绩效评价管理暂行办法》（新财预〔2018〕189号）等相关政策文件与规定，旨在2019年重大传染病防控经费项目实施前期、过程及效果，评价财政预算资金使用的效率及效益。</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eastAsia="zh-CN" w:bidi="ar"/>
        </w:rPr>
        <w:t>通过部门</w:t>
      </w:r>
      <w:r>
        <w:rPr>
          <w:rFonts w:hint="eastAsia" w:ascii="仿宋_GB2312" w:hAnsi="仿宋" w:eastAsia="仿宋_GB2312" w:cs="宋体"/>
          <w:sz w:val="32"/>
          <w:szCs w:val="32"/>
          <w:lang w:val="en-US" w:eastAsia="zh-CN" w:bidi="ar"/>
        </w:rPr>
        <w:t>项目支出</w:t>
      </w:r>
      <w:r>
        <w:rPr>
          <w:rFonts w:hint="eastAsia" w:ascii="仿宋_GB2312" w:hAnsi="仿宋" w:eastAsia="仿宋_GB2312" w:cs="宋体"/>
          <w:sz w:val="32"/>
          <w:szCs w:val="32"/>
          <w:lang w:eastAsia="zh-CN" w:bidi="ar"/>
        </w:rPr>
        <w:t>绩效自评,进一步严格落实《预算法》以及党中央、国务院关于加强预算绩效管理的指示精神,建立健全“花钱问效”的绩效预算管理机制、提升政府效能。通过部门</w:t>
      </w:r>
      <w:r>
        <w:rPr>
          <w:rFonts w:hint="eastAsia" w:ascii="仿宋_GB2312" w:hAnsi="仿宋" w:eastAsia="仿宋_GB2312" w:cs="宋体"/>
          <w:sz w:val="32"/>
          <w:szCs w:val="32"/>
          <w:lang w:val="en-US" w:eastAsia="zh-CN" w:bidi="ar"/>
        </w:rPr>
        <w:t>项目支出</w:t>
      </w:r>
      <w:r>
        <w:rPr>
          <w:rFonts w:hint="eastAsia" w:ascii="仿宋_GB2312" w:hAnsi="仿宋" w:eastAsia="仿宋_GB2312" w:cs="宋体"/>
          <w:sz w:val="32"/>
          <w:szCs w:val="32"/>
          <w:lang w:eastAsia="zh-CN" w:bidi="ar"/>
        </w:rPr>
        <w:t>绩效</w:t>
      </w:r>
      <w:r>
        <w:rPr>
          <w:rFonts w:hint="eastAsia" w:ascii="仿宋_GB2312" w:hAnsi="仿宋" w:eastAsia="仿宋_GB2312" w:cs="宋体"/>
          <w:sz w:val="32"/>
          <w:szCs w:val="32"/>
          <w:lang w:val="en-US" w:eastAsia="zh-CN" w:bidi="ar"/>
        </w:rPr>
        <w:t>评价</w:t>
      </w:r>
      <w:r>
        <w:rPr>
          <w:rFonts w:hint="eastAsia" w:ascii="仿宋_GB2312" w:hAnsi="仿宋" w:eastAsia="仿宋_GB2312" w:cs="宋体"/>
          <w:sz w:val="32"/>
          <w:szCs w:val="32"/>
          <w:lang w:eastAsia="zh-CN" w:bidi="ar"/>
        </w:rPr>
        <w:t>,进一步做实绩效目标,根据项目绩效目标,细化形成多维度绩效指标,将绩效指标细化为数量、质量、</w:t>
      </w:r>
      <w:r>
        <w:rPr>
          <w:rFonts w:hint="eastAsia" w:ascii="仿宋_GB2312" w:hAnsi="仿宋" w:eastAsia="仿宋_GB2312" w:cs="宋体"/>
          <w:sz w:val="32"/>
          <w:szCs w:val="32"/>
          <w:lang w:val="en-US" w:eastAsia="zh-CN" w:bidi="ar"/>
        </w:rPr>
        <w:t>时效</w:t>
      </w:r>
      <w:r>
        <w:rPr>
          <w:rFonts w:hint="eastAsia" w:ascii="仿宋_GB2312" w:hAnsi="仿宋" w:eastAsia="仿宋_GB2312" w:cs="宋体"/>
          <w:sz w:val="32"/>
          <w:szCs w:val="32"/>
          <w:lang w:eastAsia="zh-CN" w:bidi="ar"/>
        </w:rPr>
        <w:t>、成本、经济效益、社会效益、可持续影响、服务对象满意度等内容,保证项目绩效指标设置规范、合理、可衡量。通过项目绩效自评,进一步纠正对绩效管理理解上的偏差,建立更加全面科学的绩效指标体系。督促在预算编制中,将资金申请、绩效目标和具体指标统筹考虑,形成“花钱必问效、无效必问责”的责任契约机制,进一步强化预算绩效管理的严肃性和约束力,推动绩效管理向全方位的绩效预算转变,逐步建立“以绩效目标为导向,以绩效评价为手段,以评价结果应用为保障,</w:t>
      </w:r>
      <w:r>
        <w:rPr>
          <w:rFonts w:hint="eastAsia" w:ascii="仿宋_GB2312" w:hAnsi="仿宋" w:eastAsia="仿宋_GB2312" w:cs="宋体"/>
          <w:sz w:val="32"/>
          <w:szCs w:val="32"/>
          <w:lang w:val="en-US" w:eastAsia="zh-CN" w:bidi="ar"/>
        </w:rPr>
        <w:t>全覆盖、全过程</w:t>
      </w:r>
      <w:r>
        <w:rPr>
          <w:rFonts w:hint="eastAsia" w:ascii="仿宋_GB2312" w:hAnsi="仿宋" w:eastAsia="仿宋_GB2312" w:cs="宋体"/>
          <w:sz w:val="32"/>
          <w:szCs w:val="32"/>
          <w:lang w:eastAsia="zh-CN" w:bidi="ar"/>
        </w:rPr>
        <w:t>”的绩效预算管理新体制。</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eastAsia="zh-CN" w:bidi="ar"/>
        </w:rPr>
        <w:t>本项目</w:t>
      </w:r>
      <w:r>
        <w:rPr>
          <w:rFonts w:hint="eastAsia" w:ascii="仿宋_GB2312" w:hAnsi="仿宋" w:eastAsia="仿宋_GB2312" w:cs="宋体"/>
          <w:sz w:val="32"/>
          <w:szCs w:val="32"/>
          <w:lang w:val="en-US" w:eastAsia="zh-CN" w:bidi="ar"/>
        </w:rPr>
        <w:t>为</w:t>
      </w:r>
      <w:r>
        <w:rPr>
          <w:rFonts w:hint="eastAsia" w:ascii="仿宋_GB2312" w:hAnsi="仿宋" w:eastAsia="仿宋_GB2312" w:cs="宋体"/>
          <w:sz w:val="32"/>
          <w:szCs w:val="32"/>
          <w:lang w:eastAsia="zh-CN" w:bidi="ar"/>
        </w:rPr>
        <w:t>财政支出绩效评价,是通过对该项目决策、项目管理和项目绩效作出评定,全面了解财政预算资金支出安排情况、资金实际使用状况和项目的绩效,帮助健全和完善科学的、符合实际情况的项目绩效目标,肯定取得的成绩,提出存在的问题,给出相应的建议,以而保证项目的持续开展,推进财政绩效预算工作的顺利实施。</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eastAsia="zh-CN" w:bidi="ar"/>
        </w:rPr>
        <w:t>本次评价从2019年重大传染病防控经费</w:t>
      </w:r>
      <w:r>
        <w:rPr>
          <w:rFonts w:hint="eastAsia" w:ascii="仿宋_GB2312" w:hAnsi="仿宋" w:eastAsia="仿宋_GB2312" w:cs="宋体"/>
          <w:sz w:val="32"/>
          <w:szCs w:val="32"/>
          <w:lang w:val="en-US" w:eastAsia="zh-CN" w:bidi="ar"/>
        </w:rPr>
        <w:t>项目</w:t>
      </w:r>
      <w:r>
        <w:rPr>
          <w:rFonts w:hint="eastAsia" w:ascii="仿宋_GB2312" w:hAnsi="仿宋" w:eastAsia="仿宋_GB2312" w:cs="宋体"/>
          <w:sz w:val="32"/>
          <w:szCs w:val="32"/>
          <w:lang w:eastAsia="zh-CN" w:bidi="ar"/>
        </w:rPr>
        <w:t>产生的效果角度出发,力求从绩效的角度发现</w:t>
      </w:r>
      <w:r>
        <w:rPr>
          <w:rFonts w:hint="eastAsia" w:ascii="仿宋_GB2312" w:hAnsi="仿宋" w:eastAsia="仿宋_GB2312" w:cs="宋体"/>
          <w:sz w:val="32"/>
          <w:szCs w:val="32"/>
          <w:lang w:val="en-US" w:eastAsia="zh-CN" w:bidi="ar"/>
        </w:rPr>
        <w:t>2019</w:t>
      </w:r>
      <w:r>
        <w:rPr>
          <w:rFonts w:hint="eastAsia" w:ascii="仿宋_GB2312" w:hAnsi="仿宋" w:eastAsia="仿宋_GB2312" w:cs="宋体"/>
          <w:sz w:val="32"/>
          <w:szCs w:val="32"/>
          <w:lang w:eastAsia="zh-CN" w:bidi="ar"/>
        </w:rPr>
        <w:t>年度重大传染病防控经费项目中取得的成绩和产生的问题,优化财政支出管理改革,为下一步实施绩效预算奠定基础。</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val="en-US" w:eastAsia="zh-CN" w:bidi="ar"/>
        </w:rPr>
        <w:t>2019</w:t>
      </w:r>
      <w:r>
        <w:rPr>
          <w:rFonts w:hint="eastAsia" w:ascii="仿宋_GB2312" w:hAnsi="仿宋" w:eastAsia="仿宋_GB2312" w:cs="宋体"/>
          <w:sz w:val="32"/>
          <w:szCs w:val="32"/>
          <w:lang w:eastAsia="zh-CN" w:bidi="ar"/>
        </w:rPr>
        <w:t>年度重大传染病防控经费项目的基本情况对项目背景和目的、项目内容和现状、项目预算做深入调研和分析;人人享有基本医疗卫生服务”是卫生工作的重大战略目标。要实施“健康中国2020”战略实施“健康中国2020”战略，努力促进公共卫生服务均等化。他说，“人人享有”的本质含义是“公平享有”，任何公民，无论年龄、性别、职业、地域、支付能力等，都享有同等权利。</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eastAsia="zh-CN" w:bidi="ar"/>
        </w:rPr>
        <w:t>通过评价,艾滋病、结核病、包虫病及慢性病等人群提供防治指导服务等，公共卫生服务应该是面向所有人群的，其内容包括疾病预防与控制、健康保护与促进，目标是实现预防疾病，提高生活质量、延长健康寿命。为此所开展的各项工作都是公共卫生服务内容。</w:t>
      </w:r>
    </w:p>
    <w:p>
      <w:pPr>
        <w:pStyle w:val="34"/>
        <w:keepNext w:val="0"/>
        <w:keepLines w:val="0"/>
        <w:pageBreakBefore w:val="0"/>
        <w:widowControl w:val="0"/>
        <w:numPr>
          <w:ilvl w:val="0"/>
          <w:numId w:val="4"/>
        </w:numPr>
        <w:kinsoku/>
        <w:wordWrap/>
        <w:overflowPunct/>
        <w:topLinePunct w:val="0"/>
        <w:autoSpaceDE/>
        <w:autoSpaceDN/>
        <w:bidi w:val="0"/>
        <w:spacing w:before="0" w:after="0" w:line="560" w:lineRule="exact"/>
        <w:ind w:left="0" w:leftChars="0" w:firstLine="643" w:firstLineChars="200"/>
        <w:textAlignment w:val="auto"/>
        <w:rPr>
          <w:lang w:bidi="ar"/>
        </w:rPr>
      </w:pPr>
      <w:r>
        <w:rPr>
          <w:rFonts w:hint="eastAsia"/>
          <w:lang w:bidi="ar"/>
        </w:rPr>
        <w:t>本次绩效评价的对象及范围</w:t>
      </w:r>
      <w:bookmarkStart w:id="5" w:name="_Toc26401554"/>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bidi="ar"/>
        </w:rPr>
        <w:t>本次评价对象为</w:t>
      </w:r>
      <w:r>
        <w:rPr>
          <w:rFonts w:hint="eastAsia" w:ascii="仿宋_GB2312" w:hAnsi="仿宋" w:eastAsia="仿宋_GB2312" w:cs="宋体"/>
          <w:sz w:val="32"/>
          <w:szCs w:val="32"/>
          <w:lang w:val="en-US" w:eastAsia="zh-CN" w:bidi="ar"/>
        </w:rPr>
        <w:t>2019</w:t>
      </w:r>
      <w:r>
        <w:rPr>
          <w:rFonts w:hint="eastAsia" w:ascii="仿宋_GB2312" w:hAnsi="仿宋" w:eastAsia="仿宋_GB2312" w:cs="宋体"/>
          <w:sz w:val="32"/>
          <w:szCs w:val="32"/>
          <w:lang w:eastAsia="zh-CN" w:bidi="ar"/>
        </w:rPr>
        <w:t>年度重大传染病防控经费，</w:t>
      </w:r>
      <w:r>
        <w:rPr>
          <w:rFonts w:hint="default" w:ascii="仿宋_GB2312" w:hAnsi="仿宋" w:eastAsia="仿宋_GB2312" w:cs="宋体"/>
          <w:sz w:val="32"/>
          <w:szCs w:val="32"/>
          <w:lang w:val="en-US" w:eastAsia="zh-CN" w:bidi="ar"/>
        </w:rPr>
        <w:t>针对严重威胁妇女、儿童、老年人等脆弱人群和某些地区居民的传染病、地方病等重大疾病和主要健康危险因素，国家设立和实施了重大公共卫生项目。目前，重大公共卫生项目包括结核病、艾滋病等重大疾病防控，国家免疫规划</w:t>
      </w:r>
      <w:r>
        <w:rPr>
          <w:rFonts w:hint="eastAsia" w:ascii="仿宋_GB2312" w:hAnsi="仿宋" w:eastAsia="仿宋_GB2312" w:cs="宋体"/>
          <w:sz w:val="32"/>
          <w:szCs w:val="32"/>
          <w:lang w:val="en-US" w:eastAsia="zh-CN" w:bidi="ar"/>
        </w:rPr>
        <w:t>、</w:t>
      </w:r>
      <w:r>
        <w:rPr>
          <w:rFonts w:hint="default" w:ascii="仿宋_GB2312" w:hAnsi="仿宋" w:eastAsia="仿宋_GB2312" w:cs="宋体"/>
          <w:sz w:val="32"/>
          <w:szCs w:val="32"/>
          <w:lang w:val="en-US" w:eastAsia="zh-CN" w:bidi="ar"/>
        </w:rPr>
        <w:t>为15岁以下人群补种乙肝疫苗；消除燃煤型氟中毒危害；食品安全、职业病防治、饮用水安全领域内的若干重大公共卫生问题纳入国家重大公共卫生服务项目。</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kern w:val="2"/>
          <w:sz w:val="32"/>
          <w:szCs w:val="32"/>
          <w:lang w:val="en-US" w:eastAsia="zh-CN" w:bidi="ar"/>
        </w:rPr>
      </w:pPr>
      <w:r>
        <w:rPr>
          <w:rFonts w:hint="default" w:ascii="仿宋_GB2312" w:hAnsi="仿宋" w:eastAsia="仿宋_GB2312" w:cs="宋体"/>
          <w:sz w:val="32"/>
          <w:szCs w:val="32"/>
          <w:lang w:val="en-US" w:eastAsia="zh-CN" w:bidi="ar"/>
        </w:rPr>
        <w:t>项目资金，</w:t>
      </w:r>
      <w:r>
        <w:rPr>
          <w:rFonts w:hint="eastAsia" w:ascii="仿宋_GB2312" w:hAnsi="仿宋" w:eastAsia="仿宋_GB2312" w:cs="宋体"/>
          <w:sz w:val="32"/>
          <w:szCs w:val="32"/>
          <w:lang w:val="en-US" w:eastAsia="zh-CN" w:bidi="ar"/>
        </w:rPr>
        <w:t>重大项目主要通过县级基层公共卫生机构负责实施,以疾病预防重点人群和弱势群体为服务对象,包括重大疾病防治项目。由政府根据疾病流行情况和财力可能安排资金支持,是我国卫生工作的重要组成部分。使用效益贯彻落实“花钱必问效、无效必问责”要求，管好用好专项资金，严格财经纪律，防止截留、挤占、挪用等违规行为，加强绩效目标管理，做好业务培训，不断提升经办人员绩效目标设定和绩效管理水平</w:t>
      </w:r>
      <w:r>
        <w:rPr>
          <w:rFonts w:hint="eastAsia" w:ascii="仿宋_GB2312" w:hAnsi="仿宋" w:eastAsia="仿宋_GB2312" w:cs="宋体"/>
          <w:kern w:val="2"/>
          <w:sz w:val="32"/>
          <w:szCs w:val="32"/>
          <w:lang w:val="en-US" w:eastAsia="zh-CN" w:bidi="ar"/>
        </w:rPr>
        <w:t>。</w:t>
      </w:r>
    </w:p>
    <w:p>
      <w:pPr>
        <w:pStyle w:val="34"/>
        <w:keepNext w:val="0"/>
        <w:keepLines w:val="0"/>
        <w:pageBreakBefore w:val="0"/>
        <w:widowControl w:val="0"/>
        <w:numPr>
          <w:ilvl w:val="0"/>
          <w:numId w:val="4"/>
        </w:numPr>
        <w:kinsoku/>
        <w:wordWrap/>
        <w:overflowPunct/>
        <w:topLinePunct w:val="0"/>
        <w:autoSpaceDE/>
        <w:autoSpaceDN/>
        <w:bidi w:val="0"/>
        <w:spacing w:before="0" w:after="0" w:line="560" w:lineRule="exact"/>
        <w:ind w:left="0" w:leftChars="0" w:firstLine="643" w:firstLineChars="200"/>
        <w:textAlignment w:val="auto"/>
        <w:rPr>
          <w:lang w:bidi="ar"/>
        </w:rPr>
      </w:pPr>
      <w:r>
        <w:rPr>
          <w:rFonts w:hint="eastAsia"/>
          <w:lang w:bidi="ar"/>
        </w:rPr>
        <w:t>绩效评价原则</w:t>
      </w:r>
      <w:bookmarkEnd w:id="5"/>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34"/>
        <w:keepNext w:val="0"/>
        <w:keepLines w:val="0"/>
        <w:pageBreakBefore w:val="0"/>
        <w:widowControl w:val="0"/>
        <w:numPr>
          <w:ilvl w:val="1"/>
          <w:numId w:val="5"/>
        </w:numPr>
        <w:kinsoku/>
        <w:wordWrap/>
        <w:overflowPunct/>
        <w:topLinePunct w:val="0"/>
        <w:autoSpaceDE/>
        <w:autoSpaceDN/>
        <w:bidi w:val="0"/>
        <w:spacing w:before="0" w:after="0" w:line="560" w:lineRule="exact"/>
        <w:ind w:left="0" w:leftChars="0" w:firstLine="640" w:firstLineChars="200"/>
        <w:textAlignment w:val="auto"/>
        <w:rPr>
          <w:rFonts w:hAnsi="仿宋" w:cs="宋体"/>
          <w:b w:val="0"/>
          <w:lang w:bidi="ar"/>
        </w:rPr>
      </w:pPr>
      <w:r>
        <w:rPr>
          <w:rFonts w:hint="eastAsia" w:hAnsi="仿宋" w:cs="宋体"/>
          <w:b w:val="0"/>
          <w:lang w:bidi="ar"/>
        </w:rPr>
        <w:t>科学</w:t>
      </w:r>
      <w:r>
        <w:rPr>
          <w:rFonts w:hint="eastAsia" w:ascii="仿宋_GB2312" w:hAnsi="仿宋" w:eastAsia="仿宋_GB2312" w:cs="宋体"/>
          <w:b w:val="0"/>
          <w:bCs w:val="0"/>
          <w:kern w:val="2"/>
          <w:sz w:val="32"/>
          <w:szCs w:val="32"/>
          <w:lang w:val="en-US" w:eastAsia="zh-CN" w:bidi="ar"/>
        </w:rPr>
        <w:t>公正。绩效评价应当运用科学合理的方法，按照规范的程序，对项目绩效进行客观、公正的反映。</w:t>
      </w:r>
    </w:p>
    <w:p>
      <w:pPr>
        <w:pStyle w:val="34"/>
        <w:keepNext w:val="0"/>
        <w:keepLines w:val="0"/>
        <w:pageBreakBefore w:val="0"/>
        <w:widowControl w:val="0"/>
        <w:numPr>
          <w:ilvl w:val="1"/>
          <w:numId w:val="5"/>
        </w:numPr>
        <w:kinsoku/>
        <w:wordWrap/>
        <w:overflowPunct/>
        <w:topLinePunct w:val="0"/>
        <w:autoSpaceDE/>
        <w:autoSpaceDN/>
        <w:bidi w:val="0"/>
        <w:spacing w:before="0" w:after="0" w:line="560" w:lineRule="exact"/>
        <w:ind w:left="0" w:leftChars="0"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hAnsi="仿宋" w:cs="宋体"/>
          <w:b w:val="0"/>
          <w:lang w:bidi="ar"/>
        </w:rPr>
        <w:t>统</w:t>
      </w:r>
      <w:r>
        <w:rPr>
          <w:rFonts w:hint="eastAsia" w:ascii="仿宋_GB2312" w:hAnsi="仿宋" w:eastAsia="仿宋_GB2312" w:cs="宋体"/>
          <w:b w:val="0"/>
          <w:bCs w:val="0"/>
          <w:kern w:val="2"/>
          <w:sz w:val="32"/>
          <w:szCs w:val="32"/>
          <w:lang w:val="en-US" w:eastAsia="zh-CN" w:bidi="ar"/>
        </w:rPr>
        <w:t>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34"/>
        <w:keepNext w:val="0"/>
        <w:keepLines w:val="0"/>
        <w:pageBreakBefore w:val="0"/>
        <w:widowControl w:val="0"/>
        <w:numPr>
          <w:ilvl w:val="1"/>
          <w:numId w:val="5"/>
        </w:numPr>
        <w:kinsoku/>
        <w:wordWrap/>
        <w:overflowPunct/>
        <w:topLinePunct w:val="0"/>
        <w:autoSpaceDE/>
        <w:autoSpaceDN/>
        <w:bidi w:val="0"/>
        <w:spacing w:before="0" w:after="0" w:line="560" w:lineRule="exact"/>
        <w:ind w:left="0" w:leftChars="0"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hAnsi="仿宋" w:cs="宋体"/>
          <w:b w:val="0"/>
          <w:lang w:bidi="ar"/>
        </w:rPr>
        <w:t>激</w:t>
      </w:r>
      <w:r>
        <w:rPr>
          <w:rFonts w:hint="eastAsia" w:ascii="仿宋_GB2312" w:hAnsi="仿宋" w:eastAsia="仿宋_GB2312" w:cs="宋体"/>
          <w:b w:val="0"/>
          <w:bCs w:val="0"/>
          <w:kern w:val="2"/>
          <w:sz w:val="32"/>
          <w:szCs w:val="32"/>
          <w:lang w:val="en-US" w:eastAsia="zh-CN" w:bidi="ar"/>
        </w:rPr>
        <w:t>励约束。绩效评价结果应与预算安排、政策调整、改进管理实质性挂钩，体现奖优罚劣和激励相容导向，有效要安排、低效要压减、无效要问责。</w:t>
      </w:r>
    </w:p>
    <w:p>
      <w:pPr>
        <w:pStyle w:val="34"/>
        <w:keepNext w:val="0"/>
        <w:keepLines w:val="0"/>
        <w:pageBreakBefore w:val="0"/>
        <w:widowControl w:val="0"/>
        <w:numPr>
          <w:ilvl w:val="1"/>
          <w:numId w:val="5"/>
        </w:numPr>
        <w:kinsoku/>
        <w:wordWrap/>
        <w:overflowPunct/>
        <w:topLinePunct w:val="0"/>
        <w:autoSpaceDE/>
        <w:autoSpaceDN/>
        <w:bidi w:val="0"/>
        <w:spacing w:before="0" w:after="0" w:line="560" w:lineRule="exact"/>
        <w:ind w:left="0" w:leftChars="0"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hAnsi="仿宋" w:cs="宋体"/>
          <w:b w:val="0"/>
          <w:lang w:bidi="ar"/>
        </w:rPr>
        <w:t>公开</w:t>
      </w:r>
      <w:r>
        <w:rPr>
          <w:rFonts w:hint="eastAsia" w:ascii="仿宋_GB2312" w:hAnsi="仿宋" w:eastAsia="仿宋_GB2312" w:cs="宋体"/>
          <w:b w:val="0"/>
          <w:bCs w:val="0"/>
          <w:kern w:val="2"/>
          <w:sz w:val="32"/>
          <w:szCs w:val="32"/>
          <w:lang w:val="en-US" w:eastAsia="zh-CN" w:bidi="ar"/>
        </w:rPr>
        <w:t>透明。绩效评价结果应依法依规公开，并自觉接受社会监督。绩效评价体系根据以上原则,绩效评价应遵循如下要求:</w:t>
      </w:r>
    </w:p>
    <w:p>
      <w:pPr>
        <w:keepNext w:val="0"/>
        <w:keepLines w:val="0"/>
        <w:pageBreakBefore w:val="0"/>
        <w:widowControl w:val="0"/>
        <w:numPr>
          <w:ilvl w:val="0"/>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kern w:val="2"/>
          <w:sz w:val="32"/>
          <w:szCs w:val="32"/>
          <w:lang w:val="en-US" w:eastAsia="zh-CN" w:bidi="ar"/>
        </w:rPr>
        <w:t>（1）</w:t>
      </w:r>
      <w:r>
        <w:rPr>
          <w:rFonts w:hint="eastAsia" w:ascii="仿宋_GB2312" w:hAnsi="仿宋" w:eastAsia="仿宋_GB2312" w:cs="宋体"/>
          <w:b w:val="0"/>
          <w:bCs w:val="0"/>
          <w:kern w:val="2"/>
          <w:sz w:val="32"/>
          <w:szCs w:val="32"/>
          <w:lang w:val="en-US" w:eastAsia="zh-CN" w:bidi="ar"/>
        </w:rPr>
        <w:t>在数据采集时,采取客观数据,主管部门审查、社会中介组织复查,与问卷调查相结合的形式,以保证各项指标的真实性。</w:t>
      </w:r>
    </w:p>
    <w:p>
      <w:pPr>
        <w:keepNext w:val="0"/>
        <w:keepLines w:val="0"/>
        <w:pageBreakBefore w:val="0"/>
        <w:widowControl w:val="0"/>
        <w:numPr>
          <w:ilvl w:val="0"/>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kern w:val="2"/>
          <w:sz w:val="32"/>
          <w:szCs w:val="32"/>
          <w:lang w:val="en-US" w:eastAsia="zh-CN" w:bidi="ar"/>
        </w:rPr>
        <w:t>(2)保</w:t>
      </w:r>
      <w:r>
        <w:rPr>
          <w:rFonts w:hint="eastAsia" w:ascii="仿宋_GB2312" w:hAnsi="仿宋" w:eastAsia="仿宋_GB2312" w:cs="宋体"/>
          <w:b w:val="0"/>
          <w:bCs w:val="0"/>
          <w:kern w:val="2"/>
          <w:sz w:val="32"/>
          <w:szCs w:val="32"/>
          <w:lang w:val="en-US" w:eastAsia="zh-CN" w:bidi="ar"/>
        </w:rPr>
        <w:t>证评价结果的真实性、公正性,提高评价报告的公信力。</w:t>
      </w:r>
    </w:p>
    <w:p>
      <w:pPr>
        <w:keepNext w:val="0"/>
        <w:keepLines w:val="0"/>
        <w:pageBreakBefore w:val="0"/>
        <w:widowControl w:val="0"/>
        <w:kinsoku/>
        <w:wordWrap/>
        <w:overflowPunct/>
        <w:topLinePunct w:val="0"/>
        <w:autoSpaceDE/>
        <w:autoSpaceDN/>
        <w:bidi w:val="0"/>
        <w:spacing w:line="560" w:lineRule="exact"/>
        <w:ind w:left="0" w:leftChars="0" w:firstLine="643" w:firstLineChars="200"/>
        <w:textAlignment w:val="auto"/>
        <w:rPr>
          <w:rFonts w:hint="eastAsia" w:ascii="仿宋_GB2312" w:hAnsi="仿宋" w:eastAsia="仿宋_GB2312" w:cs="宋体"/>
          <w:b/>
          <w:bCs/>
          <w:sz w:val="32"/>
          <w:szCs w:val="32"/>
          <w:lang w:bidi="ar"/>
        </w:rPr>
      </w:pP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val="en-US" w:eastAsia="zh-CN" w:bidi="ar"/>
        </w:rPr>
        <w:t>四</w:t>
      </w: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bidi="ar"/>
        </w:rPr>
        <w:t>本项目绩效评价体系</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遵循“科学性、规范性、客观性和公正性”的绩效评价原则,根据财政部制定的《项目支出绩效评价共性指标体系框架》,结合2019年重大传染病防控经费项目特性、叶城县疾病预防控制根据实际情况,本项目按照财预﹝2020﹞10号文件制定评价指标体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我单位选取共性指标：决策中一级指标三个。过程二级指标二个。产出指标二级指标：二个。效益二级指标：一个。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决策中二级指标三个：项目立项、绩效目标、资金投入。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过程中二级指标有二个：资金管理、组织实施。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产出中二级指标有：质量达标率、产出时效。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效益指标中有：项目效益</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资金到位率100%、预算完成率100%,单位本年度预算完成数与预算数的比率1∶1。项目预算资金按照计划执行，用以反映或考核项目预算执行情况。</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本年度共完成结核病人发现任务1909结核病人，其中涂阳患者完成799人，成功治疗631人，治疗率87%，涂阴患者完成1110人，成功治疗106人，治疗率99.6%。全年以乡镇为单位的DOTS覆盖率继续维持在100%;稳步推进耐多药肺结核规范化诊疗工作，加强耐多药肺结发现及转诊诊疗工作，全年完成耐药结核病患者23人。</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艾滋病防治工作完成情况本年度，全县累计完成自愿咨询检测 563人次；完成HIV抗体检测406415人次，新增抗病毒治疗人数 133人，完成率100%。艾滋病病毒感染者/病人随访检测率为 100 %；艾滋病病毒感染者/病人的配偶/固定性伴HIV抗体检测率为 100 %；暗娼人群HIV抗体检测比100 %。抗病毒治疗覆盖率100 %；为响应国家“四免一关怀”政策要求，我单位坚持“四免一关怀”政策落实，2019年我县对前来进行CD4采血的感染者/病人发放宣传材料1500余份，并对其进行生活救助。</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highlight w:val="none"/>
          <w:lang w:val="en-US" w:eastAsia="zh-CN" w:bidi="ar"/>
        </w:rPr>
        <w:t>1.项</w:t>
      </w:r>
      <w:r>
        <w:rPr>
          <w:rFonts w:hint="eastAsia" w:ascii="仿宋_GB2312" w:hAnsi="仿宋" w:eastAsia="仿宋_GB2312" w:cs="宋体"/>
          <w:b w:val="0"/>
          <w:bCs w:val="0"/>
          <w:kern w:val="2"/>
          <w:sz w:val="32"/>
          <w:szCs w:val="32"/>
          <w:lang w:val="en-US" w:eastAsia="zh-CN" w:bidi="ar"/>
        </w:rPr>
        <w:t>目立项：立项依据充分性 ，项目立项符合法律法规、相关政策、发展规划以及部门职责。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sz w:val="32"/>
          <w:szCs w:val="32"/>
          <w:lang w:val="en-US" w:eastAsia="zh-CN" w:bidi="ar"/>
        </w:rPr>
        <w:t>2.目标</w:t>
      </w:r>
      <w:r>
        <w:rPr>
          <w:rFonts w:hint="eastAsia" w:ascii="仿宋_GB2312" w:hAnsi="仿宋" w:eastAsia="仿宋_GB2312" w:cs="宋体"/>
          <w:b w:val="0"/>
          <w:bCs w:val="0"/>
          <w:kern w:val="2"/>
          <w:sz w:val="32"/>
          <w:szCs w:val="32"/>
          <w:lang w:val="en-US" w:eastAsia="zh-CN" w:bidi="ar"/>
        </w:rPr>
        <w:t>设定:绩效目标合理明确,目标依据充分符合客观实际。</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sz w:val="32"/>
          <w:szCs w:val="32"/>
          <w:lang w:val="en-US" w:eastAsia="zh-CN" w:bidi="ar"/>
        </w:rPr>
        <w:t>3.预</w:t>
      </w:r>
      <w:r>
        <w:rPr>
          <w:rFonts w:hint="eastAsia" w:ascii="仿宋_GB2312" w:hAnsi="仿宋" w:eastAsia="仿宋_GB2312" w:cs="宋体"/>
          <w:b w:val="0"/>
          <w:bCs w:val="0"/>
          <w:kern w:val="2"/>
          <w:sz w:val="32"/>
          <w:szCs w:val="32"/>
          <w:lang w:val="en-US" w:eastAsia="zh-CN" w:bidi="ar"/>
        </w:rPr>
        <w:t>算执行:资金到位率100%、预算完成率100%,单位本年度预算完成数与预算数的比率1∶1。项目预算资金按照计划执行，用以反映或考核项目预算执行情况。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4.组</w:t>
      </w:r>
      <w:r>
        <w:rPr>
          <w:rFonts w:hint="eastAsia" w:ascii="仿宋_GB2312" w:hAnsi="仿宋" w:eastAsia="仿宋_GB2312" w:cs="宋体"/>
          <w:b w:val="0"/>
          <w:bCs w:val="0"/>
          <w:kern w:val="2"/>
          <w:sz w:val="32"/>
          <w:szCs w:val="32"/>
          <w:lang w:val="en-US" w:eastAsia="zh-CN" w:bidi="ar"/>
        </w:rPr>
        <w:t>织实施:管理制度健全性,单位为加强预算管理、规范财务行为而制定的管理制度健全完整。预决算信息公开,单位按照政府信息公开的有关规定公开相关预决算信息。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sz w:val="32"/>
          <w:szCs w:val="32"/>
          <w:lang w:val="en-US" w:eastAsia="zh-CN" w:bidi="ar"/>
        </w:rPr>
        <w:t>5.职</w:t>
      </w:r>
      <w:r>
        <w:rPr>
          <w:rFonts w:hint="eastAsia" w:ascii="仿宋_GB2312" w:hAnsi="仿宋" w:eastAsia="仿宋_GB2312" w:cs="宋体"/>
          <w:b w:val="0"/>
          <w:bCs w:val="0"/>
          <w:kern w:val="2"/>
          <w:sz w:val="32"/>
          <w:szCs w:val="32"/>
          <w:lang w:val="en-US" w:eastAsia="zh-CN" w:bidi="ar"/>
        </w:rPr>
        <w:t>责履行:实际完成率100%,单位履行职责而实际完成工作数与计划工作数的比率1∶1。</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sz w:val="32"/>
          <w:szCs w:val="32"/>
          <w:lang w:val="en-US" w:eastAsia="zh-CN" w:bidi="ar"/>
        </w:rPr>
        <w:t>6.项</w:t>
      </w:r>
      <w:r>
        <w:rPr>
          <w:rFonts w:hint="eastAsia" w:ascii="仿宋_GB2312" w:hAnsi="仿宋" w:eastAsia="仿宋_GB2312" w:cs="宋体"/>
          <w:b w:val="0"/>
          <w:bCs w:val="0"/>
          <w:kern w:val="2"/>
          <w:sz w:val="32"/>
          <w:szCs w:val="32"/>
          <w:lang w:val="en-US" w:eastAsia="zh-CN" w:bidi="ar"/>
        </w:rPr>
        <w:t>目实施所产生的效益：对城乡居民重大疾病实施干预措施，减少主要健康危险因素，有效预防和控制主要传染病、艾滋病、结核病、包虫病及慢性病，提高公共卫生服务和突发公共卫生事件应急处置能力，使城乡居民逐步享有均等化的基本公共卫生服务。到2011年城乡和地区间公共卫生服务差距明显缩小。到2020年，基本公共卫生服务逐步均等化的机制基本完善，重大疾病和主要健康危险因素得到有效控制，城乡居民健康水平得到进一步提高。</w:t>
      </w:r>
    </w:p>
    <w:p>
      <w:pPr>
        <w:pStyle w:val="3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bookmarkStart w:id="6" w:name="_Toc26401555"/>
      <w:r>
        <w:rPr>
          <w:rFonts w:hint="eastAsia"/>
          <w:lang w:eastAsia="zh-CN" w:bidi="ar"/>
        </w:rPr>
        <w:t>（</w:t>
      </w:r>
      <w:r>
        <w:rPr>
          <w:rFonts w:hint="eastAsia"/>
          <w:lang w:val="en-US" w:eastAsia="zh-CN" w:bidi="ar"/>
        </w:rPr>
        <w:t>五</w:t>
      </w:r>
      <w:r>
        <w:rPr>
          <w:rFonts w:hint="eastAsia"/>
          <w:lang w:eastAsia="zh-CN" w:bidi="ar"/>
        </w:rPr>
        <w:t>）</w:t>
      </w:r>
      <w:r>
        <w:rPr>
          <w:rFonts w:hint="eastAsia"/>
          <w:lang w:bidi="ar"/>
        </w:rPr>
        <w:t>绩效评价方法</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本次绩效评价方法的选用坚持简便有效的原则</w:t>
      </w:r>
      <w:r>
        <w:rPr>
          <w:rFonts w:hint="default" w:ascii="仿宋_GB2312" w:hAnsi="仿宋" w:eastAsia="仿宋_GB2312" w:cs="宋体"/>
          <w:b w:val="0"/>
          <w:bCs w:val="0"/>
          <w:kern w:val="2"/>
          <w:sz w:val="32"/>
          <w:szCs w:val="32"/>
          <w:lang w:val="en-US" w:eastAsia="zh-CN" w:bidi="ar"/>
        </w:rPr>
        <w:t>目标比较法</w:t>
      </w:r>
      <w:r>
        <w:rPr>
          <w:rFonts w:hint="eastAsia" w:ascii="仿宋_GB2312" w:hAnsi="仿宋" w:eastAsia="仿宋_GB2312" w:cs="宋体"/>
          <w:b w:val="0"/>
          <w:bCs w:val="0"/>
          <w:kern w:val="2"/>
          <w:sz w:val="32"/>
          <w:szCs w:val="32"/>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 w:eastAsia="仿宋_GB2312" w:cs="宋体"/>
          <w:b w:val="0"/>
          <w:bCs w:val="0"/>
          <w:kern w:val="2"/>
          <w:sz w:val="32"/>
          <w:szCs w:val="32"/>
          <w:lang w:val="en-US" w:eastAsia="zh-CN" w:bidi="ar"/>
        </w:rPr>
      </w:pPr>
      <w:r>
        <w:rPr>
          <w:rFonts w:hint="default" w:ascii="仿宋_GB2312" w:hAnsi="仿宋" w:eastAsia="仿宋_GB2312" w:cs="宋体"/>
          <w:b w:val="0"/>
          <w:bCs w:val="0"/>
          <w:kern w:val="2"/>
          <w:sz w:val="32"/>
          <w:szCs w:val="32"/>
          <w:lang w:val="en-US" w:eastAsia="zh-CN" w:bidi="ar"/>
        </w:rPr>
        <w:t>目标比较法:年初设定目标</w:t>
      </w:r>
      <w:r>
        <w:rPr>
          <w:rFonts w:hint="eastAsia" w:ascii="仿宋_GB2312" w:hAnsi="仿宋" w:eastAsia="仿宋_GB2312" w:cs="宋体"/>
          <w:b w:val="0"/>
          <w:bCs w:val="0"/>
          <w:kern w:val="2"/>
          <w:sz w:val="32"/>
          <w:szCs w:val="32"/>
          <w:lang w:val="en-US" w:eastAsia="zh-CN" w:bidi="ar"/>
        </w:rPr>
        <w:t>，通过实施国家重大传染病防控，对城乡居民重大疾病实施干预措施，减少主要健康危险因素，有效预防和控制主要传染病、艾滋病、结核病、包虫病及慢性病，提高公共卫生服务和突发公共卫生事件应急处置能力，使城乡居民逐步享有均等化的基本公共卫生服务。到2011年城乡和地区间公共卫生服务差距明显缩小。到2020年，基本公共卫生服务逐步均等化的机制基本完善，重大疾病和主要健康危险因素得到有效控制，城乡居民健康水平得到进一步提高。全年实际完成情况</w:t>
      </w:r>
      <w:r>
        <w:rPr>
          <w:rFonts w:hint="default" w:ascii="仿宋_GB2312" w:hAnsi="仿宋" w:eastAsia="仿宋_GB2312" w:cs="宋体"/>
          <w:b w:val="0"/>
          <w:bCs w:val="0"/>
          <w:kern w:val="2"/>
          <w:sz w:val="32"/>
          <w:szCs w:val="32"/>
          <w:lang w:val="en-US" w:eastAsia="zh-CN" w:bidi="ar"/>
        </w:rPr>
        <w:t>实际效果与预定目标</w:t>
      </w:r>
      <w:r>
        <w:rPr>
          <w:rFonts w:hint="eastAsia" w:ascii="仿宋_GB2312" w:hAnsi="仿宋" w:eastAsia="仿宋_GB2312" w:cs="宋体"/>
          <w:b w:val="0"/>
          <w:bCs w:val="0"/>
          <w:kern w:val="2"/>
          <w:sz w:val="32"/>
          <w:szCs w:val="32"/>
          <w:lang w:val="en-US" w:eastAsia="zh-CN" w:bidi="ar"/>
        </w:rPr>
        <w:t>相符。</w:t>
      </w:r>
    </w:p>
    <w:p>
      <w:pPr>
        <w:pStyle w:val="3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r>
        <w:rPr>
          <w:rFonts w:hint="eastAsia"/>
          <w:lang w:eastAsia="zh-CN" w:bidi="ar"/>
        </w:rPr>
        <w:t>（</w:t>
      </w:r>
      <w:r>
        <w:rPr>
          <w:rFonts w:hint="eastAsia"/>
          <w:lang w:val="en-US" w:eastAsia="zh-CN" w:bidi="ar"/>
        </w:rPr>
        <w:t>六</w:t>
      </w:r>
      <w:r>
        <w:rPr>
          <w:rFonts w:hint="eastAsia"/>
          <w:lang w:eastAsia="zh-CN" w:bidi="ar"/>
        </w:rPr>
        <w:t>）</w:t>
      </w:r>
      <w:r>
        <w:rPr>
          <w:rFonts w:hint="eastAsia"/>
          <w:lang w:bidi="ar"/>
        </w:rPr>
        <w:t>评价标准</w:t>
      </w:r>
    </w:p>
    <w:p>
      <w:pPr>
        <w:pStyle w:val="3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计划标准:是以“关于拨付2019年重大传染病防控经费的通知事先制定的目标、原则上无预算不支出，合法、合规使用往年结转结余资金。加快推动预算执行，提高预算管理质量。加强疫苗采购与收支存货管理，加强内部控制，定期核对清理，保障疫苗采购、分发计划与出入库登记管理一致，做好各地疫苗报废率的统计与分析，进一步提高疫苗的需求计划与分发管理的精准性、科学性、实用性。根据各接种点实际需求情况，合理、高效调整各地疫苗库存，全面推进疫苗信息化管理建设，实现疫苗管理、冷链运输、预防接种系统间的互通与共享。加强疫苗流通管理环节监管力度，积极推进多方沟通协调，不断提高运输及储存效率，规范疫苗供求管理，合力推动解决疫苗中短期结构性缺苗现象，不断提高阶段性接种率，及时为适龄儿童提供疫苗接种服务，降低免疫抵抗风险。进一步提升重大公卫服务与疾病防治理念，由“治病”向“防控”思想转变，坚持以预防为主，全面提高人民健康水平。注重工作规范管理。相关部门通过定期开展随访、筛查记录、跟踪监测、信息系统管理等方式动态掌握我县重大疾病患者具体情况，同时加强疾病防治宣传，切实做好规范化管理，优化健康服务，提高健康保障。加强卫生队伍能力建设，坚持科研技术支撑，进一步推进技术创新与提升，做好重大公卫服务保障，稳步降低重大疾病发生率，逐步提高成功治愈率，科学、规范、有序推进重大公共卫生事业健康发展。全年完成值95%以上。均达预计完成值。</w:t>
      </w:r>
    </w:p>
    <w:p>
      <w:pPr>
        <w:pStyle w:val="3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r>
        <w:rPr>
          <w:rFonts w:hint="eastAsia"/>
          <w:lang w:eastAsia="zh-CN" w:bidi="ar"/>
        </w:rPr>
        <w:t>（</w:t>
      </w:r>
      <w:r>
        <w:rPr>
          <w:rFonts w:hint="eastAsia"/>
          <w:lang w:val="en-US" w:eastAsia="zh-CN" w:bidi="ar"/>
        </w:rPr>
        <w:t>七</w:t>
      </w:r>
      <w:r>
        <w:rPr>
          <w:rFonts w:hint="eastAsia"/>
          <w:lang w:eastAsia="zh-CN" w:bidi="ar"/>
        </w:rPr>
        <w:t>）</w:t>
      </w:r>
      <w:r>
        <w:rPr>
          <w:rFonts w:hint="eastAsia"/>
          <w:lang w:bidi="ar"/>
        </w:rPr>
        <w:t>绩效评价工作过程</w:t>
      </w:r>
    </w:p>
    <w:p>
      <w:pPr>
        <w:pStyle w:val="3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b w:val="0"/>
          <w:bCs w:val="0"/>
          <w:lang w:bidi="ar"/>
        </w:rPr>
      </w:pPr>
      <w:r>
        <w:rPr>
          <w:rFonts w:hint="eastAsia" w:hAnsi="仿宋" w:cs="宋体"/>
          <w:b w:val="0"/>
          <w:bCs w:val="0"/>
          <w:kern w:val="2"/>
          <w:sz w:val="32"/>
          <w:szCs w:val="32"/>
          <w:lang w:val="en-US" w:eastAsia="zh-CN" w:bidi="ar"/>
        </w:rPr>
        <w:t>1）.</w:t>
      </w:r>
      <w:r>
        <w:rPr>
          <w:rFonts w:hint="eastAsia" w:ascii="仿宋_GB2312" w:hAnsi="仿宋" w:eastAsia="仿宋_GB2312" w:cs="宋体"/>
          <w:b w:val="0"/>
          <w:bCs w:val="0"/>
          <w:kern w:val="2"/>
          <w:sz w:val="32"/>
          <w:szCs w:val="32"/>
          <w:lang w:val="en-US" w:eastAsia="zh-CN" w:bidi="ar"/>
        </w:rPr>
        <w:t>本次评价成立了评价工作组，成员如下</w:t>
      </w:r>
      <w:r>
        <w:rPr>
          <w:rFonts w:hint="eastAsia"/>
          <w:b w:val="0"/>
          <w:bCs w:val="0"/>
          <w:lang w:bidi="ar"/>
        </w:rPr>
        <w:t>：</w:t>
      </w:r>
    </w:p>
    <w:tbl>
      <w:tblPr>
        <w:tblStyle w:val="15"/>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34"/>
              <w:keepNext w:val="0"/>
              <w:keepLines w:val="0"/>
              <w:numPr>
                <w:ilvl w:val="0"/>
                <w:numId w:val="0"/>
              </w:numPr>
              <w:spacing w:line="240" w:lineRule="atLeast"/>
              <w:jc w:val="center"/>
              <w:rPr>
                <w:b w:val="0"/>
                <w:bCs w:val="0"/>
                <w:lang w:bidi="ar"/>
              </w:rPr>
            </w:pPr>
            <w:r>
              <w:rPr>
                <w:rFonts w:hint="eastAsia"/>
                <w:b w:val="0"/>
                <w:bCs w:val="0"/>
                <w:lang w:bidi="ar"/>
              </w:rPr>
              <w:t>评价人</w:t>
            </w:r>
          </w:p>
        </w:tc>
        <w:tc>
          <w:tcPr>
            <w:tcW w:w="2765" w:type="dxa"/>
            <w:vAlign w:val="center"/>
          </w:tcPr>
          <w:p>
            <w:pPr>
              <w:pStyle w:val="34"/>
              <w:keepNext w:val="0"/>
              <w:keepLines w:val="0"/>
              <w:numPr>
                <w:ilvl w:val="0"/>
                <w:numId w:val="0"/>
              </w:numPr>
              <w:spacing w:line="240" w:lineRule="atLeast"/>
              <w:jc w:val="center"/>
              <w:rPr>
                <w:b w:val="0"/>
                <w:bCs w:val="0"/>
                <w:lang w:bidi="ar"/>
              </w:rPr>
            </w:pPr>
            <w:r>
              <w:rPr>
                <w:rFonts w:hint="eastAsia"/>
                <w:b w:val="0"/>
                <w:bCs w:val="0"/>
                <w:lang w:bidi="ar"/>
              </w:rPr>
              <w:t>职责</w:t>
            </w:r>
          </w:p>
        </w:tc>
        <w:tc>
          <w:tcPr>
            <w:tcW w:w="2766" w:type="dxa"/>
            <w:vAlign w:val="center"/>
          </w:tcPr>
          <w:p>
            <w:pPr>
              <w:pStyle w:val="34"/>
              <w:keepNext w:val="0"/>
              <w:keepLines w:val="0"/>
              <w:numPr>
                <w:ilvl w:val="0"/>
                <w:numId w:val="0"/>
              </w:numPr>
              <w:spacing w:line="240" w:lineRule="atLeast"/>
              <w:jc w:val="center"/>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3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杨华</w:t>
            </w:r>
          </w:p>
        </w:tc>
        <w:tc>
          <w:tcPr>
            <w:tcW w:w="2765" w:type="dxa"/>
            <w:vAlign w:val="center"/>
          </w:tcPr>
          <w:p>
            <w:pPr>
              <w:pStyle w:val="34"/>
              <w:keepNext w:val="0"/>
              <w:keepLines w:val="0"/>
              <w:numPr>
                <w:ilvl w:val="0"/>
                <w:numId w:val="0"/>
              </w:numPr>
              <w:spacing w:line="240" w:lineRule="atLeast"/>
              <w:jc w:val="center"/>
              <w:rPr>
                <w:b w:val="0"/>
                <w:bCs w:val="0"/>
                <w:lang w:bidi="ar"/>
              </w:rPr>
            </w:pPr>
            <w:r>
              <w:rPr>
                <w:rFonts w:hint="eastAsia"/>
                <w:b w:val="0"/>
                <w:bCs w:val="0"/>
                <w:lang w:bidi="ar"/>
              </w:rPr>
              <w:t>评价组组长</w:t>
            </w:r>
          </w:p>
        </w:tc>
        <w:tc>
          <w:tcPr>
            <w:tcW w:w="2766" w:type="dxa"/>
            <w:vAlign w:val="center"/>
          </w:tcPr>
          <w:p>
            <w:pPr>
              <w:pStyle w:val="3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3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蒋新华</w:t>
            </w:r>
          </w:p>
        </w:tc>
        <w:tc>
          <w:tcPr>
            <w:tcW w:w="2765" w:type="dxa"/>
            <w:vAlign w:val="center"/>
          </w:tcPr>
          <w:p>
            <w:pPr>
              <w:pStyle w:val="34"/>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3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副主任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34"/>
              <w:keepNext w:val="0"/>
              <w:keepLines w:val="0"/>
              <w:numPr>
                <w:ilvl w:val="0"/>
                <w:numId w:val="0"/>
              </w:numPr>
              <w:spacing w:line="240" w:lineRule="atLeast"/>
              <w:jc w:val="center"/>
              <w:rPr>
                <w:rFonts w:hint="eastAsia" w:eastAsia="仿宋_GB2312"/>
                <w:b w:val="0"/>
                <w:bCs w:val="0"/>
                <w:lang w:val="en-US" w:eastAsia="zh-CN" w:bidi="ar"/>
              </w:rPr>
            </w:pPr>
            <w:r>
              <w:rPr>
                <w:rFonts w:hint="eastAsia"/>
                <w:b w:val="0"/>
                <w:bCs w:val="0"/>
                <w:lang w:eastAsia="zh-CN" w:bidi="ar"/>
              </w:rPr>
              <w:t>艾尔肯</w:t>
            </w:r>
            <w:r>
              <w:rPr>
                <w:rFonts w:hint="eastAsia"/>
                <w:b w:val="0"/>
                <w:bCs w:val="0"/>
                <w:lang w:val="en-US" w:eastAsia="zh-CN" w:bidi="ar"/>
              </w:rPr>
              <w:t>·吾斯曼</w:t>
            </w:r>
          </w:p>
        </w:tc>
        <w:tc>
          <w:tcPr>
            <w:tcW w:w="2765" w:type="dxa"/>
            <w:vAlign w:val="center"/>
          </w:tcPr>
          <w:p>
            <w:pPr>
              <w:pStyle w:val="34"/>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3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结核病防治主任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34"/>
              <w:keepNext w:val="0"/>
              <w:keepLines w:val="0"/>
              <w:numPr>
                <w:ilvl w:val="0"/>
                <w:numId w:val="0"/>
              </w:numPr>
              <w:spacing w:line="240" w:lineRule="atLeast"/>
              <w:jc w:val="center"/>
              <w:rPr>
                <w:rFonts w:hint="eastAsia"/>
                <w:b w:val="0"/>
                <w:bCs w:val="0"/>
                <w:lang w:eastAsia="zh-CN" w:bidi="ar"/>
              </w:rPr>
            </w:pPr>
            <w:r>
              <w:rPr>
                <w:rFonts w:hint="eastAsia"/>
                <w:b w:val="0"/>
                <w:bCs w:val="0"/>
                <w:lang w:eastAsia="zh-CN" w:bidi="ar"/>
              </w:rPr>
              <w:t>木克热木</w:t>
            </w:r>
          </w:p>
        </w:tc>
        <w:tc>
          <w:tcPr>
            <w:tcW w:w="2765" w:type="dxa"/>
            <w:vAlign w:val="center"/>
          </w:tcPr>
          <w:p>
            <w:pPr>
              <w:pStyle w:val="34"/>
              <w:keepNext w:val="0"/>
              <w:keepLines w:val="0"/>
              <w:numPr>
                <w:ilvl w:val="0"/>
                <w:numId w:val="0"/>
              </w:numPr>
              <w:spacing w:line="240" w:lineRule="atLeast"/>
              <w:jc w:val="center"/>
              <w:rPr>
                <w:rFonts w:hint="eastAsia"/>
                <w:b w:val="0"/>
                <w:bCs w:val="0"/>
                <w:lang w:bidi="ar"/>
              </w:rPr>
            </w:pPr>
            <w:r>
              <w:rPr>
                <w:rFonts w:hint="eastAsia"/>
                <w:b w:val="0"/>
                <w:bCs w:val="0"/>
                <w:lang w:bidi="ar"/>
              </w:rPr>
              <w:t>评价组成员</w:t>
            </w:r>
          </w:p>
        </w:tc>
        <w:tc>
          <w:tcPr>
            <w:tcW w:w="2766" w:type="dxa"/>
            <w:vAlign w:val="center"/>
          </w:tcPr>
          <w:p>
            <w:pPr>
              <w:pStyle w:val="34"/>
              <w:keepNext w:val="0"/>
              <w:keepLines w:val="0"/>
              <w:numPr>
                <w:ilvl w:val="0"/>
                <w:numId w:val="0"/>
              </w:numPr>
              <w:spacing w:line="240" w:lineRule="atLeast"/>
              <w:jc w:val="center"/>
              <w:rPr>
                <w:rFonts w:hint="eastAsia"/>
                <w:b w:val="0"/>
                <w:bCs w:val="0"/>
                <w:lang w:eastAsia="zh-CN" w:bidi="ar"/>
              </w:rPr>
            </w:pPr>
            <w:r>
              <w:rPr>
                <w:rFonts w:hint="eastAsia"/>
                <w:b w:val="0"/>
                <w:bCs w:val="0"/>
                <w:lang w:eastAsia="zh-CN" w:bidi="ar"/>
              </w:rPr>
              <w:t>计划免疫主任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34"/>
              <w:keepNext w:val="0"/>
              <w:keepLines w:val="0"/>
              <w:numPr>
                <w:ilvl w:val="0"/>
                <w:numId w:val="0"/>
              </w:numPr>
              <w:spacing w:line="240" w:lineRule="atLeast"/>
              <w:jc w:val="center"/>
              <w:rPr>
                <w:rFonts w:hint="eastAsia"/>
                <w:b w:val="0"/>
                <w:bCs w:val="0"/>
                <w:lang w:eastAsia="zh-CN" w:bidi="ar"/>
              </w:rPr>
            </w:pPr>
            <w:r>
              <w:rPr>
                <w:rFonts w:hint="eastAsia"/>
                <w:b w:val="0"/>
                <w:bCs w:val="0"/>
                <w:lang w:eastAsia="zh-CN" w:bidi="ar"/>
              </w:rPr>
              <w:t>艾合买提</w:t>
            </w:r>
            <w:r>
              <w:rPr>
                <w:rFonts w:hint="eastAsia"/>
                <w:b w:val="0"/>
                <w:bCs w:val="0"/>
                <w:lang w:val="en-US" w:eastAsia="zh-CN" w:bidi="ar"/>
              </w:rPr>
              <w:t>·</w:t>
            </w:r>
            <w:r>
              <w:rPr>
                <w:rFonts w:hint="eastAsia"/>
                <w:b w:val="0"/>
                <w:bCs w:val="0"/>
                <w:lang w:eastAsia="zh-CN" w:bidi="ar"/>
              </w:rPr>
              <w:t>麦麦提</w:t>
            </w:r>
          </w:p>
        </w:tc>
        <w:tc>
          <w:tcPr>
            <w:tcW w:w="2765" w:type="dxa"/>
            <w:vAlign w:val="center"/>
          </w:tcPr>
          <w:p>
            <w:pPr>
              <w:pStyle w:val="34"/>
              <w:keepNext w:val="0"/>
              <w:keepLines w:val="0"/>
              <w:numPr>
                <w:ilvl w:val="0"/>
                <w:numId w:val="0"/>
              </w:numPr>
              <w:spacing w:line="240" w:lineRule="atLeast"/>
              <w:jc w:val="center"/>
              <w:rPr>
                <w:rFonts w:hint="eastAsia"/>
                <w:b w:val="0"/>
                <w:bCs w:val="0"/>
                <w:lang w:bidi="ar"/>
              </w:rPr>
            </w:pPr>
            <w:r>
              <w:rPr>
                <w:rFonts w:hint="eastAsia"/>
                <w:b w:val="0"/>
                <w:bCs w:val="0"/>
                <w:lang w:bidi="ar"/>
              </w:rPr>
              <w:t>评价组成员</w:t>
            </w:r>
          </w:p>
        </w:tc>
        <w:tc>
          <w:tcPr>
            <w:tcW w:w="2766" w:type="dxa"/>
            <w:vAlign w:val="center"/>
          </w:tcPr>
          <w:p>
            <w:pPr>
              <w:pStyle w:val="34"/>
              <w:keepNext w:val="0"/>
              <w:keepLines w:val="0"/>
              <w:numPr>
                <w:ilvl w:val="0"/>
                <w:numId w:val="0"/>
              </w:numPr>
              <w:spacing w:line="240" w:lineRule="atLeast"/>
              <w:jc w:val="center"/>
              <w:rPr>
                <w:rFonts w:hint="eastAsia"/>
                <w:b w:val="0"/>
                <w:bCs w:val="0"/>
                <w:lang w:eastAsia="zh-CN" w:bidi="ar"/>
              </w:rPr>
            </w:pPr>
            <w:r>
              <w:rPr>
                <w:rFonts w:hint="eastAsia"/>
                <w:b w:val="0"/>
                <w:bCs w:val="0"/>
                <w:lang w:eastAsia="zh-CN" w:bidi="ar"/>
              </w:rPr>
              <w:t>艾滋病防治主任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2765" w:type="dxa"/>
            <w:vAlign w:val="center"/>
          </w:tcPr>
          <w:p>
            <w:pPr>
              <w:pStyle w:val="34"/>
              <w:keepNext w:val="0"/>
              <w:keepLines w:val="0"/>
              <w:numPr>
                <w:ilvl w:val="0"/>
                <w:numId w:val="0"/>
              </w:numPr>
              <w:spacing w:line="240" w:lineRule="atLeast"/>
              <w:jc w:val="center"/>
              <w:rPr>
                <w:rFonts w:hint="eastAsia"/>
                <w:b w:val="0"/>
                <w:bCs w:val="0"/>
                <w:lang w:val="en-US" w:eastAsia="zh-CN" w:bidi="ar"/>
              </w:rPr>
            </w:pPr>
            <w:r>
              <w:rPr>
                <w:rFonts w:hint="eastAsia"/>
                <w:b w:val="0"/>
                <w:bCs w:val="0"/>
                <w:lang w:eastAsia="zh-CN" w:bidi="ar"/>
              </w:rPr>
              <w:t>阿迪力</w:t>
            </w:r>
            <w:r>
              <w:rPr>
                <w:rFonts w:hint="eastAsia"/>
                <w:b w:val="0"/>
                <w:bCs w:val="0"/>
                <w:lang w:val="en-US" w:eastAsia="zh-CN" w:bidi="ar"/>
              </w:rPr>
              <w:t>·艾山</w:t>
            </w:r>
          </w:p>
        </w:tc>
        <w:tc>
          <w:tcPr>
            <w:tcW w:w="2765" w:type="dxa"/>
            <w:vAlign w:val="center"/>
          </w:tcPr>
          <w:p>
            <w:pPr>
              <w:pStyle w:val="34"/>
              <w:keepNext w:val="0"/>
              <w:keepLines w:val="0"/>
              <w:numPr>
                <w:ilvl w:val="0"/>
                <w:numId w:val="0"/>
              </w:numPr>
              <w:spacing w:line="240" w:lineRule="atLeast"/>
              <w:jc w:val="center"/>
              <w:rPr>
                <w:rFonts w:hint="eastAsia"/>
                <w:b w:val="0"/>
                <w:bCs w:val="0"/>
                <w:lang w:bidi="ar"/>
              </w:rPr>
            </w:pPr>
            <w:r>
              <w:rPr>
                <w:rFonts w:hint="eastAsia"/>
                <w:b w:val="0"/>
                <w:bCs w:val="0"/>
                <w:lang w:bidi="ar"/>
              </w:rPr>
              <w:t>评价组成员</w:t>
            </w:r>
          </w:p>
        </w:tc>
        <w:tc>
          <w:tcPr>
            <w:tcW w:w="2766" w:type="dxa"/>
            <w:vAlign w:val="center"/>
          </w:tcPr>
          <w:p>
            <w:pPr>
              <w:pStyle w:val="34"/>
              <w:keepNext w:val="0"/>
              <w:keepLines w:val="0"/>
              <w:numPr>
                <w:ilvl w:val="0"/>
                <w:numId w:val="0"/>
              </w:numPr>
              <w:spacing w:line="240" w:lineRule="atLeast"/>
              <w:jc w:val="center"/>
              <w:rPr>
                <w:rFonts w:hint="eastAsia"/>
                <w:b w:val="0"/>
                <w:bCs w:val="0"/>
                <w:lang w:eastAsia="zh-CN" w:bidi="ar"/>
              </w:rPr>
            </w:pPr>
            <w:r>
              <w:rPr>
                <w:rFonts w:hint="eastAsia"/>
                <w:b w:val="0"/>
                <w:bCs w:val="0"/>
                <w:lang w:eastAsia="zh-CN" w:bidi="ar"/>
              </w:rPr>
              <w:t>包虫、慢病防治负责人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34"/>
              <w:keepNext w:val="0"/>
              <w:keepLines w:val="0"/>
              <w:numPr>
                <w:ilvl w:val="0"/>
                <w:numId w:val="0"/>
              </w:numPr>
              <w:spacing w:line="240" w:lineRule="atLeast"/>
              <w:jc w:val="center"/>
              <w:rPr>
                <w:rFonts w:hint="eastAsia"/>
                <w:b w:val="0"/>
                <w:bCs w:val="0"/>
                <w:lang w:eastAsia="zh-CN" w:bidi="ar"/>
              </w:rPr>
            </w:pPr>
            <w:r>
              <w:rPr>
                <w:rFonts w:hint="eastAsia"/>
                <w:b w:val="0"/>
                <w:bCs w:val="0"/>
                <w:lang w:eastAsia="zh-CN" w:bidi="ar"/>
              </w:rPr>
              <w:t>周韵</w:t>
            </w:r>
          </w:p>
        </w:tc>
        <w:tc>
          <w:tcPr>
            <w:tcW w:w="2765" w:type="dxa"/>
            <w:vAlign w:val="center"/>
          </w:tcPr>
          <w:p>
            <w:pPr>
              <w:pStyle w:val="3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财务</w:t>
            </w:r>
          </w:p>
        </w:tc>
        <w:tc>
          <w:tcPr>
            <w:tcW w:w="2766" w:type="dxa"/>
            <w:vAlign w:val="center"/>
          </w:tcPr>
          <w:p>
            <w:pPr>
              <w:pStyle w:val="34"/>
              <w:keepNext w:val="0"/>
              <w:keepLines w:val="0"/>
              <w:numPr>
                <w:ilvl w:val="0"/>
                <w:numId w:val="0"/>
              </w:numPr>
              <w:spacing w:line="240" w:lineRule="atLeast"/>
              <w:jc w:val="center"/>
              <w:rPr>
                <w:rFonts w:hint="eastAsia"/>
                <w:b w:val="0"/>
                <w:bCs w:val="0"/>
                <w:lang w:eastAsia="zh-CN" w:bidi="ar"/>
              </w:rPr>
            </w:pPr>
            <w:r>
              <w:rPr>
                <w:rFonts w:hint="eastAsia"/>
                <w:b w:val="0"/>
                <w:bCs w:val="0"/>
                <w:lang w:eastAsia="zh-CN" w:bidi="ar"/>
              </w:rPr>
              <w:t>会计</w:t>
            </w:r>
          </w:p>
        </w:tc>
      </w:tr>
    </w:tbl>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Chars="0" w:firstLine="640" w:firstLineChars="200"/>
        <w:textAlignment w:val="auto"/>
        <w:outlineLvl w:val="9"/>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本次评价设计了评价方案，提高预算绩效管理意识，贯彻落实“花钱必问效、无效必问责”要求，管好用好专项资金，严格财经纪律，防止截留、挤占、挪用等违规行为，加强绩效目标管理，做好业务培训，不断提升经办人员绩效目标设定和绩效管理水平。加强对重大公卫服务项目实施全过程的有效监管，切实承担起监管责任，督促补助资金的规范使用，大力推进绩效管理，加强资金监管广度与深度，采取有力措施保障资金安全，保障重大公卫服务补助资金切实发挥使用效益，有效促进公共卫生服务逐步均等化、实效化。</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Chars="0" w:firstLine="640" w:firstLineChars="200"/>
        <w:textAlignment w:val="auto"/>
        <w:outlineLvl w:val="9"/>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通过资料分析、调研、访谈满意度调查等方式形成评价结论，对绩效评价与实地调研工作中发现的问题，建议各防病主管负责人认真组织整改，及时停止超标准、超范围报销等不规范行为，梳理分析原因，加大追责问责力度，强化整改与落实。各级防病主管负责人强化管理，加大防病培训力度，提升财经法纪意识，避免超标准超范围列支经费问题的再次发生，规范资金使用行为，提升重大公卫服务补助资金财政支出绩效。加快预算执行，健全财务、内控、业务管理等方面制度，严格按照相关经费管理办法规范支出，加大资金全过程监管力度，提高全面绩效管理意识，加强绩效目标管理。</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outlineLvl w:val="9"/>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kern w:val="2"/>
          <w:sz w:val="32"/>
          <w:szCs w:val="32"/>
          <w:lang w:val="en-US" w:eastAsia="zh-CN" w:bidi="ar"/>
        </w:rPr>
        <w:t>1.宣传</w:t>
      </w:r>
      <w:r>
        <w:rPr>
          <w:rFonts w:hint="eastAsia" w:ascii="仿宋_GB2312" w:hAnsi="仿宋" w:eastAsia="仿宋_GB2312" w:cs="宋体"/>
          <w:b w:val="0"/>
          <w:bCs w:val="0"/>
          <w:kern w:val="2"/>
          <w:sz w:val="32"/>
          <w:szCs w:val="32"/>
          <w:lang w:val="en-US" w:eastAsia="zh-CN" w:bidi="ar"/>
        </w:rPr>
        <w:t>培训和督导考核</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2019年举办了全县免疫规划业务人员相关培训 12 期，每期培训都得达到了预定目的。各乡镇宣传活动共44次。全年对24个的乡镇进行6次督导，包括工作考核。督导注重了质量，收集了督导资料，建立了督导档案；对发现的问题，提出改进意见，督促落实</w:t>
      </w:r>
      <w:r>
        <w:rPr>
          <w:rFonts w:hint="eastAsia" w:ascii="仿宋_GB2312" w:hAnsi="仿宋" w:eastAsia="仿宋_GB2312" w:cs="宋体"/>
          <w:kern w:val="2"/>
          <w:sz w:val="32"/>
          <w:szCs w:val="32"/>
          <w:lang w:val="en-US" w:eastAsia="zh-CN" w:bidi="ar"/>
        </w:rPr>
        <w:t>。</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2.结核病工作完成情况</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本年度共完成结核病人发现任务1909结核病人，其中涂阳患者完成799人，成功治疗631人，治疗率87%，涂阴患者完成1110人，成功治疗106人，治疗率99.6%。全年以乡镇为单位的DOTS覆盖率继续维持在100%;稳步推进耐多药肺结核规范化诊疗工作，加强耐多药肺结发现及转诊诊疗工作，全年完成耐药结核病患者23人.</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在“3.24”世界结核病日，以乡镇为单位开展了丰富多彩的宣传活动，制作“社会共同努力,消除结核病危害”宣传横幅24幅，6月份单位联合县教育局县二中进行“社会共同努力,消除结核病危害”的结核病防控知识宣传活动。专家现场宣讲了结核病防控知识，解答了同学们咨询的结核病防治相关知识。进一步增强了学生卫生健康意识，消除了随地吐痰等陋习，加强了学校等重点单位及区域结核病防控工作。</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加强了网报病人的追踪，提高了网报病人到位率；加强了乡镇专干的督导，全年对21个乡镇卫生院共进行了4轮884次的现场督导，3轮63次的电话督导，有力的改进了乡镇结核病防控工作，就工作中遇到重点、难点做了解释和指导，提高了任务完成质量。</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3.艾滋病防治工作完成情况</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本年度，全县累计完成自愿咨询检测 563人次；完成HIV抗体检测406415人次，新增抗病毒治疗人数 133人，完成率100%。艾滋病病毒感染者/病人随访检测率为 100 %；艾滋病病毒感染者/病人的配偶/固定性伴HIV抗体检测率为 100 %；暗娼人群HIV抗体检测比100 %。抗病毒治疗覆盖率100 %；为响应国家“四免一关怀”政策要求，我单位坚持“四免一关怀”政策落实，2019年我县对前来进行CD4采血的感染者/病人发放宣传材料1500余份，并对其进行生活救助。</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4.慢性非传染性疾病管理情况</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（1）、以宣传为抓手，向群众普及慢性病、职业病及地方病防治知识。各类宣传活动悬挂横幅、张贴海报、发放小册子，宣传单。并设立了咨询专席，在传播相关防病知识的同时给予了群众耐心答疑。</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（2）、抓好地方病监测与数据报告。完成了辖区内居民食用盐的采样。经实验室指标监测均达标，并及时完成数据的录入上报。</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3）、认真落实的慢病的督导培训工作。年内里组织慢病科工作人员分别与5月、7月、10月开展了三轮以高血压、糖尿病为主的慢病督导。及时把各乡镇工作中的问题反馈给各医院。促进了慢病管理率、规范管理率的提高、减少了失访患者、真实档案的比例。并在10月份对4个片区的乡镇两级公卫人员开展了4天26课时的培训。培训效果反响良好。</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（4）、狠抓了薄弱环节的，使精神病管理、死因报告进位很快。死因报告质量正在提升。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仿宋_GB2312" w:hAnsi="仿宋" w:eastAsia="仿宋_GB2312" w:cs="宋体"/>
          <w:b/>
          <w:bCs/>
          <w:color w:val="auto"/>
          <w:sz w:val="32"/>
          <w:szCs w:val="32"/>
          <w:highlight w:val="none"/>
          <w:lang w:val="en-US" w:eastAsia="zh-CN" w:bidi="ar"/>
        </w:rPr>
      </w:pPr>
      <w:r>
        <w:rPr>
          <w:rFonts w:hint="eastAsia" w:ascii="仿宋_GB2312" w:hAnsi="仿宋" w:eastAsia="仿宋_GB2312" w:cs="宋体"/>
          <w:b/>
          <w:bCs/>
          <w:color w:val="auto"/>
          <w:sz w:val="32"/>
          <w:szCs w:val="32"/>
          <w:highlight w:val="none"/>
          <w:lang w:val="en-US" w:eastAsia="zh-CN" w:bidi="ar"/>
        </w:rPr>
        <w:t>2）.绩效评价实施过程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default" w:ascii="仿宋_GB2312" w:hAnsi="仿宋" w:eastAsia="仿宋_GB2312" w:cs="宋体"/>
          <w:kern w:val="2"/>
          <w:sz w:val="32"/>
          <w:szCs w:val="32"/>
          <w:lang w:val="en-US" w:eastAsia="zh-CN" w:bidi="ar"/>
        </w:rPr>
      </w:pPr>
      <w:r>
        <w:rPr>
          <w:rFonts w:hint="default" w:ascii="仿宋_GB2312" w:hAnsi="仿宋" w:eastAsia="仿宋_GB2312" w:cs="宋体"/>
          <w:color w:val="auto"/>
          <w:kern w:val="2"/>
          <w:sz w:val="32"/>
          <w:szCs w:val="32"/>
          <w:highlight w:val="none"/>
          <w:lang w:val="en-US" w:eastAsia="zh-CN" w:bidi="ar"/>
        </w:rPr>
        <w:t>本次绩效评价数据包括</w:t>
      </w:r>
      <w:r>
        <w:rPr>
          <w:rFonts w:hint="default" w:ascii="仿宋_GB2312" w:hAnsi="仿宋" w:eastAsia="仿宋_GB2312" w:cs="宋体"/>
          <w:kern w:val="2"/>
          <w:sz w:val="32"/>
          <w:szCs w:val="32"/>
          <w:lang w:val="en-US" w:eastAsia="zh-CN" w:bidi="ar"/>
        </w:rPr>
        <w:t>定性和定量两种数据,定性数据主要通过实地考察的方式来采集。有效保证数据的真实性和可靠性,此外,我们会对所有数据进行全面审核和复核,并对重要数据进行实地采集。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（一）全县累计完成自愿咨询检测 563人次；完成HIV抗体检测406415人次，新增抗病毒治疗人数 133人，完成率100%，利用5月15日《防治碘缺乏病日》县疾控性艾科人员在农贸市场通过发放宣传单、悬挂宣传横幅、咨询等方式，开展了一次预防艾滋病知识宣传活动，活动共印制散发了3000份，共咨询群众70余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default"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 xml:space="preserve">（二）05月26日疾控工作人员走进叶城县看守所，举办了监管场地艾滋病防治及职业暴露相关知识培训会。包括看守所，拘留所医务人员，教官等20多人参加了培训，培训中发放艾滋病，性病防治宣传材料，艾滋病防治工作手（维汉）等宣传材料约600 张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default"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（三）6月26日是第32个“国际禁毒日” 疾控联合县公安局县禁毒大队民警在幸福南路市场口设立宣传点，悬挂“远离毒品、预防艾滋、珍爱生命”的横幅，开展了现场咨询宣传活动宣传活动中共发放各类宣传资料1500多份，宣传折页500份，接受群众咨询 60 人次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default"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四）06月28-30日，在疾控三楼会议室，对全县20个乡镇的卫生院院长，防艾专干，村医450余人进行了《艾滋病防治知识》，感染者随访管理的培训班，发放了关于《艾滋病防治知识手册》，折页，宣传单等材料约8000余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default"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（五）经县委组织部的安排6月26至8月20日共四期在县委党校举办“艾滋病防治知识专题培训班”，此次培训涉及到乡镇机关干部，内招生，留疆战士等240余人参加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default"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六）叶城县疾控9月5日-24日利用《学生体检》活动，在县3中，10中，11中，12中，通过发放宣传单、咨询等方式，开展了预防艾滋病，禁毒知识宣传活动。本次活动共发放宣传画150余张、折页280余张、宣传册300余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default"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（七）10月30日县委组织，团委疾控联合在县委党校五楼举办“艾滋病防治知识专题培训班”，此次培训涉及到乡镇村（社区）团支部250余人参加。发放宣传画150余张、折页300余张、宣传册300余本。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default"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（八）11月9日县妇联疾控联合在县委党校五楼举办“艾滋病防治知识专题培训班”，此次培训涉及到乡镇村（社区）妇联主任280余人参加。发放宣传画150余张、折页300余张、宣传册300余本。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default"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(九)2019年11月16日开始利用每个星期2天的夜校，疾控和喀格勒克镇卫生院联合对一镇四个党工委的社区开展艾滋病防治知识宣讲活动，已完成38个社区。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default"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（十）12月3日县团委和疾控联合在县委党校五楼举办“艾滋病防治知识月政策专题培训班”，此次培训涉及到县级单位,初高中团委书记,乡镇村（社区）团支部和各乡镇致富带头等230余人参加。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3）.绩效评价实施过程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3" w:firstLineChars="200"/>
        <w:textAlignment w:val="auto"/>
        <w:rPr>
          <w:rFonts w:hint="eastAsia" w:ascii="黑体" w:hAnsi="黑体" w:eastAsia="黑体" w:cs="黑体"/>
          <w:b/>
          <w:bCs/>
          <w:kern w:val="2"/>
          <w:sz w:val="32"/>
          <w:szCs w:val="32"/>
          <w:lang w:val="en-US" w:eastAsia="zh-CN" w:bidi="ar"/>
        </w:rPr>
      </w:pPr>
      <w:bookmarkStart w:id="7" w:name="_Toc26401558"/>
      <w:r>
        <w:rPr>
          <w:rFonts w:hint="eastAsia" w:ascii="黑体" w:hAnsi="黑体" w:eastAsia="黑体" w:cs="黑体"/>
          <w:b/>
          <w:bCs/>
          <w:kern w:val="2"/>
          <w:sz w:val="32"/>
          <w:szCs w:val="32"/>
          <w:lang w:val="en-US" w:eastAsia="zh-CN" w:bidi="ar"/>
        </w:rPr>
        <w:t>综合评价情况</w:t>
      </w:r>
      <w:bookmarkStart w:id="8" w:name="_GoBack"/>
      <w:r>
        <w:rPr>
          <w:rFonts w:hint="eastAsia" w:ascii="黑体" w:hAnsi="黑体" w:eastAsia="黑体" w:cs="黑体"/>
          <w:b/>
          <w:bCs/>
          <w:kern w:val="2"/>
          <w:sz w:val="32"/>
          <w:szCs w:val="32"/>
          <w:lang w:val="en-US" w:eastAsia="zh-CN" w:bidi="ar"/>
        </w:rPr>
        <w:t>及</w:t>
      </w:r>
      <w:bookmarkEnd w:id="8"/>
      <w:r>
        <w:rPr>
          <w:rFonts w:hint="eastAsia" w:ascii="黑体" w:hAnsi="黑体" w:eastAsia="黑体" w:cs="黑体"/>
          <w:b/>
          <w:bCs/>
          <w:kern w:val="2"/>
          <w:sz w:val="32"/>
          <w:szCs w:val="32"/>
          <w:lang w:val="en-US" w:eastAsia="zh-CN" w:bidi="ar"/>
        </w:rPr>
        <w:t>评价结论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经评价组通过实地调研、资料分析等方式，对项目的决策、管理、绩效进行的综合评价分析，项目得分为99分，评价结果为优，详见附件4。</w:t>
      </w:r>
    </w:p>
    <w:p>
      <w:pPr>
        <w:pStyle w:val="32"/>
        <w:keepNext w:val="0"/>
        <w:keepLines w:val="0"/>
        <w:pageBreakBefore w:val="0"/>
        <w:widowControl w:val="0"/>
        <w:numPr>
          <w:ilvl w:val="0"/>
          <w:numId w:val="0"/>
        </w:numPr>
        <w:kinsoku/>
        <w:wordWrap/>
        <w:overflowPunct/>
        <w:topLinePunct w:val="0"/>
        <w:autoSpaceDE/>
        <w:autoSpaceDN/>
        <w:bidi w:val="0"/>
        <w:adjustRightInd/>
        <w:snapToGrid/>
        <w:spacing w:before="0" w:line="560" w:lineRule="exact"/>
        <w:ind w:leftChars="0" w:firstLine="643" w:firstLineChars="200"/>
        <w:textAlignment w:val="auto"/>
        <w:rPr>
          <w:lang w:bidi="ar"/>
        </w:rPr>
      </w:pPr>
      <w:r>
        <w:rPr>
          <w:rFonts w:hint="eastAsia"/>
          <w:lang w:val="en-US" w:eastAsia="zh-CN" w:bidi="ar"/>
        </w:rPr>
        <w:t>四、</w:t>
      </w:r>
      <w:r>
        <w:rPr>
          <w:rFonts w:hint="eastAsia"/>
          <w:lang w:bidi="ar"/>
        </w:rPr>
        <w:t>绩效评价指标分析</w:t>
      </w:r>
      <w:bookmarkEnd w:id="7"/>
    </w:p>
    <w:p>
      <w:pPr>
        <w:pStyle w:val="28"/>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37"/>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cs="宋体"/>
          <w:sz w:val="32"/>
          <w:szCs w:val="32"/>
          <w:lang w:bidi="ar"/>
        </w:rPr>
        <w:t>本项目的立项符合相关法规政策及部门职责，依据充分；项目按照规定的程序申请设立；审批文件、材料符合相关要求；项目前期已经过必要的绩效评估</w:t>
      </w:r>
      <w:r>
        <w:rPr>
          <w:rFonts w:hint="eastAsia" w:ascii="仿宋_GB2312" w:hAnsi="仿宋" w:cs="宋体"/>
          <w:sz w:val="32"/>
          <w:szCs w:val="32"/>
          <w:lang w:eastAsia="zh-CN" w:bidi="ar"/>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项目在资金投入方面，预算编制经过科学论证、有明确标准，资金额度与年度目标相适应，用以反映和考核项目预算编制的科学性、合理性情况。项目预算资金分配有测算依据，与补助单位或地方实际相适应。</w:t>
      </w:r>
    </w:p>
    <w:p>
      <w:pPr>
        <w:pStyle w:val="28"/>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在资金管理方面，项目资金到位足额及时，及时支付，资金使用符合国家法规和财务管理制度；资金拨付有完整的审批程序和手续，符合项目预算批复或合同规定的用途；</w:t>
      </w:r>
      <w:r>
        <w:rPr>
          <w:rFonts w:hint="eastAsia" w:ascii="仿宋_GB2312" w:hAnsi="仿宋" w:eastAsia="仿宋_GB2312" w:cs="宋体"/>
          <w:sz w:val="32"/>
          <w:szCs w:val="32"/>
          <w:lang w:eastAsia="zh-CN" w:bidi="ar"/>
        </w:rPr>
        <w:t>不</w:t>
      </w:r>
      <w:r>
        <w:rPr>
          <w:rFonts w:hint="eastAsia" w:ascii="仿宋_GB2312" w:hAnsi="仿宋" w:eastAsia="仿宋_GB2312" w:cs="宋体"/>
          <w:sz w:val="32"/>
          <w:szCs w:val="32"/>
          <w:lang w:bidi="ar"/>
        </w:rPr>
        <w:t>存在截留、挤占、挪用、虚列支出等情况。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在项目组织实施方面，项目单位已制定或具有相应的财务和业务管理制度，财务和业务管理制度合法、合规、完整。项目实施遵守相关法律法规和相关管理规定。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项目调整及支出调整手续完备，项目合同书、验收报告、技术鉴定等资料齐全并及时归档，项目实施的人员条件、场地设备、信息支撑等落实到位。</w:t>
      </w:r>
    </w:p>
    <w:p>
      <w:pPr>
        <w:pStyle w:val="28"/>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项目产出情况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bidi="ar"/>
        </w:rPr>
        <w:t>艾滋病筛查、检测、干预、随访目标数数量为</w:t>
      </w:r>
      <w:r>
        <w:rPr>
          <w:rFonts w:hint="eastAsia" w:ascii="仿宋_GB2312" w:hAnsi="仿宋" w:eastAsia="仿宋_GB2312" w:cs="宋体"/>
          <w:sz w:val="32"/>
          <w:szCs w:val="32"/>
          <w:lang w:val="en-US" w:eastAsia="zh-CN" w:bidi="ar"/>
        </w:rPr>
        <w:t>39</w:t>
      </w:r>
      <w:r>
        <w:rPr>
          <w:rFonts w:hint="eastAsia" w:ascii="仿宋_GB2312" w:hAnsi="仿宋" w:eastAsia="仿宋_GB2312" w:cs="宋体"/>
          <w:sz w:val="32"/>
          <w:szCs w:val="32"/>
          <w:lang w:bidi="ar"/>
        </w:rPr>
        <w:t>万人，为了解我县2019年艾滋病流行趋势、加强我县艾滋病综合防治数据信息的管理，确保数据信息的准确性和可靠性，及时有效地发现和管理艾滋病病毒感染者和艾滋病病人，了解艾滋病在不同地区和人群的流行情况、全面系统地掌握艾滋病综合防治工作开展情况、制定艾滋病防治政策和策略，提供可靠、准确及时的数据信，对2019年疫情进行统计分析。将艾防知识宣教和高危行为干预作为重要手段。艾滋病病死率极高，目前既无疫苗，又无有效治愈办法，最好的办法就是预防，一方面加大艾滋病防治知识宣传教育的广度和深度，把预防艾滋病的有关知识教给广大群众，提高社会公众的艾滋病相关知识知晓率，提高自我防病意识和防护能力，另一方面加强对高危人群的干预力度，落实各项预防干预措施，杜绝危险行为，减少艾滋病感染几率，更加明显地降低艾滋病疫情</w:t>
      </w:r>
      <w:r>
        <w:rPr>
          <w:rFonts w:hint="eastAsia" w:ascii="仿宋_GB2312" w:hAnsi="仿宋" w:eastAsia="仿宋_GB2312" w:cs="宋体"/>
          <w:sz w:val="32"/>
          <w:szCs w:val="32"/>
          <w:lang w:eastAsia="zh-CN" w:bidi="ar"/>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本年度共完成结核病人发现任务1909结核病人，其中涂阳患者完成799人，成功治疗631人，治疗率87%，涂阴患者完成1110人，成功治疗106人，治疗率99.6%。全年以乡镇为单位的DOTS覆盖率继续维持在100%;稳步推进耐多药肺结核规范化诊疗工作，加强耐多药肺结发现及转诊诊疗工作，全年完成耐药结核病患者23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包虫病完成检测人数11994人，加强疫苗采购与收支存货管理，加强内部控制，定期核对清理，保障疫苗采购、分发计划与出入库登记管理一致，做好各地疫苗报废率的统计与分析，进一步提高疫苗的需求计划与分发管理的精准性、科学性、实用性。根据各接种点实际需求情况，合理、高效调整各地疫苗库存，全面推进疫苗信息化管理建设，实现疫苗管理、冷链运输、预防接种系统间的互通与共享。加强疫苗流通管理环节监管力度，积极推进多方沟通协调，不断提高运输及储存效率，规范疫苗供求管理，合力推动解决疫苗中短期结构性缺苗现象，不断提高阶段性接种率，及时为适龄儿童提供疫苗接种服务，降低免疫抵抗风险</w:t>
      </w:r>
      <w:r>
        <w:rPr>
          <w:rFonts w:hint="eastAsia" w:ascii="仿宋_GB2312" w:hAnsi="仿宋" w:eastAsia="仿宋_GB2312" w:cs="宋体"/>
          <w:sz w:val="32"/>
          <w:szCs w:val="32"/>
          <w:lang w:bidi="ar"/>
        </w:rPr>
        <w:t>。</w:t>
      </w:r>
      <w:r>
        <w:rPr>
          <w:rFonts w:hint="eastAsia" w:ascii="仿宋_GB2312" w:hAnsi="仿宋" w:eastAsia="仿宋_GB2312" w:cs="宋体"/>
          <w:sz w:val="32"/>
          <w:szCs w:val="32"/>
          <w:lang w:val="en-US" w:eastAsia="zh-CN" w:bidi="ar"/>
        </w:rPr>
        <w:t>进一步提升重大公卫服务与疾病防治理念，由“治病”向“防控”思想转变，坚持以预防为主，全面提高人民健康水平。注重工作规范管理。相关部门通过定期开展随访、筛查记录、跟踪监测、信息系统管理等方式动态掌握我县重大疾病患者具体情况，同时加强疾病防治宣传，切实做好规范化管理，优化健康服务，提高健康保障。加强卫生队伍能力建设，坚持科研技术支撑，进一步推进技术创新与提升，做好重大公卫服务保障，稳步降低重大疾病发生率，逐步提高成功治愈率，科学、规范、有序推进重大公共卫生事业健康发展。全年完成值95%以上。</w:t>
      </w:r>
    </w:p>
    <w:tbl>
      <w:tblPr>
        <w:tblStyle w:val="14"/>
        <w:tblW w:w="8339" w:type="dxa"/>
        <w:tblInd w:w="0" w:type="dxa"/>
        <w:shd w:val="clear" w:color="auto" w:fill="auto"/>
        <w:tblLayout w:type="fixed"/>
        <w:tblCellMar>
          <w:top w:w="0" w:type="dxa"/>
          <w:left w:w="0" w:type="dxa"/>
          <w:bottom w:w="0" w:type="dxa"/>
          <w:right w:w="0" w:type="dxa"/>
        </w:tblCellMar>
      </w:tblPr>
      <w:tblGrid>
        <w:gridCol w:w="1378"/>
        <w:gridCol w:w="1173"/>
        <w:gridCol w:w="2606"/>
        <w:gridCol w:w="1591"/>
        <w:gridCol w:w="1591"/>
      </w:tblGrid>
      <w:tr>
        <w:tblPrEx>
          <w:shd w:val="clear" w:color="auto" w:fill="auto"/>
          <w:tblCellMar>
            <w:top w:w="0" w:type="dxa"/>
            <w:left w:w="0" w:type="dxa"/>
            <w:bottom w:w="0" w:type="dxa"/>
            <w:right w:w="0" w:type="dxa"/>
          </w:tblCellMar>
        </w:tblPrEx>
        <w:trPr>
          <w:trHeight w:val="500" w:hRule="atLeast"/>
        </w:trPr>
        <w:tc>
          <w:tcPr>
            <w:tcW w:w="1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6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9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17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6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艾滋病筛查、检测、干预、随访目标数(万人)</w:t>
            </w:r>
          </w:p>
        </w:tc>
        <w:tc>
          <w:tcPr>
            <w:tcW w:w="159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c>
          <w:tcPr>
            <w:tcW w:w="159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r>
      <w:tr>
        <w:tblPrEx>
          <w:tblCellMar>
            <w:top w:w="0" w:type="dxa"/>
            <w:left w:w="0" w:type="dxa"/>
            <w:bottom w:w="0" w:type="dxa"/>
            <w:right w:w="0" w:type="dxa"/>
          </w:tblCellMar>
        </w:tblPrEx>
        <w:trPr>
          <w:trHeight w:val="500" w:hRule="atLeast"/>
        </w:trPr>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结核病项目目标数(万人)</w:t>
            </w:r>
          </w:p>
        </w:tc>
        <w:tc>
          <w:tcPr>
            <w:tcW w:w="159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159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r>
      <w:tr>
        <w:tblPrEx>
          <w:tblCellMar>
            <w:top w:w="0" w:type="dxa"/>
            <w:left w:w="0" w:type="dxa"/>
            <w:bottom w:w="0" w:type="dxa"/>
            <w:right w:w="0" w:type="dxa"/>
          </w:tblCellMar>
        </w:tblPrEx>
        <w:trPr>
          <w:trHeight w:val="500" w:hRule="atLeast"/>
        </w:trPr>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包虫病项目目标数(人)</w:t>
            </w:r>
          </w:p>
        </w:tc>
        <w:tc>
          <w:tcPr>
            <w:tcW w:w="159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11994</w:t>
            </w:r>
          </w:p>
        </w:tc>
        <w:tc>
          <w:tcPr>
            <w:tcW w:w="159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11994</w:t>
            </w:r>
          </w:p>
        </w:tc>
      </w:tr>
      <w:tr>
        <w:tblPrEx>
          <w:tblCellMar>
            <w:top w:w="0" w:type="dxa"/>
            <w:left w:w="0" w:type="dxa"/>
            <w:bottom w:w="0" w:type="dxa"/>
            <w:right w:w="0" w:type="dxa"/>
          </w:tblCellMar>
        </w:tblPrEx>
        <w:trPr>
          <w:trHeight w:val="500" w:hRule="atLeast"/>
        </w:trPr>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慢性病综合干预（人）</w:t>
            </w:r>
          </w:p>
        </w:tc>
        <w:tc>
          <w:tcPr>
            <w:tcW w:w="159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w:t>
            </w:r>
          </w:p>
        </w:tc>
        <w:tc>
          <w:tcPr>
            <w:tcW w:w="159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w:t>
            </w:r>
          </w:p>
        </w:tc>
      </w:tr>
      <w:tr>
        <w:tblPrEx>
          <w:tblCellMar>
            <w:top w:w="0" w:type="dxa"/>
            <w:left w:w="0" w:type="dxa"/>
            <w:bottom w:w="0" w:type="dxa"/>
            <w:right w:w="0" w:type="dxa"/>
          </w:tblCellMar>
        </w:tblPrEx>
        <w:trPr>
          <w:trHeight w:val="500" w:hRule="atLeast"/>
        </w:trPr>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6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资金及时发放率（%）</w:t>
            </w:r>
          </w:p>
        </w:tc>
        <w:tc>
          <w:tcPr>
            <w:tcW w:w="159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w:t>
            </w:r>
          </w:p>
        </w:tc>
        <w:tc>
          <w:tcPr>
            <w:tcW w:w="159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w:t>
            </w:r>
          </w:p>
        </w:tc>
      </w:tr>
      <w:tr>
        <w:tblPrEx>
          <w:tblCellMar>
            <w:top w:w="0" w:type="dxa"/>
            <w:left w:w="0" w:type="dxa"/>
            <w:bottom w:w="0" w:type="dxa"/>
            <w:right w:w="0" w:type="dxa"/>
          </w:tblCellMar>
        </w:tblPrEx>
        <w:trPr>
          <w:trHeight w:val="500" w:hRule="atLeast"/>
        </w:trPr>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6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资金拨付及时性（%）</w:t>
            </w:r>
          </w:p>
        </w:tc>
        <w:tc>
          <w:tcPr>
            <w:tcW w:w="159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9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6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2019年重大传染病防控经费（元**万人）</w:t>
            </w:r>
          </w:p>
        </w:tc>
        <w:tc>
          <w:tcPr>
            <w:tcW w:w="159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0.8161</w:t>
            </w:r>
          </w:p>
        </w:tc>
        <w:tc>
          <w:tcPr>
            <w:tcW w:w="159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0.8161</w:t>
            </w:r>
          </w:p>
        </w:tc>
      </w:tr>
    </w:tbl>
    <w:p>
      <w:pPr>
        <w:pStyle w:val="28"/>
        <w:keepNext w:val="0"/>
        <w:keepLines w:val="0"/>
        <w:pageBreakBefore w:val="0"/>
        <w:widowControl w:val="0"/>
        <w:numPr>
          <w:ilvl w:val="0"/>
          <w:numId w:val="0"/>
        </w:numPr>
        <w:tabs>
          <w:tab w:val="left" w:pos="600"/>
        </w:tabs>
        <w:kinsoku/>
        <w:wordWrap/>
        <w:overflowPunct/>
        <w:topLinePunct w:val="0"/>
        <w:autoSpaceDE/>
        <w:autoSpaceDN/>
        <w:bidi w:val="0"/>
        <w:adjustRightInd/>
        <w:snapToGrid/>
        <w:spacing w:line="560" w:lineRule="exact"/>
        <w:ind w:firstLine="643" w:firstLineChars="200"/>
        <w:textAlignment w:val="auto"/>
        <w:outlineLvl w:val="9"/>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eastAsia="zh-CN" w:bidi="ar"/>
        </w:rPr>
        <w:t>（四）</w:t>
      </w:r>
      <w:r>
        <w:rPr>
          <w:rFonts w:hint="eastAsia" w:ascii="仿宋_GB2312" w:hAnsi="仿宋" w:eastAsia="仿宋_GB2312" w:cs="宋体"/>
          <w:b/>
          <w:bCs/>
          <w:sz w:val="32"/>
          <w:szCs w:val="32"/>
          <w:highlight w:val="none"/>
          <w:lang w:bidi="ar"/>
        </w:rPr>
        <w:t>项目效益情况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bidi="ar"/>
        </w:rPr>
        <w:t>为落实《国务院关于进一步加强艾滋病防治工作的通知》、《新疆维吾尔自治区“十三五”行动计划》“关于2019年喀什地区艾滋病防治工作重点任务的通知”喀署办发{2019}12号文件要求，解决防治工作中的重点和难点问题，推动防治工作全面深入开展，自治区决定启动第三轮全国和自治区艾滋病综合防治示范区工作，通过建立健全组织管理机构，加强政府领导与多部门配合，加强技术培训与人员能力建设，广泛开展宣传与干预，艾滋病预防与干预、咨询服务等工作，开展并提高对艾滋病的监测检测能力，组织实施扩大检测与治疗、关怀与支持等预防艾滋病综合防治工作</w:t>
      </w:r>
      <w:r>
        <w:rPr>
          <w:rFonts w:hint="eastAsia" w:ascii="仿宋_GB2312" w:hAnsi="仿宋" w:eastAsia="仿宋_GB2312" w:cs="宋体"/>
          <w:sz w:val="32"/>
          <w:szCs w:val="32"/>
          <w:lang w:eastAsia="zh-CN" w:bidi="ar"/>
        </w:rPr>
        <w:t>。</w:t>
      </w:r>
    </w:p>
    <w:tbl>
      <w:tblPr>
        <w:tblStyle w:val="14"/>
        <w:tblW w:w="8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378"/>
        <w:gridCol w:w="1173"/>
        <w:gridCol w:w="2606"/>
        <w:gridCol w:w="1591"/>
        <w:gridCol w:w="1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00" w:hRule="atLeast"/>
        </w:trPr>
        <w:tc>
          <w:tcPr>
            <w:tcW w:w="137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7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60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9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9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trPr>
        <w:tc>
          <w:tcPr>
            <w:tcW w:w="1378"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w:t>
            </w:r>
          </w:p>
        </w:tc>
        <w:tc>
          <w:tcPr>
            <w:tcW w:w="117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606" w:type="dxa"/>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增强居民健康保健意识和健康知晓率（%）</w:t>
            </w:r>
          </w:p>
        </w:tc>
        <w:tc>
          <w:tcPr>
            <w:tcW w:w="1591"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w:t>
            </w:r>
          </w:p>
        </w:tc>
        <w:tc>
          <w:tcPr>
            <w:tcW w:w="1591"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trPr>
        <w:tc>
          <w:tcPr>
            <w:tcW w:w="1378"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606" w:type="dxa"/>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持续开展重大传染病防控项目时限(年)</w:t>
            </w:r>
          </w:p>
        </w:tc>
        <w:tc>
          <w:tcPr>
            <w:tcW w:w="1591"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91"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trPr>
        <w:tc>
          <w:tcPr>
            <w:tcW w:w="137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17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606" w:type="dxa"/>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受益人员满意度（%）</w:t>
            </w:r>
          </w:p>
        </w:tc>
        <w:tc>
          <w:tcPr>
            <w:tcW w:w="1591"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591"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lang w:bidi="ar"/>
        </w:rPr>
      </w:pPr>
      <w:r>
        <w:rPr>
          <w:rFonts w:hint="eastAsia" w:ascii="仿宋_GB2312" w:hAnsi="仿宋" w:eastAsia="仿宋_GB2312" w:cs="宋体"/>
          <w:sz w:val="32"/>
          <w:szCs w:val="32"/>
          <w:lang w:val="en-US" w:eastAsia="zh-CN" w:bidi="ar"/>
        </w:rPr>
        <w:t xml:space="preserve">                                                                                </w:t>
      </w:r>
      <w:r>
        <w:rPr>
          <w:rFonts w:hint="eastAsia" w:ascii="黑体" w:hAnsi="黑体" w:eastAsia="黑体" w:cs="黑体"/>
          <w:b/>
          <w:bCs w:val="0"/>
          <w:sz w:val="32"/>
          <w:szCs w:val="32"/>
          <w:lang w:val="en-US" w:eastAsia="zh-CN"/>
        </w:rPr>
        <w:t>五、</w:t>
      </w:r>
      <w:r>
        <w:rPr>
          <w:rFonts w:hint="eastAsia" w:ascii="黑体" w:hAnsi="黑体" w:eastAsia="黑体" w:cs="黑体"/>
          <w:b/>
          <w:bCs w:val="0"/>
          <w:sz w:val="32"/>
          <w:szCs w:val="32"/>
        </w:rPr>
        <w:t>主要经验及做法、存在的问题及原因分析</w:t>
      </w:r>
    </w:p>
    <w:p>
      <w:pPr>
        <w:pStyle w:val="34"/>
        <w:keepNext w:val="0"/>
        <w:keepLines w:val="0"/>
        <w:pageBreakBefore w:val="0"/>
        <w:widowControl w:val="0"/>
        <w:numPr>
          <w:ilvl w:val="0"/>
          <w:numId w:val="8"/>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r>
        <w:rPr>
          <w:rFonts w:hint="eastAsia"/>
          <w:lang w:bidi="ar"/>
        </w:rPr>
        <w:t>主要经验及做法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bidi="ar"/>
        </w:rPr>
        <w:t>本项目实施效果较好的原因主要是管理制度完善、责任落实到位，跟踪考核机制完善且运行有效</w:t>
      </w:r>
      <w:r>
        <w:rPr>
          <w:rFonts w:hint="eastAsia" w:ascii="仿宋_GB2312" w:hAnsi="仿宋" w:eastAsia="仿宋_GB2312" w:cs="宋体"/>
          <w:sz w:val="32"/>
          <w:szCs w:val="32"/>
          <w:lang w:eastAsia="zh-CN" w:bidi="ar"/>
        </w:rPr>
        <w:t>。</w:t>
      </w:r>
    </w:p>
    <w:p>
      <w:pPr>
        <w:pStyle w:val="34"/>
        <w:keepNext w:val="0"/>
        <w:keepLines w:val="0"/>
        <w:pageBreakBefore w:val="0"/>
        <w:widowControl w:val="0"/>
        <w:numPr>
          <w:ilvl w:val="0"/>
          <w:numId w:val="8"/>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r>
        <w:rPr>
          <w:rFonts w:hint="eastAsia"/>
          <w:lang w:bidi="ar"/>
        </w:rPr>
        <w:t>存在的问题及原因分析</w:t>
      </w:r>
    </w:p>
    <w:p>
      <w:pPr>
        <w:pStyle w:val="54"/>
        <w:keepNext w:val="0"/>
        <w:keepLines w:val="0"/>
        <w:pageBreakBefore w:val="0"/>
        <w:widowControl w:val="0"/>
        <w:kinsoku/>
        <w:wordWrap/>
        <w:overflowPunct/>
        <w:topLinePunct w:val="0"/>
        <w:autoSpaceDE/>
        <w:autoSpaceDN/>
        <w:bidi w:val="0"/>
        <w:adjustRightInd/>
        <w:snapToGrid/>
        <w:spacing w:line="560" w:lineRule="exact"/>
        <w:ind w:left="0" w:leftChars="0" w:firstLine="420" w:firstLineChars="200"/>
        <w:textAlignment w:val="auto"/>
        <w:rPr>
          <w:rFonts w:hint="eastAsia" w:ascii="仿宋_GB2312" w:hAnsi="仿宋" w:eastAsia="仿宋_GB2312" w:cs="宋体"/>
          <w:kern w:val="2"/>
          <w:sz w:val="32"/>
          <w:szCs w:val="32"/>
          <w:lang w:val="en-US" w:eastAsia="zh-CN" w:bidi="ar"/>
        </w:rPr>
      </w:pPr>
      <w:r>
        <w:rPr>
          <w:rFonts w:hint="eastAsia"/>
          <w:b w:val="0"/>
          <w:lang w:bidi="ar"/>
        </w:rPr>
        <w:t xml:space="preserve"> </w:t>
      </w:r>
      <w:r>
        <w:rPr>
          <w:rFonts w:hint="eastAsia" w:ascii="仿宋" w:hAnsi="仿宋" w:eastAsia="仿宋"/>
          <w:bCs/>
          <w:sz w:val="32"/>
          <w:szCs w:val="32"/>
        </w:rPr>
        <w:t>1、</w:t>
      </w:r>
      <w:r>
        <w:rPr>
          <w:rFonts w:hint="eastAsia" w:ascii="仿宋_GB2312" w:hAnsi="仿宋" w:eastAsia="仿宋_GB2312" w:cs="宋体"/>
          <w:kern w:val="2"/>
          <w:sz w:val="32"/>
          <w:szCs w:val="32"/>
          <w:lang w:val="en-US" w:eastAsia="zh-CN" w:bidi="ar"/>
        </w:rPr>
        <w:t>疾控艾滋病防治人员不足，全县艾滋病感染者和病人的随访管理、干预，CD4采样与检测，感染者和病人配偶与固定性伴的检测，女性感人者子女检测，病人的服药督导与依从性教育，失访病人的追踪，所有的检测信息的录入和上传等业务工作都由疾控性艾科工作人员来完成，服务范围和工作量较大，现有1名正式干部和1名聘用干部，因工作人员不够无法开展高危人群干预和健康教育宣讲工作。</w:t>
      </w:r>
    </w:p>
    <w:p>
      <w:pPr>
        <w:pStyle w:val="5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 w:eastAsia="仿宋_GB2312" w:cs="宋体"/>
          <w:kern w:val="2"/>
          <w:sz w:val="32"/>
          <w:szCs w:val="32"/>
          <w:lang w:val="en-US" w:eastAsia="zh-CN" w:bidi="ar"/>
        </w:rPr>
      </w:pPr>
      <w:r>
        <w:rPr>
          <w:rFonts w:hint="eastAsia" w:ascii="仿宋" w:hAnsi="仿宋" w:eastAsia="仿宋"/>
          <w:bCs/>
          <w:sz w:val="32"/>
          <w:szCs w:val="32"/>
        </w:rPr>
        <w:t>2、</w:t>
      </w:r>
      <w:r>
        <w:rPr>
          <w:rFonts w:hint="eastAsia" w:ascii="仿宋_GB2312" w:hAnsi="仿宋" w:eastAsia="仿宋_GB2312" w:cs="宋体"/>
          <w:kern w:val="2"/>
          <w:sz w:val="32"/>
          <w:szCs w:val="32"/>
          <w:lang w:val="en-US" w:eastAsia="zh-CN" w:bidi="ar"/>
        </w:rPr>
        <w:t>艾滋病病人随访困难、感染者与病人流动性大，不愿意暴露行踪和在本县治疗，经常变换居住地址和联系电话，存在失访现象，影响了CD4检测与随访，延误接受抗病毒治疗的最佳时机。</w:t>
      </w:r>
    </w:p>
    <w:p>
      <w:pPr>
        <w:pStyle w:val="5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 w:eastAsia="仿宋_GB2312" w:cs="宋体"/>
          <w:kern w:val="2"/>
          <w:sz w:val="32"/>
          <w:szCs w:val="32"/>
          <w:lang w:val="en-US" w:eastAsia="zh-CN" w:bidi="ar"/>
        </w:rPr>
      </w:pPr>
      <w:r>
        <w:rPr>
          <w:rFonts w:hint="eastAsia" w:ascii="仿宋" w:hAnsi="仿宋" w:eastAsia="仿宋" w:cs="Arial"/>
          <w:sz w:val="32"/>
          <w:szCs w:val="32"/>
        </w:rPr>
        <w:t>3、</w:t>
      </w:r>
      <w:r>
        <w:rPr>
          <w:rFonts w:hint="eastAsia" w:ascii="仿宋_GB2312" w:hAnsi="仿宋" w:eastAsia="仿宋_GB2312" w:cs="宋体"/>
          <w:kern w:val="2"/>
          <w:sz w:val="32"/>
          <w:szCs w:val="32"/>
          <w:lang w:val="en-US" w:eastAsia="zh-CN" w:bidi="ar"/>
        </w:rPr>
        <w:t>县人民医院抗病毒治疗工作重视不足，抗病毒治疗门诊工作人员不够，换人多，职责不到位,上级2019年年初明确下发文件病人CD4检测和病毒载量检测医疗机构负责，但到现在疾控承担。</w:t>
      </w:r>
    </w:p>
    <w:p>
      <w:pPr>
        <w:pStyle w:val="5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黑体" w:hAnsi="黑体" w:eastAsia="黑体" w:cs="Times New Roman"/>
          <w:b/>
          <w:bCs/>
          <w:kern w:val="44"/>
          <w:sz w:val="32"/>
          <w:szCs w:val="32"/>
          <w:lang w:val="en-US" w:eastAsia="zh-CN" w:bidi="ar-SA"/>
        </w:rPr>
      </w:pPr>
      <w:r>
        <w:rPr>
          <w:rFonts w:hint="eastAsia" w:ascii="黑体" w:hAnsi="黑体" w:eastAsia="黑体" w:cs="Times New Roman"/>
          <w:b/>
          <w:bCs/>
          <w:kern w:val="44"/>
          <w:sz w:val="32"/>
          <w:szCs w:val="32"/>
          <w:lang w:val="en-US" w:eastAsia="zh-CN" w:bidi="ar-SA"/>
        </w:rPr>
        <w:t>六、有关建议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b w:val="0"/>
          <w:kern w:val="2"/>
          <w:sz w:val="32"/>
          <w:szCs w:val="32"/>
          <w:lang w:val="en-US" w:eastAsia="zh-CN" w:bidi="ar"/>
        </w:rPr>
        <w:t>1、</w:t>
      </w:r>
      <w:r>
        <w:rPr>
          <w:rFonts w:hint="eastAsia" w:ascii="仿宋_GB2312" w:hAnsi="仿宋" w:eastAsia="仿宋_GB2312" w:cs="宋体"/>
          <w:sz w:val="32"/>
          <w:szCs w:val="32"/>
          <w:lang w:val="en-US" w:eastAsia="zh-CN" w:bidi="ar"/>
        </w:rPr>
        <w:t>充实专业技术人员，提供能力建设。</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2、加强病人建档立案，社区配合加强对病人的管理。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3、相关部门多协调，沟通配合。有效联动进行防病。</w:t>
      </w:r>
    </w:p>
    <w:p>
      <w:pPr>
        <w:pStyle w:val="3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rFonts w:ascii="黑体" w:hAnsi="黑体"/>
        </w:rPr>
      </w:pPr>
      <w:r>
        <w:rPr>
          <w:rFonts w:hint="eastAsia" w:ascii="黑体" w:hAnsi="黑体"/>
          <w:lang w:val="en-US" w:eastAsia="zh-CN"/>
        </w:rPr>
        <w:t>七、</w:t>
      </w:r>
      <w:r>
        <w:rPr>
          <w:rFonts w:hint="eastAsia" w:ascii="黑体" w:hAnsi="黑体"/>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该项目无其他说明情况。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20" w:firstLineChars="200"/>
        <w:textAlignment w:val="auto"/>
      </w:pP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Chars="0" w:firstLine="562" w:firstLineChars="200"/>
        <w:textAlignment w:val="auto"/>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附件1：喀什地区</w:t>
      </w:r>
      <w:r>
        <w:rPr>
          <w:rFonts w:hint="eastAsia" w:ascii="仿宋_GB2312" w:hAnsi="仿宋" w:eastAsia="仿宋_GB2312" w:cs="宋体"/>
          <w:sz w:val="32"/>
          <w:szCs w:val="32"/>
          <w:lang w:eastAsia="zh-CN" w:bidi="ar"/>
        </w:rPr>
        <w:t>叶城县疾病预防控制</w:t>
      </w:r>
      <w:r>
        <w:rPr>
          <w:rFonts w:hint="eastAsia" w:ascii="仿宋_GB2312" w:hAnsi="仿宋" w:eastAsia="仿宋_GB2312" w:cs="宋体"/>
          <w:sz w:val="32"/>
          <w:szCs w:val="32"/>
          <w:lang w:bidi="ar"/>
        </w:rPr>
        <w:t>2019年重大传染病防控经费项目支出绩效目标申报表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2</w:t>
      </w:r>
      <w:r>
        <w:rPr>
          <w:rFonts w:hint="eastAsia" w:ascii="仿宋_GB2312" w:hAnsi="仿宋" w:eastAsia="仿宋_GB2312" w:cs="宋体"/>
          <w:sz w:val="32"/>
          <w:szCs w:val="32"/>
          <w:lang w:bidi="ar"/>
        </w:rPr>
        <w:t>：喀什地区</w:t>
      </w:r>
      <w:r>
        <w:rPr>
          <w:rFonts w:hint="eastAsia" w:ascii="仿宋_GB2312" w:hAnsi="仿宋" w:eastAsia="仿宋_GB2312" w:cs="宋体"/>
          <w:sz w:val="32"/>
          <w:szCs w:val="32"/>
          <w:lang w:eastAsia="zh-CN" w:bidi="ar"/>
        </w:rPr>
        <w:t>叶城县疾病预防控制</w:t>
      </w:r>
      <w:r>
        <w:rPr>
          <w:rFonts w:hint="eastAsia" w:ascii="仿宋_GB2312" w:hAnsi="仿宋" w:eastAsia="仿宋_GB2312" w:cs="宋体"/>
          <w:sz w:val="32"/>
          <w:szCs w:val="32"/>
          <w:lang w:bidi="ar"/>
        </w:rPr>
        <w:t>2019年重大传染病防控经费项目支出绩效自评表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3</w:t>
      </w:r>
      <w:r>
        <w:rPr>
          <w:rFonts w:hint="eastAsia" w:ascii="仿宋_GB2312" w:hAnsi="仿宋" w:eastAsia="仿宋_GB2312" w:cs="宋体"/>
          <w:sz w:val="32"/>
          <w:szCs w:val="32"/>
          <w:lang w:bidi="ar"/>
        </w:rPr>
        <w:t>：喀什地区</w:t>
      </w:r>
      <w:r>
        <w:rPr>
          <w:rFonts w:hint="eastAsia" w:ascii="仿宋_GB2312" w:hAnsi="仿宋" w:eastAsia="仿宋_GB2312" w:cs="宋体"/>
          <w:sz w:val="32"/>
          <w:szCs w:val="32"/>
          <w:lang w:eastAsia="zh-CN" w:bidi="ar"/>
        </w:rPr>
        <w:t>叶城县疾病预防控制</w:t>
      </w:r>
      <w:r>
        <w:rPr>
          <w:rFonts w:hint="eastAsia" w:ascii="仿宋_GB2312" w:hAnsi="仿宋" w:eastAsia="仿宋_GB2312" w:cs="宋体"/>
          <w:sz w:val="32"/>
          <w:szCs w:val="32"/>
          <w:lang w:bidi="ar"/>
        </w:rPr>
        <w:t>2019年重大传染病防控经费支出绩效评价指标体系</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3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ADCD628"/>
    <w:multiLevelType w:val="singleLevel"/>
    <w:tmpl w:val="3ADCD628"/>
    <w:lvl w:ilvl="0" w:tentative="0">
      <w:start w:val="3"/>
      <w:numFmt w:val="chineseCounting"/>
      <w:suff w:val="nothing"/>
      <w:lvlText w:val="%1、"/>
      <w:lvlJc w:val="left"/>
      <w:rPr>
        <w:rFonts w:hint="eastAsia"/>
      </w:rPr>
    </w:lvl>
  </w:abstractNum>
  <w:abstractNum w:abstractNumId="3">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5">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6"/>
  </w:num>
  <w:num w:numId="3">
    <w:abstractNumId w:val="4"/>
  </w:num>
  <w:num w:numId="4">
    <w:abstractNumId w:val="3"/>
  </w:num>
  <w:num w:numId="5">
    <w:abstractNumId w:val="0"/>
  </w:num>
  <w:num w:numId="6">
    <w:abstractNumId w:val="2"/>
  </w:num>
  <w:num w:numId="7">
    <w:abstractNumId w:val="5"/>
  </w:num>
  <w:num w:numId="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65B4098"/>
    <w:rsid w:val="07AE4845"/>
    <w:rsid w:val="0AE86EC9"/>
    <w:rsid w:val="0EF94D1F"/>
    <w:rsid w:val="0FA35CDD"/>
    <w:rsid w:val="107A737B"/>
    <w:rsid w:val="15222B16"/>
    <w:rsid w:val="1E9A21CD"/>
    <w:rsid w:val="1FDD1E00"/>
    <w:rsid w:val="217F35A7"/>
    <w:rsid w:val="23CB4199"/>
    <w:rsid w:val="246D75BC"/>
    <w:rsid w:val="24E73B1F"/>
    <w:rsid w:val="26F03C06"/>
    <w:rsid w:val="278766E2"/>
    <w:rsid w:val="27DE04C3"/>
    <w:rsid w:val="2A547683"/>
    <w:rsid w:val="2C340DBA"/>
    <w:rsid w:val="303C54A8"/>
    <w:rsid w:val="306A4501"/>
    <w:rsid w:val="31C366C0"/>
    <w:rsid w:val="332A26EA"/>
    <w:rsid w:val="33CA34B6"/>
    <w:rsid w:val="33E36472"/>
    <w:rsid w:val="342C3625"/>
    <w:rsid w:val="34985988"/>
    <w:rsid w:val="3A464C83"/>
    <w:rsid w:val="3B6E50F6"/>
    <w:rsid w:val="3BC01B4C"/>
    <w:rsid w:val="3C2C76EC"/>
    <w:rsid w:val="405F18FD"/>
    <w:rsid w:val="411114B8"/>
    <w:rsid w:val="44EB676D"/>
    <w:rsid w:val="450B1300"/>
    <w:rsid w:val="46C16BC4"/>
    <w:rsid w:val="47E7154A"/>
    <w:rsid w:val="4B03571D"/>
    <w:rsid w:val="4F5836CD"/>
    <w:rsid w:val="50210887"/>
    <w:rsid w:val="50495014"/>
    <w:rsid w:val="509F44DE"/>
    <w:rsid w:val="51E904C1"/>
    <w:rsid w:val="55945462"/>
    <w:rsid w:val="57964064"/>
    <w:rsid w:val="584C172F"/>
    <w:rsid w:val="59936569"/>
    <w:rsid w:val="5A781A20"/>
    <w:rsid w:val="608A29D2"/>
    <w:rsid w:val="610D5AB8"/>
    <w:rsid w:val="641C48BB"/>
    <w:rsid w:val="667765BF"/>
    <w:rsid w:val="6741493F"/>
    <w:rsid w:val="682707EE"/>
    <w:rsid w:val="68AC0EA3"/>
    <w:rsid w:val="7775238E"/>
    <w:rsid w:val="789E4018"/>
    <w:rsid w:val="7A8638D9"/>
    <w:rsid w:val="7B4A668D"/>
    <w:rsid w:val="7B70342A"/>
    <w:rsid w:val="7EE411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iPriority="99" w:semiHidden="0" w:name="HTML Preformatted"/>
    <w:lsdException w:qFormat="1" w:uiPriority="99" w:semiHidden="0"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2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3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3"/>
    <w:unhideWhenUsed/>
    <w:qFormat/>
    <w:uiPriority w:val="9"/>
    <w:pPr>
      <w:keepNext/>
      <w:keepLines/>
      <w:spacing w:before="260" w:after="260" w:line="416" w:lineRule="auto"/>
      <w:outlineLvl w:val="2"/>
    </w:pPr>
    <w:rPr>
      <w:b/>
      <w:bCs/>
      <w:sz w:val="32"/>
      <w:szCs w:val="32"/>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unhideWhenUsed/>
    <w:qFormat/>
    <w:uiPriority w:val="39"/>
    <w:rPr>
      <w:rFonts w:eastAsia="仿宋_GB2312"/>
      <w:sz w:val="28"/>
    </w:rPr>
  </w:style>
  <w:style w:type="paragraph" w:styleId="7">
    <w:name w:val="Balloon Text"/>
    <w:basedOn w:val="1"/>
    <w:link w:val="31"/>
    <w:unhideWhenUsed/>
    <w:qFormat/>
    <w:uiPriority w:val="99"/>
    <w:rPr>
      <w:sz w:val="18"/>
      <w:szCs w:val="18"/>
    </w:rPr>
  </w:style>
  <w:style w:type="paragraph" w:styleId="8">
    <w:name w:val="footer"/>
    <w:basedOn w:val="1"/>
    <w:link w:val="30"/>
    <w:unhideWhenUsed/>
    <w:qFormat/>
    <w:uiPriority w:val="99"/>
    <w:pPr>
      <w:tabs>
        <w:tab w:val="center" w:pos="4153"/>
        <w:tab w:val="right" w:pos="8306"/>
      </w:tabs>
      <w:snapToGrid w:val="0"/>
      <w:jc w:val="left"/>
    </w:pPr>
    <w:rPr>
      <w:sz w:val="18"/>
      <w:szCs w:val="18"/>
    </w:rPr>
  </w:style>
  <w:style w:type="paragraph" w:styleId="9">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unhideWhenUsed/>
    <w:qFormat/>
    <w:uiPriority w:val="99"/>
    <w:rPr>
      <w:color w:val="800080"/>
      <w:u w:val="none"/>
    </w:rPr>
  </w:style>
  <w:style w:type="character" w:styleId="18">
    <w:name w:val="Emphasis"/>
    <w:basedOn w:val="16"/>
    <w:qFormat/>
    <w:uiPriority w:val="20"/>
  </w:style>
  <w:style w:type="character" w:styleId="19">
    <w:name w:val="HTML Definition"/>
    <w:basedOn w:val="16"/>
    <w:unhideWhenUsed/>
    <w:qFormat/>
    <w:uiPriority w:val="99"/>
  </w:style>
  <w:style w:type="character" w:styleId="20">
    <w:name w:val="HTML Acronym"/>
    <w:basedOn w:val="16"/>
    <w:unhideWhenUsed/>
    <w:qFormat/>
    <w:uiPriority w:val="99"/>
  </w:style>
  <w:style w:type="character" w:styleId="21">
    <w:name w:val="HTML Variable"/>
    <w:basedOn w:val="16"/>
    <w:unhideWhenUsed/>
    <w:qFormat/>
    <w:uiPriority w:val="99"/>
  </w:style>
  <w:style w:type="character" w:styleId="22">
    <w:name w:val="Hyperlink"/>
    <w:basedOn w:val="16"/>
    <w:unhideWhenUsed/>
    <w:qFormat/>
    <w:uiPriority w:val="99"/>
    <w:rPr>
      <w:color w:val="0563C1" w:themeColor="hyperlink"/>
      <w:u w:val="single"/>
      <w14:textFill>
        <w14:solidFill>
          <w14:schemeClr w14:val="hlink"/>
        </w14:solidFill>
      </w14:textFill>
    </w:rPr>
  </w:style>
  <w:style w:type="character" w:styleId="23">
    <w:name w:val="HTML Code"/>
    <w:basedOn w:val="16"/>
    <w:unhideWhenUsed/>
    <w:qFormat/>
    <w:uiPriority w:val="99"/>
    <w:rPr>
      <w:rFonts w:ascii="Courier New" w:hAnsi="Courier New"/>
      <w:sz w:val="20"/>
    </w:rPr>
  </w:style>
  <w:style w:type="character" w:styleId="24">
    <w:name w:val="HTML Cite"/>
    <w:basedOn w:val="16"/>
    <w:unhideWhenUsed/>
    <w:qFormat/>
    <w:uiPriority w:val="99"/>
  </w:style>
  <w:style w:type="character" w:styleId="25">
    <w:name w:val="HTML Keyboard"/>
    <w:basedOn w:val="16"/>
    <w:unhideWhenUsed/>
    <w:qFormat/>
    <w:uiPriority w:val="99"/>
    <w:rPr>
      <w:rFonts w:ascii="Courier New" w:hAnsi="Courier New" w:eastAsia="Courier New" w:cs="Courier New"/>
      <w:sz w:val="20"/>
    </w:rPr>
  </w:style>
  <w:style w:type="character" w:styleId="26">
    <w:name w:val="HTML Sample"/>
    <w:basedOn w:val="16"/>
    <w:unhideWhenUsed/>
    <w:qFormat/>
    <w:uiPriority w:val="99"/>
    <w:rPr>
      <w:rFonts w:hint="default" w:ascii="Courier New" w:hAnsi="Courier New" w:eastAsia="Courier New" w:cs="Courier New"/>
    </w:rPr>
  </w:style>
  <w:style w:type="character" w:customStyle="1" w:styleId="27">
    <w:name w:val="标题 1 字符"/>
    <w:basedOn w:val="16"/>
    <w:link w:val="2"/>
    <w:qFormat/>
    <w:uiPriority w:val="9"/>
    <w:rPr>
      <w:rFonts w:ascii="Times New Roman" w:hAnsi="Times New Roman" w:eastAsia="黑体" w:cs="Arial"/>
      <w:b/>
      <w:bCs/>
      <w:kern w:val="44"/>
      <w:sz w:val="28"/>
      <w:szCs w:val="44"/>
    </w:rPr>
  </w:style>
  <w:style w:type="paragraph" w:customStyle="1" w:styleId="28">
    <w:name w:val="List Paragraph"/>
    <w:basedOn w:val="1"/>
    <w:qFormat/>
    <w:uiPriority w:val="34"/>
    <w:pPr>
      <w:ind w:firstLine="420" w:firstLineChars="200"/>
    </w:pPr>
  </w:style>
  <w:style w:type="character" w:customStyle="1" w:styleId="29">
    <w:name w:val="页眉 字符"/>
    <w:basedOn w:val="16"/>
    <w:link w:val="9"/>
    <w:qFormat/>
    <w:uiPriority w:val="99"/>
    <w:rPr>
      <w:sz w:val="18"/>
      <w:szCs w:val="18"/>
    </w:rPr>
  </w:style>
  <w:style w:type="character" w:customStyle="1" w:styleId="30">
    <w:name w:val="页脚 字符"/>
    <w:basedOn w:val="16"/>
    <w:link w:val="8"/>
    <w:qFormat/>
    <w:uiPriority w:val="99"/>
    <w:rPr>
      <w:sz w:val="18"/>
      <w:szCs w:val="18"/>
    </w:rPr>
  </w:style>
  <w:style w:type="character" w:customStyle="1" w:styleId="31">
    <w:name w:val="批注框文本 字符"/>
    <w:basedOn w:val="16"/>
    <w:link w:val="7"/>
    <w:semiHidden/>
    <w:qFormat/>
    <w:uiPriority w:val="99"/>
    <w:rPr>
      <w:sz w:val="18"/>
      <w:szCs w:val="18"/>
    </w:rPr>
  </w:style>
  <w:style w:type="paragraph" w:customStyle="1" w:styleId="32">
    <w:name w:val="标题1"/>
    <w:basedOn w:val="2"/>
    <w:qFormat/>
    <w:uiPriority w:val="0"/>
    <w:pPr>
      <w:spacing w:before="120" w:after="120" w:line="500" w:lineRule="exact"/>
      <w:ind w:firstLine="200" w:firstLineChars="200"/>
    </w:pPr>
    <w:rPr>
      <w:rFonts w:cs="Times New Roman"/>
      <w:sz w:val="32"/>
      <w:szCs w:val="32"/>
    </w:rPr>
  </w:style>
  <w:style w:type="character" w:customStyle="1" w:styleId="33">
    <w:name w:val="标题 2 字符"/>
    <w:basedOn w:val="16"/>
    <w:link w:val="3"/>
    <w:qFormat/>
    <w:uiPriority w:val="9"/>
    <w:rPr>
      <w:rFonts w:asciiTheme="majorHAnsi" w:hAnsiTheme="majorHAnsi" w:eastAsiaTheme="majorEastAsia" w:cstheme="majorBidi"/>
      <w:b/>
      <w:bCs/>
      <w:sz w:val="32"/>
      <w:szCs w:val="32"/>
    </w:rPr>
  </w:style>
  <w:style w:type="paragraph" w:customStyle="1" w:styleId="34">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3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6">
    <w:name w:val="闻政正文 Char"/>
    <w:link w:val="37"/>
    <w:qFormat/>
    <w:uiPriority w:val="0"/>
    <w:rPr>
      <w:rFonts w:ascii="Times New Roman" w:hAnsi="Times New Roman" w:eastAsia="仿宋_GB2312" w:cs="Times New Roman"/>
      <w:sz w:val="28"/>
      <w:szCs w:val="28"/>
    </w:rPr>
  </w:style>
  <w:style w:type="paragraph" w:customStyle="1" w:styleId="37">
    <w:name w:val="闻政正文"/>
    <w:basedOn w:val="1"/>
    <w:link w:val="3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38">
    <w:name w:val="闻政表 Char"/>
    <w:link w:val="39"/>
    <w:qFormat/>
    <w:uiPriority w:val="0"/>
    <w:rPr>
      <w:rFonts w:ascii="Times New Roman" w:hAnsi="Times New Roman" w:eastAsia="仿宋_GB2312" w:cs="Times New Roman"/>
      <w:b/>
      <w:sz w:val="24"/>
      <w:szCs w:val="28"/>
    </w:rPr>
  </w:style>
  <w:style w:type="paragraph" w:customStyle="1" w:styleId="39">
    <w:name w:val="闻政表"/>
    <w:basedOn w:val="1"/>
    <w:link w:val="38"/>
    <w:qFormat/>
    <w:uiPriority w:val="0"/>
    <w:pPr>
      <w:spacing w:before="60" w:after="60"/>
      <w:jc w:val="center"/>
    </w:pPr>
    <w:rPr>
      <w:rFonts w:ascii="Times New Roman" w:hAnsi="Times New Roman" w:eastAsia="仿宋_GB2312" w:cs="Times New Roman"/>
      <w:b/>
      <w:sz w:val="24"/>
      <w:szCs w:val="28"/>
    </w:rPr>
  </w:style>
  <w:style w:type="paragraph" w:customStyle="1" w:styleId="4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41">
    <w:name w:val="闻政标题3 Char"/>
    <w:link w:val="42"/>
    <w:qFormat/>
    <w:uiPriority w:val="0"/>
    <w:rPr>
      <w:rFonts w:ascii="黑体" w:hAnsi="黑体" w:eastAsia="黑体" w:cs="Times New Roman"/>
      <w:bCs/>
      <w:sz w:val="32"/>
      <w:szCs w:val="32"/>
    </w:rPr>
  </w:style>
  <w:style w:type="paragraph" w:customStyle="1" w:styleId="42">
    <w:name w:val="闻政标题3"/>
    <w:basedOn w:val="4"/>
    <w:link w:val="41"/>
    <w:qFormat/>
    <w:uiPriority w:val="99"/>
    <w:pPr>
      <w:spacing w:before="120" w:after="60" w:line="500" w:lineRule="exact"/>
      <w:jc w:val="left"/>
      <w:outlineLvl w:val="0"/>
    </w:pPr>
    <w:rPr>
      <w:rFonts w:ascii="黑体" w:hAnsi="黑体" w:eastAsia="黑体" w:cs="Times New Roman"/>
      <w:b w:val="0"/>
    </w:rPr>
  </w:style>
  <w:style w:type="character" w:customStyle="1" w:styleId="43">
    <w:name w:val="标题 3 字符"/>
    <w:basedOn w:val="16"/>
    <w:link w:val="4"/>
    <w:semiHidden/>
    <w:qFormat/>
    <w:uiPriority w:val="9"/>
    <w:rPr>
      <w:b/>
      <w:bCs/>
      <w:sz w:val="32"/>
      <w:szCs w:val="32"/>
    </w:rPr>
  </w:style>
  <w:style w:type="paragraph" w:customStyle="1" w:styleId="44">
    <w:name w:val="Body text|1"/>
    <w:basedOn w:val="1"/>
    <w:link w:val="45"/>
    <w:qFormat/>
    <w:uiPriority w:val="0"/>
    <w:pPr>
      <w:spacing w:after="40" w:line="334" w:lineRule="auto"/>
    </w:pPr>
    <w:rPr>
      <w:rFonts w:ascii="MingLiU" w:hAnsi="MingLiU" w:eastAsia="MingLiU" w:cs="MingLiU"/>
      <w:sz w:val="20"/>
      <w:szCs w:val="20"/>
      <w:lang w:val="zh-TW" w:eastAsia="zh-TW" w:bidi="zh-TW"/>
    </w:rPr>
  </w:style>
  <w:style w:type="character" w:customStyle="1" w:styleId="45">
    <w:name w:val="Body text|1_"/>
    <w:basedOn w:val="16"/>
    <w:link w:val="44"/>
    <w:unhideWhenUsed/>
    <w:qFormat/>
    <w:uiPriority w:val="0"/>
    <w:rPr>
      <w:rFonts w:ascii="MingLiU" w:hAnsi="MingLiU" w:eastAsia="MingLiU" w:cs="MingLiU"/>
      <w:sz w:val="20"/>
      <w:szCs w:val="20"/>
      <w:lang w:val="zh-TW" w:eastAsia="zh-TW" w:bidi="zh-TW"/>
    </w:rPr>
  </w:style>
  <w:style w:type="character" w:customStyle="1" w:styleId="46">
    <w:name w:val="bsharetext"/>
    <w:basedOn w:val="16"/>
    <w:qFormat/>
    <w:uiPriority w:val="0"/>
  </w:style>
  <w:style w:type="character" w:customStyle="1" w:styleId="47">
    <w:name w:val="bg"/>
    <w:basedOn w:val="16"/>
    <w:qFormat/>
    <w:uiPriority w:val="0"/>
  </w:style>
  <w:style w:type="paragraph" w:customStyle="1" w:styleId="48">
    <w:name w:val="abstract"/>
    <w:basedOn w:val="1"/>
    <w:qFormat/>
    <w:uiPriority w:val="0"/>
    <w:pPr>
      <w:jc w:val="left"/>
    </w:pPr>
    <w:rPr>
      <w:color w:val="666666"/>
      <w:kern w:val="0"/>
      <w:lang w:val="en-US" w:eastAsia="zh-CN" w:bidi="ar"/>
    </w:rPr>
  </w:style>
  <w:style w:type="character" w:customStyle="1" w:styleId="49">
    <w:name w:val="slidebook_bg"/>
    <w:basedOn w:val="16"/>
    <w:qFormat/>
    <w:uiPriority w:val="0"/>
    <w:rPr>
      <w:bdr w:val="single" w:color="666666" w:sz="4" w:space="0"/>
      <w:shd w:val="clear" w:fill="FFFFFF"/>
    </w:rPr>
  </w:style>
  <w:style w:type="character" w:customStyle="1" w:styleId="50">
    <w:name w:val="last-child"/>
    <w:basedOn w:val="16"/>
    <w:qFormat/>
    <w:uiPriority w:val="0"/>
  </w:style>
  <w:style w:type="character" w:customStyle="1" w:styleId="51">
    <w:name w:val="wx-space"/>
    <w:basedOn w:val="16"/>
    <w:qFormat/>
    <w:uiPriority w:val="0"/>
  </w:style>
  <w:style w:type="character" w:customStyle="1" w:styleId="52">
    <w:name w:val="wx-space1"/>
    <w:basedOn w:val="16"/>
    <w:qFormat/>
    <w:uiPriority w:val="0"/>
  </w:style>
  <w:style w:type="character" w:customStyle="1" w:styleId="53">
    <w:name w:val="hover12"/>
    <w:basedOn w:val="16"/>
    <w:qFormat/>
    <w:uiPriority w:val="0"/>
    <w:rPr>
      <w:color w:val="000000"/>
      <w:shd w:val="clear" w:fill="FFFFFF"/>
    </w:rPr>
  </w:style>
  <w:style w:type="paragraph" w:customStyle="1" w:styleId="5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898</Words>
  <Characters>5120</Characters>
  <Lines>42</Lines>
  <Paragraphs>12</Paragraphs>
  <TotalTime>1</TotalTime>
  <ScaleCrop>false</ScaleCrop>
  <LinksUpToDate>false</LinksUpToDate>
  <CharactersWithSpaces>6006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2025-02-12T09:38:14Z</dcterms:modified>
  <dc:title>新疆普天鹏华商务信息咨询有限公司</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