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新疆喀什地区叶城县军用饮食供应站2021年度部门决算公开说明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32314"/>
      <w:bookmarkStart w:id="2" w:name="_Toc24028"/>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738"/>
      <w:bookmarkStart w:id="4" w:name="_Toc30567"/>
      <w:r>
        <w:rPr>
          <w:rFonts w:hint="eastAsia" w:ascii="黑体" w:hAnsi="黑体" w:eastAsia="黑体" w:cs="宋体"/>
          <w:bCs/>
          <w:kern w:val="0"/>
          <w:sz w:val="32"/>
          <w:szCs w:val="32"/>
        </w:rPr>
        <w:t>一、主要职能</w:t>
      </w:r>
      <w:bookmarkEnd w:id="3"/>
      <w:bookmarkEnd w:id="4"/>
    </w:p>
    <w:p>
      <w:pPr>
        <w:ind w:firstLine="640" w:firstLineChars="200"/>
        <w:rPr>
          <w:rFonts w:hint="eastAsia" w:ascii="仿宋_GB2312" w:eastAsia="仿宋_GB2312"/>
          <w:sz w:val="32"/>
          <w:szCs w:val="32"/>
        </w:rPr>
      </w:pPr>
      <w:r>
        <w:rPr>
          <w:rFonts w:hint="eastAsia" w:ascii="仿宋_GB2312" w:eastAsia="仿宋_GB2312"/>
          <w:sz w:val="32"/>
          <w:szCs w:val="32"/>
        </w:rPr>
        <w:t>本单位主要服务于过往部队，为过往部队提供饮食饮水服务，确保单位正常运转。</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新疆喀什地区叶城县军用饮食供应站</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5</w:t>
      </w:r>
      <w:r>
        <w:rPr>
          <w:rFonts w:hint="eastAsia" w:ascii="仿宋_GB2312" w:eastAsia="仿宋_GB2312"/>
          <w:sz w:val="32"/>
          <w:szCs w:val="32"/>
        </w:rPr>
        <w:t>人，其中：在职人员</w:t>
      </w:r>
      <w:r>
        <w:rPr>
          <w:rFonts w:ascii="仿宋_GB2312" w:eastAsia="仿宋_GB2312"/>
          <w:sz w:val="32"/>
          <w:szCs w:val="32"/>
        </w:rPr>
        <w:t>5</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从部门决算单位构成看，新疆喀什地区叶城县军用饮食供应站部门决算包括：新疆喀什地区叶城县军用饮食供应站决算。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2</w:t>
      </w:r>
      <w:r>
        <w:rPr>
          <w:rFonts w:hint="eastAsia" w:ascii="仿宋_GB2312" w:hAnsi="黑体" w:eastAsia="仿宋_GB2312" w:cs="宋体"/>
          <w:bCs/>
          <w:kern w:val="0"/>
          <w:sz w:val="32"/>
          <w:szCs w:val="32"/>
        </w:rPr>
        <w:t>个处室，分别是：综合办公室、行政办</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12566"/>
      <w:bookmarkStart w:id="8" w:name="_Toc25314"/>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73.45</w:t>
      </w:r>
      <w:r>
        <w:rPr>
          <w:rFonts w:hint="eastAsia" w:ascii="仿宋_GB2312" w:eastAsia="仿宋_GB2312"/>
          <w:sz w:val="32"/>
          <w:szCs w:val="32"/>
        </w:rPr>
        <w:t>万元，与上年相比，减少49.73万元，</w:t>
      </w:r>
      <w:r>
        <w:rPr>
          <w:rFonts w:ascii="仿宋_GB2312" w:eastAsia="仿宋_GB2312"/>
          <w:sz w:val="32"/>
          <w:szCs w:val="32"/>
        </w:rPr>
        <w:t>降低40.37</w:t>
      </w:r>
      <w:r>
        <w:rPr>
          <w:rFonts w:hint="eastAsia" w:ascii="仿宋_GB2312" w:eastAsia="仿宋_GB2312"/>
          <w:sz w:val="32"/>
          <w:szCs w:val="32"/>
        </w:rPr>
        <w:t>%，主要原因是：本单位2021年度减少上级专项项目收入。本年支出</w:t>
      </w:r>
      <w:r>
        <w:rPr>
          <w:rFonts w:ascii="仿宋_GB2312" w:eastAsia="仿宋_GB2312"/>
          <w:sz w:val="32"/>
          <w:szCs w:val="32"/>
        </w:rPr>
        <w:t>73.45</w:t>
      </w:r>
      <w:r>
        <w:rPr>
          <w:rFonts w:hint="eastAsia" w:ascii="仿宋_GB2312" w:eastAsia="仿宋_GB2312"/>
          <w:sz w:val="32"/>
          <w:szCs w:val="32"/>
        </w:rPr>
        <w:t>万元，与上年相比，</w:t>
      </w:r>
      <w:r>
        <w:rPr>
          <w:rFonts w:ascii="仿宋_GB2312" w:eastAsia="仿宋_GB2312"/>
          <w:sz w:val="32"/>
          <w:szCs w:val="32"/>
        </w:rPr>
        <w:t>减少49.73</w:t>
      </w:r>
      <w:r>
        <w:rPr>
          <w:rFonts w:hint="eastAsia" w:ascii="仿宋_GB2312" w:eastAsia="仿宋_GB2312"/>
          <w:sz w:val="32"/>
          <w:szCs w:val="32"/>
        </w:rPr>
        <w:t>万元，</w:t>
      </w:r>
      <w:r>
        <w:rPr>
          <w:rFonts w:ascii="仿宋_GB2312" w:eastAsia="仿宋_GB2312"/>
          <w:sz w:val="32"/>
          <w:szCs w:val="32"/>
        </w:rPr>
        <w:t>降低40.37</w:t>
      </w:r>
      <w:r>
        <w:rPr>
          <w:rFonts w:hint="eastAsia" w:ascii="仿宋_GB2312" w:eastAsia="仿宋_GB2312"/>
          <w:sz w:val="32"/>
          <w:szCs w:val="32"/>
        </w:rPr>
        <w:t>%，主要原因是：本单位本年减少上级专项项目支出。</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73.45</w:t>
      </w:r>
      <w:r>
        <w:rPr>
          <w:rFonts w:hint="eastAsia" w:ascii="仿宋_GB2312" w:eastAsia="仿宋_GB2312"/>
          <w:sz w:val="32"/>
          <w:szCs w:val="32"/>
        </w:rPr>
        <w:t>万元，其中：财政拨款收入</w:t>
      </w:r>
      <w:r>
        <w:rPr>
          <w:rFonts w:ascii="仿宋_GB2312" w:eastAsia="仿宋_GB2312"/>
          <w:sz w:val="32"/>
          <w:szCs w:val="32"/>
        </w:rPr>
        <w:t>73.45</w:t>
      </w:r>
      <w:r>
        <w:rPr>
          <w:rFonts w:hint="eastAsia" w:ascii="仿宋_GB2312" w:eastAsia="仿宋_GB2312"/>
          <w:sz w:val="32"/>
          <w:szCs w:val="32"/>
        </w:rPr>
        <w:t>万元，占100.00%；上级补助收入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年度本年支出73.45万元，其中：基本支出</w:t>
      </w:r>
      <w:r>
        <w:rPr>
          <w:rFonts w:ascii="仿宋_GB2312" w:eastAsia="仿宋_GB2312"/>
          <w:sz w:val="32"/>
          <w:szCs w:val="32"/>
        </w:rPr>
        <w:t>67.41</w:t>
      </w:r>
      <w:r>
        <w:rPr>
          <w:rFonts w:hint="eastAsia" w:ascii="仿宋_GB2312" w:eastAsia="仿宋_GB2312"/>
          <w:sz w:val="32"/>
          <w:szCs w:val="32"/>
        </w:rPr>
        <w:t>万元，占91.78%；项目支出</w:t>
      </w:r>
      <w:r>
        <w:rPr>
          <w:rFonts w:ascii="仿宋_GB2312" w:eastAsia="仿宋_GB2312"/>
          <w:sz w:val="32"/>
          <w:szCs w:val="32"/>
        </w:rPr>
        <w:t>6.04</w:t>
      </w:r>
      <w:r>
        <w:rPr>
          <w:rFonts w:hint="eastAsia" w:ascii="仿宋_GB2312" w:eastAsia="仿宋_GB2312"/>
          <w:sz w:val="32"/>
          <w:szCs w:val="32"/>
        </w:rPr>
        <w:t>万元，占8.22%；上缴上级支出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73.45万元，与上年相比，减少49.73万元，降低40.37%，主要原因是：本年度减少专项项目收入。财政拨款支出73.45万元，与上年相比，减少49.73万元，降低40.37%，主要原因是：本年度减少专项资金支出。</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59.65</w:t>
      </w:r>
      <w:r>
        <w:rPr>
          <w:rFonts w:hint="eastAsia" w:ascii="仿宋_GB2312" w:eastAsia="仿宋_GB2312"/>
          <w:sz w:val="32"/>
          <w:szCs w:val="32"/>
        </w:rPr>
        <w:t>万元，决算数</w:t>
      </w:r>
      <w:r>
        <w:rPr>
          <w:rFonts w:ascii="仿宋_GB2312" w:eastAsia="仿宋_GB2312"/>
          <w:sz w:val="32"/>
          <w:szCs w:val="32"/>
        </w:rPr>
        <w:t>73.45</w:t>
      </w:r>
      <w:r>
        <w:rPr>
          <w:rFonts w:hint="eastAsia" w:ascii="仿宋_GB2312" w:eastAsia="仿宋_GB2312"/>
          <w:sz w:val="32"/>
          <w:szCs w:val="32"/>
        </w:rPr>
        <w:t>万元，预决算差异率</w:t>
      </w:r>
      <w:r>
        <w:rPr>
          <w:rFonts w:ascii="仿宋_GB2312" w:eastAsia="仿宋_GB2312"/>
          <w:sz w:val="32"/>
          <w:szCs w:val="32"/>
        </w:rPr>
        <w:t>23.13</w:t>
      </w:r>
      <w:r>
        <w:rPr>
          <w:rFonts w:hint="eastAsia" w:ascii="仿宋_GB2312" w:eastAsia="仿宋_GB2312"/>
          <w:sz w:val="32"/>
          <w:szCs w:val="32"/>
        </w:rPr>
        <w:t>%，主要原因是：</w:t>
      </w:r>
      <w:r>
        <w:rPr>
          <w:rFonts w:hint="eastAsia" w:ascii="仿宋_GB2312" w:hAnsi="Times New Roman" w:eastAsia="仿宋_GB2312" w:cs="Times New Roman"/>
          <w:color w:val="auto"/>
          <w:spacing w:val="0"/>
          <w:kern w:val="2"/>
          <w:sz w:val="32"/>
          <w:szCs w:val="32"/>
          <w:highlight w:val="none"/>
          <w:lang w:val="en-US" w:eastAsia="zh-CN" w:bidi="ar-SA"/>
        </w:rPr>
        <w:t>年中追加人员工资</w:t>
      </w:r>
      <w:r>
        <w:rPr>
          <w:rFonts w:hint="eastAsia" w:ascii="仿宋_GB2312" w:eastAsia="仿宋_GB2312"/>
          <w:sz w:val="32"/>
          <w:szCs w:val="32"/>
        </w:rPr>
        <w:t>。财政拨款支出年初预算数</w:t>
      </w:r>
      <w:r>
        <w:rPr>
          <w:rFonts w:ascii="仿宋_GB2312" w:eastAsia="仿宋_GB2312"/>
          <w:sz w:val="32"/>
          <w:szCs w:val="32"/>
        </w:rPr>
        <w:t>59.65</w:t>
      </w:r>
      <w:r>
        <w:rPr>
          <w:rFonts w:hint="eastAsia" w:ascii="仿宋_GB2312" w:eastAsia="仿宋_GB2312"/>
          <w:sz w:val="32"/>
          <w:szCs w:val="32"/>
        </w:rPr>
        <w:t>万元，决算数</w:t>
      </w:r>
      <w:r>
        <w:rPr>
          <w:rFonts w:ascii="仿宋_GB2312" w:eastAsia="仿宋_GB2312"/>
          <w:sz w:val="32"/>
          <w:szCs w:val="32"/>
        </w:rPr>
        <w:t>73.45</w:t>
      </w:r>
      <w:r>
        <w:rPr>
          <w:rFonts w:hint="eastAsia" w:ascii="仿宋_GB2312" w:eastAsia="仿宋_GB2312"/>
          <w:sz w:val="32"/>
          <w:szCs w:val="32"/>
        </w:rPr>
        <w:t>万元，预决算差异率23.13%，主要原因是：</w:t>
      </w:r>
      <w:r>
        <w:rPr>
          <w:rFonts w:hint="eastAsia" w:ascii="仿宋_GB2312" w:hAnsi="Times New Roman" w:eastAsia="仿宋_GB2312" w:cs="Times New Roman"/>
          <w:color w:val="auto"/>
          <w:spacing w:val="0"/>
          <w:kern w:val="2"/>
          <w:sz w:val="32"/>
          <w:szCs w:val="32"/>
          <w:highlight w:val="none"/>
          <w:lang w:val="en-US" w:eastAsia="zh-CN" w:bidi="ar-SA"/>
        </w:rPr>
        <w:t>年中追加人员工资</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年度一般公共预算财政拨款支出73.45万元。按功能分类科目项级科目公开，其中：</w:t>
      </w:r>
    </w:p>
    <w:p>
      <w:pPr>
        <w:jc w:val="left"/>
        <w:rPr>
          <w:rFonts w:ascii="仿宋_GB2312" w:eastAsia="仿宋_GB2312"/>
          <w:sz w:val="32"/>
          <w:szCs w:val="32"/>
        </w:rPr>
      </w:pPr>
      <w:bookmarkStart w:id="18" w:name="_Toc11146"/>
      <w:bookmarkStart w:id="19" w:name="_Toc30870"/>
      <w:r>
        <w:rPr>
          <w:rFonts w:ascii="仿宋_GB2312" w:eastAsia="仿宋_GB2312"/>
          <w:sz w:val="32"/>
          <w:szCs w:val="32"/>
        </w:rPr>
        <w:tab/>
      </w:r>
      <w:r>
        <w:rPr>
          <w:rFonts w:ascii="仿宋_GB2312" w:eastAsia="仿宋_GB2312"/>
          <w:sz w:val="32"/>
          <w:szCs w:val="32"/>
        </w:rPr>
        <w:t xml:space="preserve"> 2080505机关事业单位基本养老保险缴费支出6.49万元；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2082805部队供应62.10万元；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2210201住房公积金4.87万元。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67.41</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65.99</w:t>
      </w:r>
      <w:r>
        <w:rPr>
          <w:rFonts w:hint="eastAsia" w:ascii="仿宋_GB2312" w:eastAsia="仿宋_GB2312"/>
          <w:sz w:val="32"/>
          <w:szCs w:val="32"/>
        </w:rPr>
        <w:t>万元，包括：基本工资、津贴补贴、奖金、绩效工资、机关事业单位基本养老保险缴费、职工基本医疗保险缴费、其他社会保障缴费、住房公积金</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公用经费1.42万元，包括：办公费、邮电费</w:t>
      </w:r>
      <w:r>
        <w:rPr>
          <w:rFonts w:hint="eastAsia" w:ascii="仿宋_GB2312" w:hAnsi="宋体" w:eastAsia="仿宋_GB2312" w:cs="宋体"/>
          <w:kern w:val="0"/>
          <w:sz w:val="32"/>
          <w:szCs w:val="32"/>
        </w:rPr>
        <w:t>。</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2021年度一般公共预算“三公”经费支出决算0.00万元，比上年减少0.50万元，降低100.00%，主要原因是</w:t>
      </w:r>
      <w:r>
        <w:rPr>
          <w:rFonts w:hint="eastAsia" w:ascii="仿宋_GB2312" w:eastAsia="仿宋_GB2312"/>
          <w:sz w:val="32"/>
          <w:szCs w:val="32"/>
          <w:lang w:eastAsia="zh-CN"/>
        </w:rPr>
        <w:t>：</w:t>
      </w:r>
      <w:r>
        <w:rPr>
          <w:rFonts w:ascii="仿宋_GB2312" w:eastAsia="仿宋_GB2312"/>
          <w:sz w:val="32"/>
          <w:szCs w:val="32"/>
        </w:rPr>
        <w:t>本年度无一般公共预算“三公”经费支出。其中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减少0.50万元，降低100.00%，主要原因是：本年度无公务用车购置及运行维护费支出；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与年初预算数相比情况：一般公共预算“三公”经费支出年初预算数1.42万元，决算数</w:t>
      </w:r>
      <w:r>
        <w:rPr>
          <w:rFonts w:ascii="仿宋_GB2312" w:eastAsia="仿宋_GB2312"/>
          <w:sz w:val="32"/>
          <w:szCs w:val="32"/>
        </w:rPr>
        <w:t>0.00</w:t>
      </w:r>
      <w:r>
        <w:rPr>
          <w:rFonts w:hint="eastAsia" w:ascii="仿宋_GB2312" w:eastAsia="仿宋_GB2312"/>
          <w:sz w:val="32"/>
          <w:szCs w:val="32"/>
        </w:rPr>
        <w:t>万元，预决算差异率-100.00%，主要原因是：</w:t>
      </w:r>
      <w:r>
        <w:rPr>
          <w:rFonts w:ascii="仿宋_GB2312" w:eastAsia="仿宋_GB2312"/>
          <w:sz w:val="32"/>
          <w:szCs w:val="32"/>
        </w:rPr>
        <w:t>本年度无一般公共预算“三公”经费支出。</w:t>
      </w:r>
      <w:bookmarkStart w:id="54" w:name="_GoBack"/>
      <w:bookmarkEnd w:id="54"/>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预算数1.42万元，决算数0.00万元，预决算差异率-100.00%，主要原因是：本年未安排公务用车运行维护费支出；</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2021年度新疆喀什地区叶城县军用饮食供应站（事业单位）公用经费1.42万元，比</w:t>
      </w:r>
      <w:r>
        <w:rPr>
          <w:rFonts w:hint="eastAsia" w:ascii="仿宋_GB2312" w:eastAsia="仿宋_GB2312"/>
          <w:sz w:val="32"/>
          <w:szCs w:val="32"/>
          <w:lang w:val="en-US" w:eastAsia="zh-CN"/>
        </w:rPr>
        <w:t>上年</w:t>
      </w:r>
      <w:r>
        <w:rPr>
          <w:rFonts w:hint="eastAsia" w:ascii="仿宋_GB2312" w:eastAsia="仿宋_GB2312"/>
          <w:sz w:val="32"/>
          <w:szCs w:val="32"/>
        </w:rPr>
        <w:t>减少1.42</w:t>
      </w:r>
      <w:r>
        <w:rPr>
          <w:rFonts w:hint="eastAsia" w:ascii="仿宋_GB2312" w:eastAsia="仿宋_GB2312"/>
          <w:sz w:val="32"/>
          <w:szCs w:val="32"/>
          <w:lang w:val="en-US" w:eastAsia="zh-CN"/>
        </w:rPr>
        <w:t>万</w:t>
      </w:r>
      <w:r>
        <w:rPr>
          <w:rFonts w:hint="eastAsia" w:ascii="仿宋_GB2312" w:eastAsia="仿宋_GB2312"/>
          <w:sz w:val="32"/>
          <w:szCs w:val="32"/>
        </w:rPr>
        <w:t>元，降低50.00%，主要原因是：严格按照中央八项规定，厉行节约，压减经费。</w:t>
      </w:r>
    </w:p>
    <w:p>
      <w:pPr>
        <w:ind w:firstLine="640" w:firstLineChars="200"/>
        <w:outlineLvl w:val="2"/>
        <w:rPr>
          <w:rFonts w:hint="eastAsia"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0.78</w:t>
      </w:r>
      <w:r>
        <w:rPr>
          <w:rFonts w:hint="eastAsia" w:ascii="仿宋_GB2312" w:eastAsia="仿宋_GB2312"/>
          <w:sz w:val="32"/>
          <w:szCs w:val="32"/>
        </w:rPr>
        <w:t>万元，其中：政府采购货物支出</w:t>
      </w:r>
      <w:r>
        <w:rPr>
          <w:rFonts w:ascii="仿宋_GB2312" w:eastAsia="仿宋_GB2312"/>
          <w:sz w:val="32"/>
          <w:szCs w:val="32"/>
        </w:rPr>
        <w:t>0.49</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0.29</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0.49</w:t>
      </w:r>
      <w:r>
        <w:rPr>
          <w:rFonts w:hint="eastAsia" w:ascii="仿宋_GB2312" w:eastAsia="仿宋_GB2312"/>
          <w:sz w:val="32"/>
          <w:szCs w:val="32"/>
        </w:rPr>
        <w:t>万元，占政府采购支出总额的</w:t>
      </w:r>
      <w:r>
        <w:rPr>
          <w:rFonts w:ascii="仿宋_GB2312" w:eastAsia="仿宋_GB2312"/>
          <w:sz w:val="32"/>
          <w:szCs w:val="32"/>
        </w:rPr>
        <w:t>62.82</w:t>
      </w:r>
      <w:r>
        <w:rPr>
          <w:rFonts w:hint="eastAsia" w:ascii="仿宋_GB2312" w:eastAsia="仿宋_GB2312"/>
          <w:sz w:val="32"/>
          <w:szCs w:val="32"/>
        </w:rPr>
        <w:t>%，其中：授予小微企业合同金额</w:t>
      </w:r>
      <w:r>
        <w:rPr>
          <w:rFonts w:ascii="仿宋_GB2312" w:eastAsia="仿宋_GB2312"/>
          <w:sz w:val="32"/>
          <w:szCs w:val="32"/>
        </w:rPr>
        <w:t>0.49</w:t>
      </w:r>
      <w:r>
        <w:rPr>
          <w:rFonts w:hint="eastAsia" w:ascii="仿宋_GB2312" w:eastAsia="仿宋_GB2312"/>
          <w:sz w:val="32"/>
          <w:szCs w:val="32"/>
        </w:rPr>
        <w:t>万元，占政府采购支出总额的</w:t>
      </w:r>
      <w:r>
        <w:rPr>
          <w:rFonts w:ascii="仿宋_GB2312" w:eastAsia="仿宋_GB2312"/>
          <w:sz w:val="32"/>
          <w:szCs w:val="32"/>
        </w:rPr>
        <w:t>62.82</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0.00</w:t>
      </w:r>
      <w:r>
        <w:rPr>
          <w:rFonts w:hint="eastAsia" w:ascii="仿宋_GB2312" w:eastAsia="仿宋_GB2312"/>
          <w:sz w:val="32"/>
          <w:szCs w:val="32"/>
        </w:rPr>
        <w:t>（平方米），价值</w:t>
      </w:r>
      <w:r>
        <w:rPr>
          <w:rFonts w:ascii="仿宋_GB2312" w:eastAsia="仿宋_GB2312"/>
          <w:sz w:val="32"/>
          <w:szCs w:val="32"/>
        </w:rPr>
        <w:t>0.00</w:t>
      </w:r>
      <w:r>
        <w:rPr>
          <w:rFonts w:hint="eastAsia" w:ascii="仿宋_GB2312" w:eastAsia="仿宋_GB2312"/>
          <w:sz w:val="32"/>
          <w:szCs w:val="32"/>
        </w:rPr>
        <w:t>万元。车辆</w:t>
      </w:r>
      <w:r>
        <w:rPr>
          <w:rFonts w:ascii="仿宋_GB2312" w:eastAsia="仿宋_GB2312"/>
          <w:sz w:val="32"/>
          <w:szCs w:val="32"/>
        </w:rPr>
        <w:t>1</w:t>
      </w:r>
      <w:r>
        <w:rPr>
          <w:rFonts w:hint="eastAsia" w:ascii="仿宋_GB2312" w:eastAsia="仿宋_GB2312"/>
          <w:sz w:val="32"/>
          <w:szCs w:val="32"/>
        </w:rPr>
        <w:t>辆，价值</w:t>
      </w:r>
      <w:r>
        <w:rPr>
          <w:rFonts w:ascii="仿宋_GB2312" w:eastAsia="仿宋_GB2312"/>
          <w:sz w:val="32"/>
          <w:szCs w:val="32"/>
        </w:rPr>
        <w:t>16.50</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1</w:t>
      </w:r>
      <w:r>
        <w:rPr>
          <w:rFonts w:hint="eastAsia" w:ascii="仿宋_GB2312" w:eastAsia="仿宋_GB2312"/>
          <w:sz w:val="32"/>
          <w:szCs w:val="32"/>
        </w:rPr>
        <w:t>辆，其他用车主要是：单位业务用车；单位价值50万元以上通用设备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1个，共涉及资金6.04万元。预算绩效管理取得的成效：一是确保资金的高效使用，切实发挥财政资金的使用效果。二是严格按照工作职责和相关文件依据，确保专款专用。三是严格控制资金的流出方向，确保资金的合规性。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的开展提供帮助。三是从源头上强化对专项资金预算管理，实行专项资金预算管理，结合单位实际,按轻重缓急统筹安排编制预算,提高预算编制科学性和合理性，优化资金结构。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8903"/>
      <w:bookmarkStart w:id="37" w:name="_Toc22784"/>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29106"/>
      <w:bookmarkStart w:id="51" w:name="_Toc32663"/>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0NmYxM2JiY2ZmNTY4NjgyYzY1ZDIyZTY4NjRhYzQ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4F22C87"/>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3505FD"/>
    <w:rsid w:val="12D3520E"/>
    <w:rsid w:val="1396784F"/>
    <w:rsid w:val="13EC0B8A"/>
    <w:rsid w:val="14EB6229"/>
    <w:rsid w:val="155C65A7"/>
    <w:rsid w:val="15E95753"/>
    <w:rsid w:val="16F045F9"/>
    <w:rsid w:val="176E6CF3"/>
    <w:rsid w:val="17C618A3"/>
    <w:rsid w:val="185F4F4D"/>
    <w:rsid w:val="193D4B9E"/>
    <w:rsid w:val="19E7276E"/>
    <w:rsid w:val="1A72160D"/>
    <w:rsid w:val="1B4E62E5"/>
    <w:rsid w:val="1C666C77"/>
    <w:rsid w:val="1C8B4975"/>
    <w:rsid w:val="1C98798D"/>
    <w:rsid w:val="1D2D783E"/>
    <w:rsid w:val="1D9D4C68"/>
    <w:rsid w:val="1DAF458D"/>
    <w:rsid w:val="1E150A80"/>
    <w:rsid w:val="1EAA00AC"/>
    <w:rsid w:val="1FA73C1B"/>
    <w:rsid w:val="258917FB"/>
    <w:rsid w:val="270E6657"/>
    <w:rsid w:val="27AF63CE"/>
    <w:rsid w:val="27CF2642"/>
    <w:rsid w:val="28605A33"/>
    <w:rsid w:val="294E4805"/>
    <w:rsid w:val="29E96D83"/>
    <w:rsid w:val="29EC087F"/>
    <w:rsid w:val="29F311AC"/>
    <w:rsid w:val="2A053397"/>
    <w:rsid w:val="2A5A643B"/>
    <w:rsid w:val="2ABE0B21"/>
    <w:rsid w:val="2B3A3AD8"/>
    <w:rsid w:val="2D1136DF"/>
    <w:rsid w:val="2DE716FC"/>
    <w:rsid w:val="2E59285E"/>
    <w:rsid w:val="2FD27414"/>
    <w:rsid w:val="31857BAC"/>
    <w:rsid w:val="31AD3BB5"/>
    <w:rsid w:val="31B5304E"/>
    <w:rsid w:val="31C63837"/>
    <w:rsid w:val="33206C0F"/>
    <w:rsid w:val="33BC32B4"/>
    <w:rsid w:val="3429669A"/>
    <w:rsid w:val="34965581"/>
    <w:rsid w:val="35C5793C"/>
    <w:rsid w:val="36325697"/>
    <w:rsid w:val="36E27AF2"/>
    <w:rsid w:val="36E958BB"/>
    <w:rsid w:val="370D7281"/>
    <w:rsid w:val="38CB046A"/>
    <w:rsid w:val="3A541C8C"/>
    <w:rsid w:val="3A643253"/>
    <w:rsid w:val="3B5D1933"/>
    <w:rsid w:val="3D1D5019"/>
    <w:rsid w:val="3D5275AC"/>
    <w:rsid w:val="3E1A76DD"/>
    <w:rsid w:val="3E2B7A03"/>
    <w:rsid w:val="3E9A7BA4"/>
    <w:rsid w:val="3F076061"/>
    <w:rsid w:val="3F6A08C0"/>
    <w:rsid w:val="43B90F76"/>
    <w:rsid w:val="455E1F7C"/>
    <w:rsid w:val="45897ADA"/>
    <w:rsid w:val="46901EEE"/>
    <w:rsid w:val="469C74D2"/>
    <w:rsid w:val="48A52360"/>
    <w:rsid w:val="4902047E"/>
    <w:rsid w:val="4A7D4485"/>
    <w:rsid w:val="4C2E1A9B"/>
    <w:rsid w:val="4DE45AD9"/>
    <w:rsid w:val="4E11500F"/>
    <w:rsid w:val="4EB61EEB"/>
    <w:rsid w:val="4EEF1380"/>
    <w:rsid w:val="4F9D7B44"/>
    <w:rsid w:val="50DB5F45"/>
    <w:rsid w:val="512709C0"/>
    <w:rsid w:val="51DB4252"/>
    <w:rsid w:val="52314E57"/>
    <w:rsid w:val="523358A5"/>
    <w:rsid w:val="53350823"/>
    <w:rsid w:val="54054866"/>
    <w:rsid w:val="54DA7A2A"/>
    <w:rsid w:val="54F22EA5"/>
    <w:rsid w:val="55516A31"/>
    <w:rsid w:val="59444B98"/>
    <w:rsid w:val="59996596"/>
    <w:rsid w:val="5A8B468F"/>
    <w:rsid w:val="5C386C32"/>
    <w:rsid w:val="5D286D33"/>
    <w:rsid w:val="5D630BDE"/>
    <w:rsid w:val="5E8A0BA7"/>
    <w:rsid w:val="5FFF1C5A"/>
    <w:rsid w:val="61A46A97"/>
    <w:rsid w:val="64275BB0"/>
    <w:rsid w:val="64925820"/>
    <w:rsid w:val="6627325F"/>
    <w:rsid w:val="668D47A4"/>
    <w:rsid w:val="66F72012"/>
    <w:rsid w:val="67623B14"/>
    <w:rsid w:val="68706FD2"/>
    <w:rsid w:val="697705AE"/>
    <w:rsid w:val="69AD798C"/>
    <w:rsid w:val="69DC1853"/>
    <w:rsid w:val="69F01279"/>
    <w:rsid w:val="6B311CD9"/>
    <w:rsid w:val="6B68175F"/>
    <w:rsid w:val="6B8500AE"/>
    <w:rsid w:val="6C2A71D1"/>
    <w:rsid w:val="6C81696B"/>
    <w:rsid w:val="6D0640AB"/>
    <w:rsid w:val="6D587ECB"/>
    <w:rsid w:val="6DE375B7"/>
    <w:rsid w:val="6F516C58"/>
    <w:rsid w:val="6FDFD92C"/>
    <w:rsid w:val="6FFF530B"/>
    <w:rsid w:val="70A609BC"/>
    <w:rsid w:val="73FB6630"/>
    <w:rsid w:val="74060C43"/>
    <w:rsid w:val="74947C20"/>
    <w:rsid w:val="761262E7"/>
    <w:rsid w:val="76416A32"/>
    <w:rsid w:val="77022DD9"/>
    <w:rsid w:val="77ED6F44"/>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13</Pages>
  <Words>4297</Words>
  <Characters>4734</Characters>
  <Lines>59</Lines>
  <Paragraphs>16</Paragraphs>
  <TotalTime>0</TotalTime>
  <ScaleCrop>false</ScaleCrop>
  <LinksUpToDate>false</LinksUpToDate>
  <CharactersWithSpaces>4746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2023-08-10T11:30:31Z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