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sz w:val="44"/>
          <w:szCs w:val="44"/>
        </w:rPr>
      </w:pPr>
      <w:bookmarkStart w:id="0" w:name="_Hlk97806973"/>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新疆喀什地区叶城县卫生健康委员会(本级)2021年度部门决算公开说明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1" w:name="_Toc32314"/>
      <w:bookmarkStart w:id="2" w:name="_Toc24028"/>
      <w:r>
        <w:rPr>
          <w:rFonts w:hint="eastAsia" w:ascii="黑体" w:hAnsi="黑体" w:eastAsia="黑体"/>
          <w:sz w:val="32"/>
          <w:szCs w:val="32"/>
        </w:rPr>
        <w:t>第一部分 部门单位概况</w:t>
      </w:r>
      <w:bookmarkEnd w:id="1"/>
      <w:bookmarkEnd w:id="2"/>
    </w:p>
    <w:p>
      <w:pPr>
        <w:ind w:firstLine="640" w:firstLineChars="200"/>
        <w:outlineLvl w:val="1"/>
        <w:rPr>
          <w:rFonts w:ascii="黑体" w:hAnsi="黑体" w:eastAsia="黑体" w:cs="宋体"/>
          <w:bCs/>
          <w:kern w:val="0"/>
          <w:sz w:val="32"/>
          <w:szCs w:val="32"/>
        </w:rPr>
      </w:pPr>
      <w:bookmarkStart w:id="3" w:name="_Toc30738"/>
      <w:bookmarkStart w:id="4" w:name="_Toc30567"/>
      <w:r>
        <w:rPr>
          <w:rFonts w:hint="eastAsia" w:ascii="黑体" w:hAnsi="黑体" w:eastAsia="黑体" w:cs="宋体"/>
          <w:bCs/>
          <w:kern w:val="0"/>
          <w:sz w:val="32"/>
          <w:szCs w:val="32"/>
        </w:rPr>
        <w:t>一、主要职能</w:t>
      </w:r>
      <w:bookmarkEnd w:id="3"/>
      <w:bookmarkEnd w:id="4"/>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ascii="仿宋_GB2312" w:eastAsia="仿宋_GB2312"/>
          <w:sz w:val="32"/>
          <w:szCs w:val="32"/>
        </w:rPr>
      </w:pPr>
      <w:r>
        <w:rPr>
          <w:rFonts w:ascii="仿宋_GB2312" w:eastAsia="仿宋_GB2312"/>
          <w:sz w:val="32"/>
          <w:szCs w:val="32"/>
        </w:rPr>
        <w:t>县卫生健康委员会应当牢固树立大卫生、大健康理念，推动实施健康新疆、健康叶城战略，以改革创新为动力，以促健康、转模式、强基层、重保障为着力点，把以治病为中心转变到以人民健康为中心，为全县各族人民群众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向生活困难群众倾斜。三是更加注重提高服务质量和水平，推进卫生健康公共服务均等化、普惠化、便捷化。四是协调推进深化医药卫生体制改革，加大公立医院改革力度，推进管办分离，推动卫生健康公共服务提供主体多元化、方式多样化的政策措施</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bookmarkStart w:id="5" w:name="_Toc31238"/>
      <w:bookmarkStart w:id="6" w:name="_Toc2151"/>
      <w:r>
        <w:rPr>
          <w:rFonts w:hint="eastAsia" w:ascii="黑体" w:hAnsi="黑体" w:eastAsia="黑体" w:cs="宋体"/>
          <w:bCs/>
          <w:kern w:val="0"/>
          <w:sz w:val="32"/>
          <w:szCs w:val="32"/>
        </w:rPr>
        <w:t>二、机构设置及</w:t>
      </w:r>
      <w:bookmarkEnd w:id="5"/>
      <w:r>
        <w:rPr>
          <w:rFonts w:hint="eastAsia" w:ascii="黑体" w:hAnsi="黑体" w:eastAsia="黑体" w:cs="宋体"/>
          <w:bCs/>
          <w:kern w:val="0"/>
          <w:sz w:val="32"/>
          <w:szCs w:val="32"/>
        </w:rPr>
        <w:t>人员情况</w:t>
      </w:r>
      <w:bookmarkEnd w:id="6"/>
    </w:p>
    <w:p>
      <w:pPr>
        <w:ind w:firstLine="640" w:firstLineChars="200"/>
        <w:rPr>
          <w:rFonts w:ascii="仿宋_GB2312" w:eastAsia="仿宋_GB2312"/>
          <w:sz w:val="32"/>
          <w:szCs w:val="32"/>
        </w:rPr>
      </w:pPr>
      <w:r>
        <w:rPr>
          <w:rFonts w:hint="eastAsia" w:ascii="仿宋_GB2312" w:eastAsia="仿宋_GB2312"/>
          <w:sz w:val="32"/>
          <w:szCs w:val="32"/>
        </w:rPr>
        <w:t>新疆喀什地区叶城县卫生健康委员会(本级)</w:t>
      </w:r>
      <w:r>
        <w:rPr>
          <w:rFonts w:ascii="仿宋_GB2312" w:eastAsia="仿宋_GB2312"/>
          <w:sz w:val="32"/>
          <w:szCs w:val="32"/>
        </w:rPr>
        <w:t>2021</w:t>
      </w:r>
      <w:r>
        <w:rPr>
          <w:rFonts w:hint="eastAsia" w:ascii="仿宋_GB2312" w:eastAsia="仿宋_GB2312"/>
          <w:sz w:val="32"/>
          <w:szCs w:val="32"/>
        </w:rPr>
        <w:t>年度，实有人数</w:t>
      </w:r>
      <w:r>
        <w:rPr>
          <w:rFonts w:ascii="仿宋_GB2312" w:eastAsia="仿宋_GB2312"/>
          <w:sz w:val="32"/>
          <w:szCs w:val="32"/>
        </w:rPr>
        <w:t>52</w:t>
      </w:r>
      <w:r>
        <w:rPr>
          <w:rFonts w:hint="eastAsia" w:ascii="仿宋_GB2312" w:eastAsia="仿宋_GB2312"/>
          <w:sz w:val="32"/>
          <w:szCs w:val="32"/>
        </w:rPr>
        <w:t>人，其中：在职人员</w:t>
      </w:r>
      <w:r>
        <w:rPr>
          <w:rFonts w:ascii="仿宋_GB2312" w:eastAsia="仿宋_GB2312"/>
          <w:sz w:val="32"/>
          <w:szCs w:val="32"/>
        </w:rPr>
        <w:t>21</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31</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从部门决算单位构成看，新疆喀什地区叶城县卫生健康委员会(本级)部门决算包括：新疆喀什地区叶城县卫生健康委员会(本级)决算。</w:t>
      </w: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7</w:t>
      </w:r>
      <w:r>
        <w:rPr>
          <w:rFonts w:hint="eastAsia" w:ascii="仿宋_GB2312" w:hAnsi="黑体" w:eastAsia="仿宋_GB2312" w:cs="宋体"/>
          <w:bCs/>
          <w:kern w:val="0"/>
          <w:sz w:val="32"/>
          <w:szCs w:val="32"/>
        </w:rPr>
        <w:t>个处室，分别是：行政办公室、党建办公室、项目办公室、人事科、财务室、医政科、疾妇科</w:t>
      </w:r>
      <w:r>
        <w:rPr>
          <w:rFonts w:hint="eastAsia" w:ascii="仿宋_GB2312" w:hAnsi="宋体" w:eastAsia="仿宋_GB2312" w:cs="宋体"/>
          <w:kern w:val="0"/>
          <w:sz w:val="32"/>
          <w:szCs w:val="32"/>
        </w:rPr>
        <w:t>。</w:t>
      </w:r>
    </w:p>
    <w:p>
      <w:pPr>
        <w:rPr>
          <w:rFonts w:ascii="Arial" w:hAnsi="Arial" w:cs="Arial"/>
          <w:color w:val="4D4D4D"/>
          <w:shd w:val="clear" w:color="auto" w:fill="FFFFFF"/>
        </w:rPr>
      </w:pPr>
      <w:r>
        <w:rPr>
          <w:rFonts w:ascii="Arial" w:hAnsi="Arial" w:cs="Arial"/>
          <w:color w:val="4D4D4D"/>
          <w:shd w:val="clear" w:color="auto" w:fill="FFFFFF"/>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p>
    <w:p>
      <w:pPr>
        <w:ind w:firstLine="640" w:firstLineChars="200"/>
        <w:outlineLvl w:val="1"/>
        <w:rPr>
          <w:rFonts w:ascii="黑体" w:hAnsi="黑体" w:eastAsia="黑体" w:cs="宋体"/>
          <w:bCs/>
          <w:kern w:val="0"/>
          <w:sz w:val="32"/>
          <w:szCs w:val="32"/>
        </w:rPr>
      </w:pPr>
      <w:bookmarkStart w:id="7" w:name="_Toc25314"/>
      <w:bookmarkStart w:id="8" w:name="_Toc12566"/>
      <w:bookmarkStart w:id="9" w:name="_Hlk97807141"/>
      <w:r>
        <w:rPr>
          <w:rFonts w:hint="eastAsia" w:ascii="黑体" w:hAnsi="黑体" w:eastAsia="黑体" w:cs="宋体"/>
          <w:bCs/>
          <w:kern w:val="0"/>
          <w:sz w:val="32"/>
          <w:szCs w:val="32"/>
        </w:rPr>
        <w:t>一、收入支出决算总体情况说明</w:t>
      </w:r>
      <w:bookmarkEnd w:id="7"/>
      <w:bookmarkEnd w:id="8"/>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16,416.48</w:t>
      </w:r>
      <w:r>
        <w:rPr>
          <w:rFonts w:hint="eastAsia" w:ascii="仿宋_GB2312" w:eastAsia="仿宋_GB2312"/>
          <w:sz w:val="32"/>
          <w:szCs w:val="32"/>
        </w:rPr>
        <w:t>万元，与上年相比，减少5,600.52万元，</w:t>
      </w:r>
      <w:r>
        <w:rPr>
          <w:rFonts w:ascii="仿宋_GB2312" w:eastAsia="仿宋_GB2312"/>
          <w:sz w:val="32"/>
          <w:szCs w:val="32"/>
        </w:rPr>
        <w:t>降低25.44</w:t>
      </w:r>
      <w:r>
        <w:rPr>
          <w:rFonts w:hint="eastAsia" w:ascii="仿宋_GB2312" w:eastAsia="仿宋_GB2312"/>
          <w:sz w:val="32"/>
          <w:szCs w:val="32"/>
        </w:rPr>
        <w:t>%，主要原因是：本年医疗服务与能力提升项目等项目专项资金减少。本年支出</w:t>
      </w:r>
      <w:r>
        <w:rPr>
          <w:rFonts w:ascii="仿宋_GB2312" w:eastAsia="仿宋_GB2312"/>
          <w:sz w:val="32"/>
          <w:szCs w:val="32"/>
        </w:rPr>
        <w:t>16,416.48</w:t>
      </w:r>
      <w:r>
        <w:rPr>
          <w:rFonts w:hint="eastAsia" w:ascii="仿宋_GB2312" w:eastAsia="仿宋_GB2312"/>
          <w:sz w:val="32"/>
          <w:szCs w:val="32"/>
        </w:rPr>
        <w:t>万元，与上年相比，</w:t>
      </w:r>
      <w:r>
        <w:rPr>
          <w:rFonts w:ascii="仿宋_GB2312" w:eastAsia="仿宋_GB2312"/>
          <w:sz w:val="32"/>
          <w:szCs w:val="32"/>
        </w:rPr>
        <w:t>减少5,600.52</w:t>
      </w:r>
      <w:r>
        <w:rPr>
          <w:rFonts w:hint="eastAsia" w:ascii="仿宋_GB2312" w:eastAsia="仿宋_GB2312"/>
          <w:sz w:val="32"/>
          <w:szCs w:val="32"/>
        </w:rPr>
        <w:t>万元，</w:t>
      </w:r>
      <w:r>
        <w:rPr>
          <w:rFonts w:ascii="仿宋_GB2312" w:eastAsia="仿宋_GB2312"/>
          <w:sz w:val="32"/>
          <w:szCs w:val="32"/>
        </w:rPr>
        <w:t>降低25.44</w:t>
      </w:r>
      <w:r>
        <w:rPr>
          <w:rFonts w:hint="eastAsia" w:ascii="仿宋_GB2312" w:eastAsia="仿宋_GB2312"/>
          <w:sz w:val="32"/>
          <w:szCs w:val="32"/>
        </w:rPr>
        <w:t>%，主要原因是：本年医疗服务与能力提升项目等项目专项资金减少。</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16,416.48</w:t>
      </w:r>
      <w:r>
        <w:rPr>
          <w:rFonts w:hint="eastAsia" w:ascii="仿宋_GB2312" w:eastAsia="仿宋_GB2312"/>
          <w:sz w:val="32"/>
          <w:szCs w:val="32"/>
        </w:rPr>
        <w:t>万元，其中：财政拨款收入</w:t>
      </w:r>
      <w:r>
        <w:rPr>
          <w:rFonts w:ascii="仿宋_GB2312" w:eastAsia="仿宋_GB2312"/>
          <w:sz w:val="32"/>
          <w:szCs w:val="32"/>
        </w:rPr>
        <w:t>14,416.48</w:t>
      </w:r>
      <w:r>
        <w:rPr>
          <w:rFonts w:hint="eastAsia" w:ascii="仿宋_GB2312" w:eastAsia="仿宋_GB2312"/>
          <w:sz w:val="32"/>
          <w:szCs w:val="32"/>
        </w:rPr>
        <w:t>万元，占87.82%；上级补助收入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0.00</w:t>
      </w:r>
      <w:r>
        <w:rPr>
          <w:rFonts w:hint="eastAsia" w:ascii="仿宋_GB2312" w:eastAsia="仿宋_GB2312"/>
          <w:sz w:val="32"/>
          <w:szCs w:val="32"/>
        </w:rPr>
        <w:t>万元，占0.00%；经营收入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2,000.00</w:t>
      </w:r>
      <w:r>
        <w:rPr>
          <w:rFonts w:hint="eastAsia" w:ascii="仿宋_GB2312" w:eastAsia="仿宋_GB2312"/>
          <w:sz w:val="32"/>
          <w:szCs w:val="32"/>
        </w:rPr>
        <w:t>万元，占12.18%。</w:t>
      </w:r>
    </w:p>
    <w:p>
      <w:pPr>
        <w:ind w:firstLine="640" w:firstLineChars="200"/>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年度本年支出16,416.48万元，其中：基本支出</w:t>
      </w:r>
      <w:r>
        <w:rPr>
          <w:rFonts w:ascii="仿宋_GB2312" w:eastAsia="仿宋_GB2312"/>
          <w:sz w:val="32"/>
          <w:szCs w:val="32"/>
        </w:rPr>
        <w:t>477.95</w:t>
      </w:r>
      <w:r>
        <w:rPr>
          <w:rFonts w:hint="eastAsia" w:ascii="仿宋_GB2312" w:eastAsia="仿宋_GB2312"/>
          <w:sz w:val="32"/>
          <w:szCs w:val="32"/>
        </w:rPr>
        <w:t>万元，占2.91%；项目支出</w:t>
      </w:r>
      <w:r>
        <w:rPr>
          <w:rFonts w:ascii="仿宋_GB2312" w:eastAsia="仿宋_GB2312"/>
          <w:sz w:val="32"/>
          <w:szCs w:val="32"/>
        </w:rPr>
        <w:t>15,938.53</w:t>
      </w:r>
      <w:r>
        <w:rPr>
          <w:rFonts w:hint="eastAsia" w:ascii="仿宋_GB2312" w:eastAsia="仿宋_GB2312"/>
          <w:sz w:val="32"/>
          <w:szCs w:val="32"/>
        </w:rPr>
        <w:t>万元，占97.09%；上缴上级支出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bookmarkEnd w:id="9"/>
    <w:p>
      <w:pPr>
        <w:ind w:firstLine="640" w:firstLineChars="200"/>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财政拨款收入14,416.48万元，与上年相比，减少5,329.52万元，降低26.99%，主要原因是：本年医疗服务与能力提升项目、医疗服务与能力建设项目等项目专项资金收入减少。财政拨款支出14,416.48万元，与上年相比，减少5,329.52万元，降低26.99%，主要原因是：本年医疗服务与能力提升项目、医疗服务与能力建设项目等项目专项资金支出减少。</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9,651.57</w:t>
      </w:r>
      <w:r>
        <w:rPr>
          <w:rFonts w:hint="eastAsia" w:ascii="仿宋_GB2312" w:eastAsia="仿宋_GB2312"/>
          <w:sz w:val="32"/>
          <w:szCs w:val="32"/>
        </w:rPr>
        <w:t>万元，决算数</w:t>
      </w:r>
      <w:r>
        <w:rPr>
          <w:rFonts w:ascii="仿宋_GB2312" w:eastAsia="仿宋_GB2312"/>
          <w:sz w:val="32"/>
          <w:szCs w:val="32"/>
        </w:rPr>
        <w:t>14,416.48</w:t>
      </w:r>
      <w:r>
        <w:rPr>
          <w:rFonts w:hint="eastAsia" w:ascii="仿宋_GB2312" w:eastAsia="仿宋_GB2312"/>
          <w:sz w:val="32"/>
          <w:szCs w:val="32"/>
        </w:rPr>
        <w:t>万元，预决算差异率</w:t>
      </w:r>
      <w:r>
        <w:rPr>
          <w:rFonts w:ascii="仿宋_GB2312" w:eastAsia="仿宋_GB2312"/>
          <w:sz w:val="32"/>
          <w:szCs w:val="32"/>
        </w:rPr>
        <w:t>49.37</w:t>
      </w:r>
      <w:r>
        <w:rPr>
          <w:rFonts w:hint="eastAsia" w:ascii="仿宋_GB2312" w:eastAsia="仿宋_GB2312"/>
          <w:sz w:val="32"/>
          <w:szCs w:val="32"/>
        </w:rPr>
        <w:t>%，主要原因是：年中追加基本公共卫生服务项目、重大传染病防控补助项目、医疗服务与能力提升项目资金。财政拨款支出年初预算数</w:t>
      </w:r>
      <w:r>
        <w:rPr>
          <w:rFonts w:ascii="仿宋_GB2312" w:eastAsia="仿宋_GB2312"/>
          <w:sz w:val="32"/>
          <w:szCs w:val="32"/>
        </w:rPr>
        <w:t>9,651.57</w:t>
      </w:r>
      <w:r>
        <w:rPr>
          <w:rFonts w:hint="eastAsia" w:ascii="仿宋_GB2312" w:eastAsia="仿宋_GB2312"/>
          <w:sz w:val="32"/>
          <w:szCs w:val="32"/>
        </w:rPr>
        <w:t>万元，决算数</w:t>
      </w:r>
      <w:r>
        <w:rPr>
          <w:rFonts w:ascii="仿宋_GB2312" w:eastAsia="仿宋_GB2312"/>
          <w:sz w:val="32"/>
          <w:szCs w:val="32"/>
        </w:rPr>
        <w:t>14,416.48</w:t>
      </w:r>
      <w:r>
        <w:rPr>
          <w:rFonts w:hint="eastAsia" w:ascii="仿宋_GB2312" w:eastAsia="仿宋_GB2312"/>
          <w:sz w:val="32"/>
          <w:szCs w:val="32"/>
        </w:rPr>
        <w:t>万元，预决算差异率49.37%，主要原因是：</w:t>
      </w:r>
      <w:bookmarkStart w:id="52" w:name="_GoBack"/>
      <w:bookmarkEnd w:id="52"/>
      <w:r>
        <w:rPr>
          <w:rFonts w:hint="eastAsia" w:ascii="仿宋_GB2312" w:eastAsia="仿宋_GB2312"/>
          <w:sz w:val="32"/>
          <w:szCs w:val="32"/>
        </w:rPr>
        <w:t>年中追加基本公共卫生服务项目、重大传染病防控补助项目、医疗服务与能力提升项目资金。</w:t>
      </w:r>
    </w:p>
    <w:p>
      <w:pPr>
        <w:ind w:firstLine="640" w:firstLineChars="200"/>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年度一般公共预算财政拨款支出14,416.48万元。按功能分类科目项级科目公开，其中：</w:t>
      </w:r>
    </w:p>
    <w:p>
      <w:pPr>
        <w:jc w:val="left"/>
        <w:rPr>
          <w:rFonts w:ascii="仿宋_GB2312" w:eastAsia="仿宋_GB2312"/>
          <w:sz w:val="32"/>
          <w:szCs w:val="32"/>
        </w:rPr>
      </w:pPr>
      <w:bookmarkStart w:id="18" w:name="_Toc11146"/>
      <w:bookmarkStart w:id="19" w:name="_Toc30870"/>
      <w:r>
        <w:rPr>
          <w:rFonts w:ascii="仿宋_GB2312" w:eastAsia="仿宋_GB2312"/>
          <w:sz w:val="32"/>
          <w:szCs w:val="32"/>
        </w:rPr>
        <w:tab/>
      </w:r>
      <w:r>
        <w:rPr>
          <w:rFonts w:ascii="仿宋_GB2312" w:eastAsia="仿宋_GB2312"/>
          <w:sz w:val="32"/>
          <w:szCs w:val="32"/>
        </w:rPr>
        <w:t xml:space="preserve"> 2013299其他组织事务支出281.92万元；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2080505机关事业单位基本养老保险缴费支出40.08万元；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2080506机关事业单位职业年金缴费支出10.37万元；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2080799其他就业补助支出78.44万元；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2100101行政运行427.50万元；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2100199其他卫生健康管理事务支出39.08万元；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2100201综合医院523.99万元；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2100299其他公立医院支出8.93万元；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2100399其他基层医疗卫生机构支出826.01万元；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2100408基本公共卫生服务4,394.56万元；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2100409重大公共卫生服务230.11万元；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2100410突发公共卫生事件应急处理1,749.92万元；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2100499其他公共卫生支出1,506.69万元；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2100717计划生育服务3,301.64万元；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2100799其他计划生育事务支出157.84万元；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2110304固体废弃物与化学品839.39万元。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w:t>
      </w:r>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年度一般公共预算财政拨款基本支出</w:t>
      </w:r>
      <w:r>
        <w:rPr>
          <w:rFonts w:ascii="仿宋_GB2312" w:eastAsia="仿宋_GB2312"/>
          <w:sz w:val="32"/>
          <w:szCs w:val="32"/>
        </w:rPr>
        <w:t>477.95</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462.44</w:t>
      </w:r>
      <w:r>
        <w:rPr>
          <w:rFonts w:hint="eastAsia" w:ascii="仿宋_GB2312" w:eastAsia="仿宋_GB2312"/>
          <w:sz w:val="32"/>
          <w:szCs w:val="32"/>
        </w:rPr>
        <w:t>万元，包括：基本工资、津贴补贴、奖金、机关事业单位基本养老保险缴费、职业年金缴费、职工基本医疗保险缴费、公务员医疗补助缴费、其他社会保障缴费、住房公积金、退休费、生活补助</w:t>
      </w:r>
      <w:r>
        <w:rPr>
          <w:rFonts w:hint="eastAsia" w:ascii="仿宋_GB2312" w:hAnsi="宋体" w:eastAsia="仿宋_GB2312" w:cs="宋体"/>
          <w:kern w:val="0"/>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公用经费15.51万元，包括：办公费、手续费、邮电费、差旅费、公务用车运行维护费</w:t>
      </w:r>
      <w:r>
        <w:rPr>
          <w:rFonts w:hint="eastAsia" w:ascii="仿宋_GB2312" w:hAnsi="宋体" w:eastAsia="仿宋_GB2312" w:cs="宋体"/>
          <w:kern w:val="0"/>
          <w:sz w:val="32"/>
          <w:szCs w:val="32"/>
        </w:rPr>
        <w:t>。</w:t>
      </w:r>
    </w:p>
    <w:p>
      <w:pPr>
        <w:ind w:firstLine="640" w:firstLineChars="200"/>
        <w:outlineLvl w:val="1"/>
        <w:rPr>
          <w:rFonts w:ascii="黑体" w:hAnsi="黑体" w:eastAsia="黑体" w:cs="宋体"/>
          <w:bCs/>
          <w:kern w:val="0"/>
          <w:sz w:val="32"/>
          <w:szCs w:val="32"/>
        </w:rPr>
      </w:pPr>
      <w:bookmarkStart w:id="20" w:name="_Toc21518"/>
      <w:bookmarkStart w:id="21" w:name="_Toc7190"/>
      <w:r>
        <w:rPr>
          <w:rFonts w:hint="eastAsia" w:ascii="黑体" w:hAnsi="黑体" w:eastAsia="黑体" w:cs="宋体"/>
          <w:bCs/>
          <w:kern w:val="0"/>
          <w:sz w:val="32"/>
          <w:szCs w:val="32"/>
        </w:rPr>
        <w:t>七、一般公共预算财政拨款“三公”经费支出决算情况说明</w:t>
      </w:r>
      <w:bookmarkEnd w:id="20"/>
      <w:bookmarkEnd w:id="2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2021年度一般公共预算“三公”经费支出决算5.34万元，比上年减少7.26万元，降低57.62%，主要原因是</w:t>
      </w:r>
      <w:r>
        <w:rPr>
          <w:rFonts w:hint="eastAsia" w:ascii="仿宋_GB2312" w:eastAsia="仿宋_GB2312"/>
          <w:sz w:val="32"/>
          <w:szCs w:val="32"/>
          <w:lang w:eastAsia="zh-CN"/>
        </w:rPr>
        <w:t>：</w:t>
      </w:r>
      <w:r>
        <w:rPr>
          <w:rFonts w:ascii="仿宋_GB2312" w:eastAsia="仿宋_GB2312"/>
          <w:sz w:val="32"/>
          <w:szCs w:val="32"/>
        </w:rPr>
        <w:t>严格按照中央八项规定，厉行节约，压减经费。其中</w:t>
      </w:r>
      <w:r>
        <w:rPr>
          <w:rFonts w:hint="eastAsia" w:ascii="仿宋_GB2312" w:eastAsia="仿宋_GB2312"/>
          <w:sz w:val="32"/>
          <w:szCs w:val="32"/>
          <w:lang w:eastAsia="zh-CN"/>
        </w:rPr>
        <w:t>：</w:t>
      </w:r>
      <w:r>
        <w:rPr>
          <w:rFonts w:ascii="仿宋_GB2312" w:eastAsia="仿宋_GB2312"/>
          <w:sz w:val="32"/>
          <w:szCs w:val="32"/>
        </w:rPr>
        <w:t>因公出国（境）费支出0.00万元，占0.00%，比上年增加0.00万元，增长0.00%，主要原因是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因公出国（境）费；公务用车购置及运行维护费支出5.34万元，占100.00%，比上年减少7.26万元，降低57.62%，主要原因是：严格按照中央八项规定，厉行节约，压减经费；公务接待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我单位无公务接待费。具体情况如下：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5.34</w:t>
      </w:r>
      <w:r>
        <w:rPr>
          <w:rFonts w:hint="eastAsia" w:ascii="仿宋_GB2312" w:eastAsia="仿宋_GB2312"/>
          <w:sz w:val="32"/>
          <w:szCs w:val="32"/>
        </w:rPr>
        <w:t>万元，其中</w:t>
      </w:r>
      <w:r>
        <w:rPr>
          <w:rFonts w:hint="eastAsia" w:ascii="仿宋_GB2312" w:eastAsia="仿宋_GB2312"/>
          <w:sz w:val="32"/>
          <w:szCs w:val="32"/>
          <w:lang w:eastAsia="zh-CN"/>
        </w:rPr>
        <w:t>：</w:t>
      </w:r>
      <w:r>
        <w:rPr>
          <w:rFonts w:hint="eastAsia" w:ascii="仿宋_GB2312" w:eastAsia="仿宋_GB2312"/>
          <w:sz w:val="32"/>
          <w:szCs w:val="32"/>
        </w:rPr>
        <w:t>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5.34</w:t>
      </w:r>
      <w:r>
        <w:rPr>
          <w:rFonts w:hint="eastAsia" w:ascii="仿宋_GB2312" w:eastAsia="仿宋_GB2312"/>
          <w:sz w:val="32"/>
          <w:szCs w:val="32"/>
        </w:rPr>
        <w:t>万元。公务用车运行维护费开支内容包括：车辆加油费、维修费、保险费。公务用车购置数</w:t>
      </w:r>
      <w:r>
        <w:rPr>
          <w:rFonts w:ascii="仿宋_GB2312" w:eastAsia="仿宋_GB2312"/>
          <w:sz w:val="32"/>
          <w:szCs w:val="32"/>
        </w:rPr>
        <w:t>0</w:t>
      </w:r>
      <w:r>
        <w:rPr>
          <w:rFonts w:hint="eastAsia" w:ascii="仿宋_GB2312" w:eastAsia="仿宋_GB2312"/>
          <w:sz w:val="32"/>
          <w:szCs w:val="32"/>
        </w:rPr>
        <w:t>辆，公务用车保有量22辆。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与年初预算数相比情况：一般公共预算“三公”经费支出年初预算数12.76万元，决算数</w:t>
      </w:r>
      <w:r>
        <w:rPr>
          <w:rFonts w:ascii="仿宋_GB2312" w:eastAsia="仿宋_GB2312"/>
          <w:sz w:val="32"/>
          <w:szCs w:val="32"/>
        </w:rPr>
        <w:t>5.34</w:t>
      </w:r>
      <w:r>
        <w:rPr>
          <w:rFonts w:hint="eastAsia" w:ascii="仿宋_GB2312" w:eastAsia="仿宋_GB2312"/>
          <w:sz w:val="32"/>
          <w:szCs w:val="32"/>
        </w:rPr>
        <w:t>万元，预决算差异率-58.15%，主要原因是：严格按照中央八项规定，厉行节约，压减经费。</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费预算数0.00万元，决算数0.00万元，预决算差异率0.00%，主要原因是：我单位无公务用车购置费；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预算数12.76万元，决算数5.34万元，预决算差异率-58.15%，主要原因是：严格按照中央八项规定，厉行节约，压减经费；</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ind w:firstLine="640" w:firstLineChars="200"/>
        <w:outlineLvl w:val="1"/>
        <w:rPr>
          <w:rFonts w:ascii="黑体" w:hAnsi="黑体" w:eastAsia="黑体" w:cs="宋体"/>
          <w:bCs/>
          <w:kern w:val="0"/>
          <w:sz w:val="32"/>
          <w:szCs w:val="32"/>
        </w:rPr>
      </w:pPr>
      <w:bookmarkStart w:id="22" w:name="_Toc7927"/>
      <w:bookmarkStart w:id="23" w:name="_Toc5810"/>
      <w:r>
        <w:rPr>
          <w:rFonts w:hint="eastAsia" w:ascii="黑体" w:hAnsi="黑体" w:eastAsia="黑体" w:cs="宋体"/>
          <w:bCs/>
          <w:kern w:val="0"/>
          <w:sz w:val="32"/>
          <w:szCs w:val="32"/>
        </w:rPr>
        <w:t>八、政府性基金预算财政拨款收入支出决算情况说明</w:t>
      </w:r>
      <w:bookmarkEnd w:id="22"/>
      <w:bookmarkEnd w:id="23"/>
    </w:p>
    <w:p>
      <w:pPr>
        <w:ind w:firstLine="640" w:firstLineChars="200"/>
        <w:rPr>
          <w:rFonts w:hint="eastAsia" w:ascii="仿宋_GB2312" w:hAnsi="宋体" w:eastAsia="仿宋_GB2312"/>
          <w:kern w:val="0"/>
          <w:sz w:val="32"/>
          <w:szCs w:val="32"/>
          <w:lang w:eastAsia="zh-CN"/>
        </w:rPr>
      </w:pPr>
      <w:r>
        <w:rPr>
          <w:rFonts w:hint="eastAsia" w:ascii="仿宋_GB2312" w:hAnsi="宋体" w:eastAsia="仿宋_GB2312"/>
          <w:kern w:val="0"/>
          <w:sz w:val="32"/>
          <w:szCs w:val="32"/>
        </w:rPr>
        <w:t>我单位本年度无政府性基金预算财政拨款收入支出，政府性基金预算财政拨款收入支出决算表为空表</w:t>
      </w:r>
      <w:r>
        <w:rPr>
          <w:rFonts w:hint="eastAsia" w:ascii="仿宋_GB2312" w:hAnsi="宋体" w:eastAsia="仿宋_GB2312"/>
          <w:kern w:val="0"/>
          <w:sz w:val="32"/>
          <w:szCs w:val="32"/>
          <w:lang w:eastAsia="zh-CN"/>
        </w:rPr>
        <w:t>。</w:t>
      </w:r>
    </w:p>
    <w:p>
      <w:pPr>
        <w:ind w:firstLine="640" w:firstLineChars="200"/>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Arial" w:hAnsi="Arial" w:cs="Arial"/>
          <w:color w:val="4D4D4D"/>
          <w:shd w:val="clear" w:color="auto" w:fill="FFFFFF"/>
        </w:rPr>
      </w:pPr>
      <w:r>
        <w:rPr>
          <w:rFonts w:hint="eastAsia" w:ascii="仿宋_GB2312" w:eastAsia="仿宋_GB2312"/>
          <w:sz w:val="32"/>
          <w:szCs w:val="32"/>
        </w:rPr>
        <w:t>我单位本年度无国有资本经营预算财政拨款收入支出，国有资本经营预算财政拨款收入支出决算表为空表。</w:t>
      </w:r>
    </w:p>
    <w:p>
      <w:pPr>
        <w:ind w:firstLine="640" w:firstLineChars="200"/>
        <w:outlineLvl w:val="1"/>
        <w:rPr>
          <w:rFonts w:ascii="黑体" w:hAnsi="黑体" w:eastAsia="黑体" w:cs="宋体"/>
          <w:bCs/>
          <w:kern w:val="0"/>
          <w:sz w:val="32"/>
          <w:szCs w:val="32"/>
        </w:rPr>
      </w:pPr>
      <w:bookmarkStart w:id="24" w:name="_Toc1235"/>
      <w:bookmarkStart w:id="25" w:name="_Toc7314"/>
      <w:r>
        <w:rPr>
          <w:rFonts w:hint="eastAsia" w:ascii="黑体" w:hAnsi="黑体" w:eastAsia="黑体" w:cs="宋体"/>
          <w:bCs/>
          <w:kern w:val="0"/>
          <w:sz w:val="32"/>
          <w:szCs w:val="32"/>
        </w:rPr>
        <w:t>十、其他重要事项的情况说明</w:t>
      </w:r>
      <w:bookmarkEnd w:id="24"/>
      <w:bookmarkEnd w:id="25"/>
    </w:p>
    <w:p>
      <w:pPr>
        <w:ind w:firstLine="640" w:firstLineChars="200"/>
        <w:outlineLvl w:val="2"/>
        <w:rPr>
          <w:rFonts w:hint="eastAsia" w:ascii="黑体" w:hAnsi="黑体" w:eastAsia="黑体"/>
          <w:sz w:val="32"/>
          <w:szCs w:val="32"/>
        </w:rPr>
      </w:pPr>
      <w:bookmarkStart w:id="26" w:name="_Toc13105"/>
      <w:bookmarkStart w:id="27" w:name="_Toc14519"/>
      <w:r>
        <w:rPr>
          <w:rFonts w:hint="eastAsia" w:ascii="黑体" w:hAnsi="黑体" w:eastAsia="黑体"/>
          <w:sz w:val="32"/>
          <w:szCs w:val="32"/>
        </w:rPr>
        <w:t>（一）机关运行经费支出情况</w:t>
      </w:r>
      <w:bookmarkEnd w:id="26"/>
      <w:bookmarkEnd w:id="27"/>
    </w:p>
    <w:p>
      <w:pPr>
        <w:ind w:firstLine="640" w:firstLineChars="200"/>
        <w:outlineLvl w:val="2"/>
        <w:rPr>
          <w:rFonts w:ascii="黑体" w:hAnsi="黑体" w:eastAsia="黑体"/>
          <w:sz w:val="32"/>
          <w:szCs w:val="32"/>
        </w:rPr>
      </w:pPr>
      <w:r>
        <w:rPr>
          <w:rFonts w:hint="eastAsia" w:ascii="仿宋_GB2312" w:eastAsia="仿宋_GB2312"/>
          <w:sz w:val="32"/>
          <w:szCs w:val="32"/>
        </w:rPr>
        <w:t>2021年度新疆喀什地区叶城县卫生健康委员会(本级)（行政单位和参照公务员法管理事业单位）机关运行经费支出</w:t>
      </w:r>
      <w:r>
        <w:rPr>
          <w:rFonts w:ascii="仿宋_GB2312" w:eastAsia="仿宋_GB2312"/>
          <w:sz w:val="32"/>
          <w:szCs w:val="32"/>
        </w:rPr>
        <w:t>15.51</w:t>
      </w:r>
      <w:r>
        <w:rPr>
          <w:rFonts w:hint="eastAsia" w:ascii="仿宋_GB2312" w:eastAsia="仿宋_GB2312"/>
          <w:sz w:val="32"/>
          <w:szCs w:val="32"/>
        </w:rPr>
        <w:t>万元，比上年减少12.25万元，降低44.13%，主要原因是：严格按照中央八项规定，厉行节约，压减经费。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rPr>
      </w:pPr>
      <w:r>
        <w:rPr>
          <w:rFonts w:hint="eastAsia" w:ascii="黑体" w:hAnsi="黑体" w:eastAsia="黑体"/>
          <w:sz w:val="32"/>
          <w:szCs w:val="32"/>
        </w:rPr>
        <w:t>（二）政府采购情况</w:t>
      </w:r>
    </w:p>
    <w:p>
      <w:pPr>
        <w:ind w:firstLine="640" w:firstLineChars="200"/>
        <w:rPr>
          <w:rFonts w:ascii="仿宋_GB2312" w:eastAsia="仿宋_GB2312"/>
          <w:sz w:val="32"/>
          <w:szCs w:val="32"/>
        </w:rPr>
      </w:pPr>
      <w:r>
        <w:rPr>
          <w:rFonts w:hint="eastAsia" w:ascii="仿宋_GB2312" w:eastAsia="仿宋_GB2312"/>
          <w:sz w:val="32"/>
          <w:szCs w:val="32"/>
        </w:rPr>
        <w:t>2021年度政府采购支出总额</w:t>
      </w:r>
      <w:r>
        <w:rPr>
          <w:rFonts w:ascii="仿宋_GB2312" w:eastAsia="仿宋_GB2312"/>
          <w:sz w:val="32"/>
          <w:szCs w:val="32"/>
        </w:rPr>
        <w:t>3,360.18</w:t>
      </w:r>
      <w:r>
        <w:rPr>
          <w:rFonts w:hint="eastAsia" w:ascii="仿宋_GB2312" w:eastAsia="仿宋_GB2312"/>
          <w:sz w:val="32"/>
          <w:szCs w:val="32"/>
        </w:rPr>
        <w:t>万元，其中：政府采购货物支出</w:t>
      </w:r>
      <w:r>
        <w:rPr>
          <w:rFonts w:ascii="仿宋_GB2312" w:eastAsia="仿宋_GB2312"/>
          <w:sz w:val="32"/>
          <w:szCs w:val="32"/>
        </w:rPr>
        <w:t>1,772.45</w:t>
      </w:r>
      <w:r>
        <w:rPr>
          <w:rFonts w:hint="eastAsia" w:ascii="仿宋_GB2312" w:eastAsia="仿宋_GB2312"/>
          <w:sz w:val="32"/>
          <w:szCs w:val="32"/>
        </w:rPr>
        <w:t>万元、政府采购工程支出</w:t>
      </w:r>
      <w:r>
        <w:rPr>
          <w:rFonts w:ascii="仿宋_GB2312" w:eastAsia="仿宋_GB2312"/>
          <w:sz w:val="32"/>
          <w:szCs w:val="32"/>
        </w:rPr>
        <w:t>79.65</w:t>
      </w:r>
      <w:r>
        <w:rPr>
          <w:rFonts w:hint="eastAsia" w:ascii="仿宋_GB2312" w:eastAsia="仿宋_GB2312"/>
          <w:sz w:val="32"/>
          <w:szCs w:val="32"/>
        </w:rPr>
        <w:t>万元、政府采购服务支出</w:t>
      </w:r>
      <w:r>
        <w:rPr>
          <w:rFonts w:ascii="仿宋_GB2312" w:eastAsia="仿宋_GB2312"/>
          <w:sz w:val="32"/>
          <w:szCs w:val="32"/>
        </w:rPr>
        <w:t>1,508.0</w:t>
      </w:r>
      <w:r>
        <w:rPr>
          <w:rFonts w:hint="eastAsia" w:ascii="仿宋_GB2312" w:eastAsia="仿宋_GB2312"/>
          <w:sz w:val="32"/>
          <w:szCs w:val="32"/>
          <w:lang w:val="en-US" w:eastAsia="zh-CN"/>
        </w:rPr>
        <w:t>8</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3,331.28</w:t>
      </w:r>
      <w:r>
        <w:rPr>
          <w:rFonts w:hint="eastAsia" w:ascii="仿宋_GB2312" w:eastAsia="仿宋_GB2312"/>
          <w:sz w:val="32"/>
          <w:szCs w:val="32"/>
        </w:rPr>
        <w:t>万元，占政府采购支出总额的</w:t>
      </w:r>
      <w:r>
        <w:rPr>
          <w:rFonts w:ascii="仿宋_GB2312" w:eastAsia="仿宋_GB2312"/>
          <w:sz w:val="32"/>
          <w:szCs w:val="32"/>
        </w:rPr>
        <w:t>99.14</w:t>
      </w:r>
      <w:r>
        <w:rPr>
          <w:rFonts w:hint="eastAsia" w:ascii="仿宋_GB2312" w:eastAsia="仿宋_GB2312"/>
          <w:sz w:val="32"/>
          <w:szCs w:val="32"/>
        </w:rPr>
        <w:t>%，其中：授予小微企业合同金额</w:t>
      </w:r>
      <w:r>
        <w:rPr>
          <w:rFonts w:ascii="仿宋_GB2312" w:eastAsia="仿宋_GB2312"/>
          <w:sz w:val="32"/>
          <w:szCs w:val="32"/>
        </w:rPr>
        <w:t>1,626.77</w:t>
      </w:r>
      <w:r>
        <w:rPr>
          <w:rFonts w:hint="eastAsia" w:ascii="仿宋_GB2312" w:eastAsia="仿宋_GB2312"/>
          <w:sz w:val="32"/>
          <w:szCs w:val="32"/>
        </w:rPr>
        <w:t>万元，占政府采购支出总额的</w:t>
      </w:r>
      <w:r>
        <w:rPr>
          <w:rFonts w:ascii="仿宋_GB2312" w:eastAsia="仿宋_GB2312"/>
          <w:sz w:val="32"/>
          <w:szCs w:val="32"/>
        </w:rPr>
        <w:t>48.41</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28" w:name="_Toc4591"/>
      <w:bookmarkStart w:id="29" w:name="_Toc8391"/>
      <w:r>
        <w:rPr>
          <w:rFonts w:hint="eastAsia" w:ascii="黑体" w:hAnsi="黑体" w:eastAsia="黑体"/>
          <w:sz w:val="32"/>
          <w:szCs w:val="32"/>
        </w:rPr>
        <w:t>（三）国有资产占用情况说明</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截止2021年12月31日，单位共有房屋</w:t>
      </w:r>
      <w:r>
        <w:rPr>
          <w:rFonts w:ascii="仿宋_GB2312" w:eastAsia="仿宋_GB2312"/>
          <w:sz w:val="32"/>
          <w:szCs w:val="32"/>
        </w:rPr>
        <w:t>32,254.81</w:t>
      </w:r>
      <w:r>
        <w:rPr>
          <w:rFonts w:hint="eastAsia" w:ascii="仿宋_GB2312" w:eastAsia="仿宋_GB2312"/>
          <w:sz w:val="32"/>
          <w:szCs w:val="32"/>
        </w:rPr>
        <w:t>（平方米），价值</w:t>
      </w:r>
      <w:r>
        <w:rPr>
          <w:rFonts w:ascii="仿宋_GB2312" w:eastAsia="仿宋_GB2312"/>
          <w:sz w:val="32"/>
          <w:szCs w:val="32"/>
        </w:rPr>
        <w:t>4,070.36</w:t>
      </w:r>
      <w:r>
        <w:rPr>
          <w:rFonts w:hint="eastAsia" w:ascii="仿宋_GB2312" w:eastAsia="仿宋_GB2312"/>
          <w:sz w:val="32"/>
          <w:szCs w:val="32"/>
        </w:rPr>
        <w:t>万元。车辆</w:t>
      </w:r>
      <w:r>
        <w:rPr>
          <w:rFonts w:ascii="仿宋_GB2312" w:eastAsia="仿宋_GB2312"/>
          <w:sz w:val="32"/>
          <w:szCs w:val="32"/>
        </w:rPr>
        <w:t>22</w:t>
      </w:r>
      <w:r>
        <w:rPr>
          <w:rFonts w:hint="eastAsia" w:ascii="仿宋_GB2312" w:eastAsia="仿宋_GB2312"/>
          <w:sz w:val="32"/>
          <w:szCs w:val="32"/>
        </w:rPr>
        <w:t>辆，价值</w:t>
      </w:r>
      <w:r>
        <w:rPr>
          <w:rFonts w:ascii="仿宋_GB2312" w:eastAsia="仿宋_GB2312"/>
          <w:sz w:val="32"/>
          <w:szCs w:val="32"/>
        </w:rPr>
        <w:t>223.78</w:t>
      </w:r>
      <w:r>
        <w:rPr>
          <w:rFonts w:hint="eastAsia" w:ascii="仿宋_GB2312" w:eastAsia="仿宋_GB2312"/>
          <w:sz w:val="32"/>
          <w:szCs w:val="32"/>
        </w:rPr>
        <w:t>万元，其中：副部（省）级及以上领导用车0辆、主要领导干部用车0辆、机要通信用车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22</w:t>
      </w:r>
      <w:r>
        <w:rPr>
          <w:rFonts w:hint="eastAsia" w:ascii="仿宋_GB2312" w:eastAsia="仿宋_GB2312"/>
          <w:sz w:val="32"/>
          <w:szCs w:val="32"/>
        </w:rPr>
        <w:t>辆，其他用车主要是：一般公务用车；单位价值50万元以上通用设备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bookmarkStart w:id="30" w:name="_Toc435"/>
      <w:bookmarkStart w:id="31" w:name="_Toc11283"/>
      <w:r>
        <w:rPr>
          <w:rFonts w:hint="eastAsia" w:ascii="黑体" w:hAnsi="黑体" w:eastAsia="黑体" w:cs="宋体"/>
          <w:bCs/>
          <w:kern w:val="0"/>
          <w:sz w:val="32"/>
          <w:szCs w:val="32"/>
        </w:rPr>
        <w:t>十一、预算绩效的情况说明</w:t>
      </w:r>
      <w:bookmarkEnd w:id="30"/>
      <w:bookmarkEnd w:id="3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根据预算绩效管理要求，我单位2021年度开展预算绩效评价项目17个，共涉及资金10218.25万元。预算绩效管理取得的成效：一</w:t>
      </w:r>
      <w:r>
        <w:rPr>
          <w:rFonts w:hint="eastAsia" w:ascii="仿宋_GB2312" w:eastAsia="仿宋_GB2312"/>
          <w:sz w:val="32"/>
          <w:szCs w:val="32"/>
          <w:lang w:val="en-US" w:eastAsia="zh-CN"/>
        </w:rPr>
        <w:t>是</w:t>
      </w:r>
      <w:r>
        <w:rPr>
          <w:rFonts w:ascii="仿宋_GB2312" w:eastAsia="仿宋_GB2312"/>
          <w:sz w:val="32"/>
          <w:szCs w:val="32"/>
        </w:rPr>
        <w:t>提升医疗废弃物处置能力有效提升，达到了单位履职能力对社会带来的影响预期目标。二</w:t>
      </w:r>
      <w:r>
        <w:rPr>
          <w:rFonts w:hint="eastAsia" w:ascii="仿宋_GB2312" w:eastAsia="仿宋_GB2312"/>
          <w:sz w:val="32"/>
          <w:szCs w:val="32"/>
          <w:lang w:val="en-US" w:eastAsia="zh-CN"/>
        </w:rPr>
        <w:t>是</w:t>
      </w:r>
      <w:r>
        <w:rPr>
          <w:rFonts w:ascii="仿宋_GB2312" w:eastAsia="仿宋_GB2312"/>
          <w:sz w:val="32"/>
          <w:szCs w:val="32"/>
        </w:rPr>
        <w:t>有效保障和改善了民生，促进社会和谐稳定，增强了居民健康保健意识和健康知晓率，减轻对辖区内农牧民群众看病负担。三</w:t>
      </w:r>
      <w:r>
        <w:rPr>
          <w:rFonts w:hint="eastAsia" w:ascii="仿宋_GB2312" w:eastAsia="仿宋_GB2312"/>
          <w:sz w:val="32"/>
          <w:szCs w:val="32"/>
          <w:lang w:val="en-US" w:eastAsia="zh-CN"/>
        </w:rPr>
        <w:t>是</w:t>
      </w:r>
      <w:r>
        <w:rPr>
          <w:rFonts w:ascii="仿宋_GB2312" w:eastAsia="仿宋_GB2312"/>
          <w:sz w:val="32"/>
          <w:szCs w:val="32"/>
        </w:rPr>
        <w:t>完成了喀什地区叶城县医疗垃圾无害化处理站建设及配套设施设备购置，有效提高了叶城县医疗废弃物处置能力，减轻了医疗废弃物对环境的污染</w:t>
      </w:r>
      <w:r>
        <w:rPr>
          <w:rFonts w:hint="eastAsia" w:ascii="仿宋_GB2312" w:eastAsia="仿宋_GB2312"/>
          <w:sz w:val="32"/>
          <w:szCs w:val="32"/>
          <w:lang w:eastAsia="zh-CN"/>
        </w:rPr>
        <w:t>。</w:t>
      </w:r>
      <w:r>
        <w:rPr>
          <w:rFonts w:ascii="仿宋_GB2312" w:eastAsia="仿宋_GB2312"/>
          <w:sz w:val="32"/>
          <w:szCs w:val="32"/>
        </w:rPr>
        <w:t>四</w:t>
      </w:r>
      <w:r>
        <w:rPr>
          <w:rFonts w:hint="eastAsia" w:ascii="仿宋_GB2312" w:eastAsia="仿宋_GB2312"/>
          <w:sz w:val="32"/>
          <w:szCs w:val="32"/>
          <w:lang w:val="en-US" w:eastAsia="zh-CN"/>
        </w:rPr>
        <w:t>是</w:t>
      </w:r>
      <w:r>
        <w:rPr>
          <w:rFonts w:ascii="仿宋_GB2312" w:eastAsia="仿宋_GB2312"/>
          <w:sz w:val="32"/>
          <w:szCs w:val="32"/>
        </w:rPr>
        <w:t>减少了主要健康危险因素，有效提高了公共卫生服务和突发公共卫生事件应急处置能力。婴儿死亡率、孕产妇死亡率持续下降。适龄儿童免疫规划疫苗接种率保持在90%以上。发现的问题及原因：一</w:t>
      </w:r>
      <w:r>
        <w:rPr>
          <w:rFonts w:hint="eastAsia" w:ascii="仿宋_GB2312" w:eastAsia="仿宋_GB2312"/>
          <w:sz w:val="32"/>
          <w:szCs w:val="32"/>
          <w:lang w:val="en-US" w:eastAsia="zh-CN"/>
        </w:rPr>
        <w:t>是</w:t>
      </w:r>
      <w:r>
        <w:rPr>
          <w:rFonts w:ascii="仿宋_GB2312" w:eastAsia="仿宋_GB2312"/>
          <w:sz w:val="32"/>
          <w:szCs w:val="32"/>
        </w:rPr>
        <w:t>通过预算绩效管理，发现了工作中存在的不足，如项目开展的程序还需进一步规范；项目档案资料需进一步完善；项目实施成效还需加强。各级对项目实施成效不重视。二</w:t>
      </w:r>
      <w:r>
        <w:rPr>
          <w:rFonts w:hint="eastAsia" w:ascii="仿宋_GB2312" w:eastAsia="仿宋_GB2312"/>
          <w:sz w:val="32"/>
          <w:szCs w:val="32"/>
          <w:lang w:val="en-US" w:eastAsia="zh-CN"/>
        </w:rPr>
        <w:t>是</w:t>
      </w:r>
      <w:r>
        <w:rPr>
          <w:rFonts w:ascii="仿宋_GB2312" w:eastAsia="仿宋_GB2312"/>
          <w:sz w:val="32"/>
          <w:szCs w:val="32"/>
        </w:rPr>
        <w:t>每年都有退休人员，但无新招录人员，有编制但是人员配齐不到位。下一步改进措施：一</w:t>
      </w:r>
      <w:r>
        <w:rPr>
          <w:rFonts w:hint="eastAsia" w:ascii="仿宋_GB2312" w:eastAsia="仿宋_GB2312"/>
          <w:sz w:val="32"/>
          <w:szCs w:val="32"/>
          <w:lang w:val="en-US" w:eastAsia="zh-CN"/>
        </w:rPr>
        <w:t>是</w:t>
      </w:r>
      <w:r>
        <w:rPr>
          <w:rFonts w:ascii="仿宋_GB2312" w:eastAsia="仿宋_GB2312"/>
          <w:sz w:val="32"/>
          <w:szCs w:val="32"/>
        </w:rPr>
        <w:t>充实专业技术人员，提供能力建设，加强业务培训。二</w:t>
      </w:r>
      <w:r>
        <w:rPr>
          <w:rFonts w:hint="eastAsia" w:ascii="仿宋_GB2312" w:eastAsia="仿宋_GB2312"/>
          <w:sz w:val="32"/>
          <w:szCs w:val="32"/>
          <w:lang w:val="en-US" w:eastAsia="zh-CN"/>
        </w:rPr>
        <w:t>是</w:t>
      </w:r>
      <w:r>
        <w:rPr>
          <w:rFonts w:ascii="仿宋_GB2312" w:eastAsia="仿宋_GB2312"/>
          <w:sz w:val="32"/>
          <w:szCs w:val="32"/>
        </w:rPr>
        <w:t>完善项目档案资料，加强项目实施成效，提高项目重视力度。三</w:t>
      </w:r>
      <w:r>
        <w:rPr>
          <w:rFonts w:hint="eastAsia" w:ascii="仿宋_GB2312" w:eastAsia="仿宋_GB2312"/>
          <w:sz w:val="32"/>
          <w:szCs w:val="32"/>
          <w:lang w:val="en-US" w:eastAsia="zh-CN"/>
        </w:rPr>
        <w:t>是</w:t>
      </w:r>
      <w:r>
        <w:rPr>
          <w:rFonts w:ascii="仿宋_GB2312" w:eastAsia="仿宋_GB2312"/>
          <w:sz w:val="32"/>
          <w:szCs w:val="32"/>
        </w:rPr>
        <w:t>加强人事队伍建设，通过招聘人员方式吸引人力资源，充实单位人才队伍。具体项目自评情况附项目支出绩效自评表。</w:t>
      </w:r>
    </w:p>
    <w:p>
      <w:pPr>
        <w:rPr>
          <w:rFonts w:ascii="仿宋_GB2312" w:eastAsia="仿宋_GB2312"/>
          <w:sz w:val="32"/>
          <w:szCs w:val="32"/>
        </w:rPr>
      </w:pPr>
      <w:r>
        <w:rPr>
          <w:rFonts w:ascii="仿宋_GB2312" w:eastAsia="仿宋_GB2312"/>
          <w:sz w:val="32"/>
          <w:szCs w:val="32"/>
        </w:rPr>
        <w:br w:type="page"/>
      </w:r>
    </w:p>
    <w:p>
      <w:pPr>
        <w:ind w:firstLine="640" w:firstLineChars="200"/>
        <w:jc w:val="center"/>
        <w:outlineLvl w:val="0"/>
        <w:rPr>
          <w:rFonts w:ascii="黑体" w:hAnsi="黑体" w:eastAsia="黑体"/>
          <w:sz w:val="32"/>
          <w:szCs w:val="32"/>
        </w:rPr>
      </w:pPr>
      <w:bookmarkStart w:id="32" w:name="_Toc3250"/>
      <w:bookmarkStart w:id="33" w:name="_Toc24143"/>
      <w:r>
        <w:rPr>
          <w:rFonts w:hint="eastAsia" w:ascii="黑体" w:hAnsi="黑体" w:eastAsia="黑体"/>
          <w:sz w:val="32"/>
          <w:szCs w:val="32"/>
        </w:rPr>
        <w:t>第三部分 专业名词解释</w:t>
      </w:r>
      <w:bookmarkEnd w:id="32"/>
      <w:bookmarkEnd w:id="33"/>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ascii="黑体" w:hAnsi="黑体" w:eastAsia="黑体"/>
          <w:sz w:val="32"/>
          <w:szCs w:val="32"/>
        </w:rPr>
      </w:pPr>
      <w:bookmarkStart w:id="34" w:name="_Toc22784"/>
      <w:bookmarkStart w:id="35" w:name="_Toc28903"/>
      <w:r>
        <w:rPr>
          <w:rFonts w:hint="eastAsia" w:ascii="黑体" w:hAnsi="黑体" w:eastAsia="黑体"/>
          <w:sz w:val="32"/>
          <w:szCs w:val="32"/>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bookmarkEnd w:id="34"/>
      <w:bookmarkEnd w:id="35"/>
    </w:p>
    <w:p>
      <w:pPr>
        <w:ind w:firstLine="640" w:firstLineChars="200"/>
        <w:outlineLvl w:val="1"/>
        <w:rPr>
          <w:rFonts w:ascii="黑体" w:hAnsi="黑体" w:eastAsia="黑体" w:cs="宋体"/>
          <w:bCs/>
          <w:kern w:val="0"/>
          <w:sz w:val="32"/>
          <w:szCs w:val="32"/>
        </w:rPr>
      </w:pPr>
      <w:bookmarkStart w:id="36" w:name="_Toc2183"/>
      <w:bookmarkStart w:id="37" w:name="_Toc6062"/>
      <w:r>
        <w:rPr>
          <w:rFonts w:hint="eastAsia" w:ascii="黑体" w:hAnsi="黑体" w:eastAsia="黑体" w:cs="宋体"/>
          <w:bCs/>
          <w:kern w:val="0"/>
          <w:sz w:val="32"/>
          <w:szCs w:val="32"/>
        </w:rPr>
        <w:t>一、《收入支出决算总表》</w:t>
      </w:r>
      <w:bookmarkEnd w:id="36"/>
      <w:bookmarkEnd w:id="37"/>
    </w:p>
    <w:p>
      <w:pPr>
        <w:ind w:firstLine="640" w:firstLineChars="200"/>
        <w:outlineLvl w:val="1"/>
        <w:rPr>
          <w:rFonts w:ascii="黑体" w:hAnsi="黑体" w:eastAsia="黑体" w:cs="宋体"/>
          <w:bCs/>
          <w:kern w:val="0"/>
          <w:sz w:val="32"/>
          <w:szCs w:val="32"/>
        </w:rPr>
      </w:pPr>
      <w:bookmarkStart w:id="38" w:name="_Toc30364"/>
      <w:bookmarkStart w:id="39" w:name="_Toc24532"/>
      <w:r>
        <w:rPr>
          <w:rFonts w:hint="eastAsia" w:ascii="黑体" w:hAnsi="黑体" w:eastAsia="黑体" w:cs="宋体"/>
          <w:bCs/>
          <w:kern w:val="0"/>
          <w:sz w:val="32"/>
          <w:szCs w:val="32"/>
        </w:rPr>
        <w:t>二、《收入决算表》</w:t>
      </w:r>
      <w:bookmarkEnd w:id="38"/>
      <w:bookmarkEnd w:id="39"/>
    </w:p>
    <w:p>
      <w:pPr>
        <w:ind w:firstLine="640" w:firstLineChars="200"/>
        <w:outlineLvl w:val="1"/>
        <w:rPr>
          <w:rFonts w:ascii="黑体" w:hAnsi="黑体" w:eastAsia="黑体" w:cs="宋体"/>
          <w:bCs/>
          <w:kern w:val="0"/>
          <w:sz w:val="32"/>
          <w:szCs w:val="32"/>
        </w:rPr>
      </w:pPr>
      <w:bookmarkStart w:id="40" w:name="_Toc32434"/>
      <w:bookmarkStart w:id="41" w:name="_Toc21304"/>
      <w:r>
        <w:rPr>
          <w:rFonts w:hint="eastAsia" w:ascii="黑体" w:hAnsi="黑体" w:eastAsia="黑体" w:cs="宋体"/>
          <w:bCs/>
          <w:kern w:val="0"/>
          <w:sz w:val="32"/>
          <w:szCs w:val="32"/>
        </w:rPr>
        <w:t>三、《支出决算表》</w:t>
      </w:r>
      <w:bookmarkEnd w:id="40"/>
      <w:bookmarkEnd w:id="41"/>
    </w:p>
    <w:p>
      <w:pPr>
        <w:ind w:firstLine="640" w:firstLineChars="200"/>
        <w:outlineLvl w:val="1"/>
        <w:rPr>
          <w:rFonts w:ascii="黑体" w:hAnsi="黑体" w:eastAsia="黑体" w:cs="宋体"/>
          <w:bCs/>
          <w:kern w:val="0"/>
          <w:sz w:val="32"/>
          <w:szCs w:val="32"/>
        </w:rPr>
      </w:pPr>
      <w:bookmarkStart w:id="42" w:name="_Toc28786"/>
      <w:bookmarkStart w:id="43" w:name="_Toc14238"/>
      <w:r>
        <w:rPr>
          <w:rFonts w:hint="eastAsia" w:ascii="黑体" w:hAnsi="黑体" w:eastAsia="黑体" w:cs="宋体"/>
          <w:bCs/>
          <w:kern w:val="0"/>
          <w:sz w:val="32"/>
          <w:szCs w:val="32"/>
        </w:rPr>
        <w:t>四、《财政拨款收入支出决算总表》</w:t>
      </w:r>
      <w:bookmarkEnd w:id="42"/>
      <w:bookmarkEnd w:id="43"/>
    </w:p>
    <w:p>
      <w:pPr>
        <w:ind w:firstLine="640" w:firstLineChars="200"/>
        <w:outlineLvl w:val="1"/>
        <w:rPr>
          <w:rFonts w:ascii="黑体" w:hAnsi="黑体" w:eastAsia="黑体" w:cs="宋体"/>
          <w:bCs/>
          <w:kern w:val="0"/>
          <w:sz w:val="32"/>
          <w:szCs w:val="32"/>
        </w:rPr>
      </w:pPr>
      <w:bookmarkStart w:id="44" w:name="_Toc10347"/>
      <w:bookmarkStart w:id="45" w:name="_Toc14869"/>
      <w:r>
        <w:rPr>
          <w:rFonts w:hint="eastAsia" w:ascii="黑体" w:hAnsi="黑体" w:eastAsia="黑体" w:cs="宋体"/>
          <w:bCs/>
          <w:kern w:val="0"/>
          <w:sz w:val="32"/>
          <w:szCs w:val="32"/>
        </w:rPr>
        <w:t>五、《一般公共预算财政拨款支出决算表》</w:t>
      </w:r>
      <w:bookmarkEnd w:id="44"/>
      <w:bookmarkEnd w:id="45"/>
    </w:p>
    <w:p>
      <w:pPr>
        <w:ind w:firstLine="640" w:firstLineChars="200"/>
        <w:outlineLvl w:val="1"/>
        <w:rPr>
          <w:rFonts w:ascii="黑体" w:hAnsi="黑体" w:eastAsia="黑体" w:cs="宋体"/>
          <w:bCs/>
          <w:kern w:val="0"/>
          <w:sz w:val="32"/>
          <w:szCs w:val="32"/>
        </w:rPr>
      </w:pPr>
      <w:bookmarkStart w:id="46" w:name="_Toc8884"/>
      <w:bookmarkStart w:id="47" w:name="_Toc5626"/>
      <w:r>
        <w:rPr>
          <w:rFonts w:hint="eastAsia" w:ascii="黑体" w:hAnsi="黑体" w:eastAsia="黑体" w:cs="宋体"/>
          <w:bCs/>
          <w:kern w:val="0"/>
          <w:sz w:val="32"/>
          <w:szCs w:val="32"/>
        </w:rPr>
        <w:t>六、《一般公共预算财政拨款基本支出决算表》</w:t>
      </w:r>
      <w:bookmarkEnd w:id="46"/>
      <w:bookmarkEnd w:id="47"/>
    </w:p>
    <w:p>
      <w:pPr>
        <w:ind w:firstLine="640" w:firstLineChars="200"/>
        <w:outlineLvl w:val="1"/>
        <w:rPr>
          <w:rFonts w:ascii="黑体" w:hAnsi="黑体" w:eastAsia="黑体" w:cs="宋体"/>
          <w:bCs/>
          <w:kern w:val="0"/>
          <w:sz w:val="32"/>
          <w:szCs w:val="32"/>
        </w:rPr>
      </w:pPr>
      <w:bookmarkStart w:id="48" w:name="_Toc29106"/>
      <w:bookmarkStart w:id="49" w:name="_Toc32663"/>
      <w:r>
        <w:rPr>
          <w:rFonts w:hint="eastAsia" w:ascii="黑体" w:hAnsi="黑体" w:eastAsia="黑体" w:cs="宋体"/>
          <w:bCs/>
          <w:kern w:val="0"/>
          <w:sz w:val="32"/>
          <w:szCs w:val="32"/>
        </w:rPr>
        <w:t>七、《一般公共预算财政拨款“三公”经费支出决算表》</w:t>
      </w:r>
      <w:bookmarkEnd w:id="48"/>
      <w:bookmarkEnd w:id="49"/>
    </w:p>
    <w:p>
      <w:pPr>
        <w:ind w:firstLine="640" w:firstLineChars="200"/>
        <w:outlineLvl w:val="1"/>
        <w:rPr>
          <w:rFonts w:ascii="黑体" w:hAnsi="黑体" w:eastAsia="黑体" w:cs="宋体"/>
          <w:bCs/>
          <w:kern w:val="0"/>
          <w:sz w:val="32"/>
          <w:szCs w:val="32"/>
        </w:rPr>
      </w:pPr>
      <w:bookmarkStart w:id="50" w:name="_Toc7643"/>
      <w:bookmarkStart w:id="51" w:name="_Toc5453"/>
      <w:r>
        <w:rPr>
          <w:rFonts w:hint="eastAsia" w:ascii="黑体" w:hAnsi="黑体" w:eastAsia="黑体" w:cs="宋体"/>
          <w:bCs/>
          <w:kern w:val="0"/>
          <w:sz w:val="32"/>
          <w:szCs w:val="32"/>
        </w:rPr>
        <w:t>八、《政府性基金预算财政拨款收入支出决算表》</w:t>
      </w:r>
      <w:bookmarkEnd w:id="50"/>
      <w:bookmarkEnd w:id="51"/>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bookmarkEnd w:id="0"/>
    <w:p>
      <w:pPr>
        <w:ind w:firstLine="640" w:firstLineChars="200"/>
        <w:outlineLvl w:val="1"/>
        <w:rPr>
          <w:rFonts w:ascii="黑体" w:hAnsi="黑体" w:eastAsia="黑体" w:cs="宋体"/>
          <w:bCs/>
          <w:kern w:val="0"/>
          <w:sz w:val="32"/>
          <w:szCs w:val="32"/>
        </w:rPr>
      </w:pPr>
    </w:p>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POpCYwwEAAG0DAAAOAAAAAAAAAAEAIAAAAB4BAABkcnMvZTJvRG9jLnhtbFBL&#10;BQYAAAAABgAGAFkBAABTBQ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iYzk0YzA4ZjRjODNlZDgwMmQzYTBhNGFhMjA2OTkifQ=="/>
  </w:docVars>
  <w:rsids>
    <w:rsidRoot w:val="006B7B8C"/>
    <w:rsid w:val="00014AAB"/>
    <w:rsid w:val="00015801"/>
    <w:rsid w:val="0002486D"/>
    <w:rsid w:val="00062388"/>
    <w:rsid w:val="000731DE"/>
    <w:rsid w:val="00082B96"/>
    <w:rsid w:val="000874C6"/>
    <w:rsid w:val="00091D32"/>
    <w:rsid w:val="000B3F65"/>
    <w:rsid w:val="000B4DF4"/>
    <w:rsid w:val="000B597A"/>
    <w:rsid w:val="000C0611"/>
    <w:rsid w:val="000C72B8"/>
    <w:rsid w:val="000F13FC"/>
    <w:rsid w:val="000F1BC6"/>
    <w:rsid w:val="000F7D1A"/>
    <w:rsid w:val="00100F46"/>
    <w:rsid w:val="001114DC"/>
    <w:rsid w:val="001221DB"/>
    <w:rsid w:val="001224FB"/>
    <w:rsid w:val="001433D9"/>
    <w:rsid w:val="00147345"/>
    <w:rsid w:val="00157386"/>
    <w:rsid w:val="00176B00"/>
    <w:rsid w:val="001A140F"/>
    <w:rsid w:val="001A52AF"/>
    <w:rsid w:val="001C2440"/>
    <w:rsid w:val="001C44B0"/>
    <w:rsid w:val="00207BE8"/>
    <w:rsid w:val="002120BB"/>
    <w:rsid w:val="002548C8"/>
    <w:rsid w:val="00272419"/>
    <w:rsid w:val="003028E1"/>
    <w:rsid w:val="00302A04"/>
    <w:rsid w:val="00312652"/>
    <w:rsid w:val="00345A42"/>
    <w:rsid w:val="0035250E"/>
    <w:rsid w:val="00353DD9"/>
    <w:rsid w:val="00362C48"/>
    <w:rsid w:val="0036666F"/>
    <w:rsid w:val="00370F5B"/>
    <w:rsid w:val="003824A3"/>
    <w:rsid w:val="00392A24"/>
    <w:rsid w:val="0039326B"/>
    <w:rsid w:val="00395F5C"/>
    <w:rsid w:val="003A65AE"/>
    <w:rsid w:val="003C4475"/>
    <w:rsid w:val="003C4518"/>
    <w:rsid w:val="003C5962"/>
    <w:rsid w:val="003D230A"/>
    <w:rsid w:val="003D381A"/>
    <w:rsid w:val="003D4CE8"/>
    <w:rsid w:val="004078AA"/>
    <w:rsid w:val="00420161"/>
    <w:rsid w:val="00464FAC"/>
    <w:rsid w:val="00480271"/>
    <w:rsid w:val="00487954"/>
    <w:rsid w:val="00495F92"/>
    <w:rsid w:val="004971F0"/>
    <w:rsid w:val="004B241A"/>
    <w:rsid w:val="004B2827"/>
    <w:rsid w:val="004B4550"/>
    <w:rsid w:val="004C036C"/>
    <w:rsid w:val="004C7698"/>
    <w:rsid w:val="004D5A4F"/>
    <w:rsid w:val="004E5240"/>
    <w:rsid w:val="004E7075"/>
    <w:rsid w:val="00511EF6"/>
    <w:rsid w:val="005266C7"/>
    <w:rsid w:val="00536589"/>
    <w:rsid w:val="005609AE"/>
    <w:rsid w:val="00565E92"/>
    <w:rsid w:val="00573DA1"/>
    <w:rsid w:val="00577003"/>
    <w:rsid w:val="00581BC9"/>
    <w:rsid w:val="0058594B"/>
    <w:rsid w:val="00597053"/>
    <w:rsid w:val="005B4B49"/>
    <w:rsid w:val="005D0449"/>
    <w:rsid w:val="005D2934"/>
    <w:rsid w:val="005D3D72"/>
    <w:rsid w:val="005D54E8"/>
    <w:rsid w:val="005D6482"/>
    <w:rsid w:val="005F26BE"/>
    <w:rsid w:val="00610E0F"/>
    <w:rsid w:val="006113E2"/>
    <w:rsid w:val="00624982"/>
    <w:rsid w:val="00625F2E"/>
    <w:rsid w:val="006505E8"/>
    <w:rsid w:val="00656A89"/>
    <w:rsid w:val="006612DA"/>
    <w:rsid w:val="00677EE6"/>
    <w:rsid w:val="006B25BA"/>
    <w:rsid w:val="006B5D26"/>
    <w:rsid w:val="006B7089"/>
    <w:rsid w:val="006B7147"/>
    <w:rsid w:val="006B7779"/>
    <w:rsid w:val="006B7B8C"/>
    <w:rsid w:val="006C09CD"/>
    <w:rsid w:val="006C6123"/>
    <w:rsid w:val="007002F4"/>
    <w:rsid w:val="0072647E"/>
    <w:rsid w:val="00730D0A"/>
    <w:rsid w:val="00753BF6"/>
    <w:rsid w:val="007718CB"/>
    <w:rsid w:val="0077373D"/>
    <w:rsid w:val="00773C57"/>
    <w:rsid w:val="00793611"/>
    <w:rsid w:val="007B5171"/>
    <w:rsid w:val="007E51A8"/>
    <w:rsid w:val="007F1677"/>
    <w:rsid w:val="008060FF"/>
    <w:rsid w:val="00817497"/>
    <w:rsid w:val="00820F01"/>
    <w:rsid w:val="00833A8D"/>
    <w:rsid w:val="00844A1B"/>
    <w:rsid w:val="00862C15"/>
    <w:rsid w:val="00866D2C"/>
    <w:rsid w:val="008936FD"/>
    <w:rsid w:val="008B0283"/>
    <w:rsid w:val="008B08E2"/>
    <w:rsid w:val="008C5CF1"/>
    <w:rsid w:val="008E1BC7"/>
    <w:rsid w:val="008E3821"/>
    <w:rsid w:val="008E6109"/>
    <w:rsid w:val="008E6A5A"/>
    <w:rsid w:val="00914AAA"/>
    <w:rsid w:val="00920BB9"/>
    <w:rsid w:val="00937335"/>
    <w:rsid w:val="00972E47"/>
    <w:rsid w:val="00984899"/>
    <w:rsid w:val="009848D4"/>
    <w:rsid w:val="009B30F0"/>
    <w:rsid w:val="009B32AE"/>
    <w:rsid w:val="009C6ACE"/>
    <w:rsid w:val="009E66FE"/>
    <w:rsid w:val="00A01F1F"/>
    <w:rsid w:val="00A04806"/>
    <w:rsid w:val="00A07771"/>
    <w:rsid w:val="00A337C0"/>
    <w:rsid w:val="00A45B04"/>
    <w:rsid w:val="00A830BA"/>
    <w:rsid w:val="00A851E1"/>
    <w:rsid w:val="00AD0C57"/>
    <w:rsid w:val="00AD0ECD"/>
    <w:rsid w:val="00AD3E2A"/>
    <w:rsid w:val="00AD75AE"/>
    <w:rsid w:val="00AE710B"/>
    <w:rsid w:val="00B14642"/>
    <w:rsid w:val="00B223C7"/>
    <w:rsid w:val="00B3137B"/>
    <w:rsid w:val="00B323EA"/>
    <w:rsid w:val="00B32435"/>
    <w:rsid w:val="00B55170"/>
    <w:rsid w:val="00B81749"/>
    <w:rsid w:val="00B82BD1"/>
    <w:rsid w:val="00B82F2C"/>
    <w:rsid w:val="00BC404C"/>
    <w:rsid w:val="00BD11BA"/>
    <w:rsid w:val="00BD1A9F"/>
    <w:rsid w:val="00BF043E"/>
    <w:rsid w:val="00BF382F"/>
    <w:rsid w:val="00BF59D3"/>
    <w:rsid w:val="00C0134C"/>
    <w:rsid w:val="00C0510A"/>
    <w:rsid w:val="00C14826"/>
    <w:rsid w:val="00C274DD"/>
    <w:rsid w:val="00C312EC"/>
    <w:rsid w:val="00C4109C"/>
    <w:rsid w:val="00C65082"/>
    <w:rsid w:val="00C67079"/>
    <w:rsid w:val="00CA4926"/>
    <w:rsid w:val="00CB467D"/>
    <w:rsid w:val="00CC4A46"/>
    <w:rsid w:val="00CD75DB"/>
    <w:rsid w:val="00CF2197"/>
    <w:rsid w:val="00D00715"/>
    <w:rsid w:val="00D060F1"/>
    <w:rsid w:val="00D13254"/>
    <w:rsid w:val="00D20143"/>
    <w:rsid w:val="00D218B2"/>
    <w:rsid w:val="00D26864"/>
    <w:rsid w:val="00D26E58"/>
    <w:rsid w:val="00D27269"/>
    <w:rsid w:val="00D44942"/>
    <w:rsid w:val="00D548CB"/>
    <w:rsid w:val="00D65A9C"/>
    <w:rsid w:val="00D706DB"/>
    <w:rsid w:val="00D8490F"/>
    <w:rsid w:val="00D97950"/>
    <w:rsid w:val="00DC09B1"/>
    <w:rsid w:val="00E00036"/>
    <w:rsid w:val="00E14CA4"/>
    <w:rsid w:val="00E23560"/>
    <w:rsid w:val="00E40C0B"/>
    <w:rsid w:val="00E429F1"/>
    <w:rsid w:val="00E434E9"/>
    <w:rsid w:val="00E8482F"/>
    <w:rsid w:val="00EC7E67"/>
    <w:rsid w:val="00F074B1"/>
    <w:rsid w:val="00F647BE"/>
    <w:rsid w:val="00F85377"/>
    <w:rsid w:val="00FA62CF"/>
    <w:rsid w:val="01D35DA3"/>
    <w:rsid w:val="02E743B6"/>
    <w:rsid w:val="02F1741B"/>
    <w:rsid w:val="04911B11"/>
    <w:rsid w:val="052035FD"/>
    <w:rsid w:val="05AF70DB"/>
    <w:rsid w:val="06792773"/>
    <w:rsid w:val="0742534E"/>
    <w:rsid w:val="08B509AF"/>
    <w:rsid w:val="08C052CC"/>
    <w:rsid w:val="08E75997"/>
    <w:rsid w:val="09E12A64"/>
    <w:rsid w:val="0AF87F94"/>
    <w:rsid w:val="0B835865"/>
    <w:rsid w:val="0BED6E25"/>
    <w:rsid w:val="0BF6540F"/>
    <w:rsid w:val="0C7227A7"/>
    <w:rsid w:val="0C801B16"/>
    <w:rsid w:val="0D1E33E4"/>
    <w:rsid w:val="0DAA21EE"/>
    <w:rsid w:val="0F334D07"/>
    <w:rsid w:val="0FA7589A"/>
    <w:rsid w:val="102C6852"/>
    <w:rsid w:val="1081433D"/>
    <w:rsid w:val="12D3520E"/>
    <w:rsid w:val="1396784F"/>
    <w:rsid w:val="13EC0B8A"/>
    <w:rsid w:val="14EB6229"/>
    <w:rsid w:val="155C65A7"/>
    <w:rsid w:val="15E95753"/>
    <w:rsid w:val="16F045F9"/>
    <w:rsid w:val="176E6CF3"/>
    <w:rsid w:val="17C618A3"/>
    <w:rsid w:val="185F4F4D"/>
    <w:rsid w:val="193D4B9E"/>
    <w:rsid w:val="1B4E62E5"/>
    <w:rsid w:val="1C666C77"/>
    <w:rsid w:val="1C8B4975"/>
    <w:rsid w:val="1C98798D"/>
    <w:rsid w:val="1D2D783E"/>
    <w:rsid w:val="1D9D4C68"/>
    <w:rsid w:val="1DAF458D"/>
    <w:rsid w:val="1E150A80"/>
    <w:rsid w:val="1EAA00AC"/>
    <w:rsid w:val="1FA73C1B"/>
    <w:rsid w:val="258917FB"/>
    <w:rsid w:val="27AF63CE"/>
    <w:rsid w:val="27CF2642"/>
    <w:rsid w:val="28605A33"/>
    <w:rsid w:val="294E4805"/>
    <w:rsid w:val="29E96D83"/>
    <w:rsid w:val="29EC087F"/>
    <w:rsid w:val="2A053397"/>
    <w:rsid w:val="2ABE0B21"/>
    <w:rsid w:val="2B3A3AD8"/>
    <w:rsid w:val="2C5D4454"/>
    <w:rsid w:val="2D1136DF"/>
    <w:rsid w:val="2DE716FC"/>
    <w:rsid w:val="2E59285E"/>
    <w:rsid w:val="2FD27414"/>
    <w:rsid w:val="31857BAC"/>
    <w:rsid w:val="31B5304E"/>
    <w:rsid w:val="31C63837"/>
    <w:rsid w:val="33206C0F"/>
    <w:rsid w:val="334A7F36"/>
    <w:rsid w:val="33BC32B4"/>
    <w:rsid w:val="3429669A"/>
    <w:rsid w:val="34965581"/>
    <w:rsid w:val="35C5793C"/>
    <w:rsid w:val="36325697"/>
    <w:rsid w:val="36E958BB"/>
    <w:rsid w:val="370D7281"/>
    <w:rsid w:val="387027C3"/>
    <w:rsid w:val="38CB046A"/>
    <w:rsid w:val="3A643253"/>
    <w:rsid w:val="3B5D1933"/>
    <w:rsid w:val="3D1D5019"/>
    <w:rsid w:val="3D5275AC"/>
    <w:rsid w:val="3E1A76DD"/>
    <w:rsid w:val="3E2B7A03"/>
    <w:rsid w:val="3E9A7BA4"/>
    <w:rsid w:val="3EAE5D4E"/>
    <w:rsid w:val="3F076061"/>
    <w:rsid w:val="3F6A08C0"/>
    <w:rsid w:val="4405226B"/>
    <w:rsid w:val="44B947D5"/>
    <w:rsid w:val="455E1F7C"/>
    <w:rsid w:val="45897ADA"/>
    <w:rsid w:val="46901EEE"/>
    <w:rsid w:val="469C74D2"/>
    <w:rsid w:val="48A52360"/>
    <w:rsid w:val="4902047E"/>
    <w:rsid w:val="4A7D4485"/>
    <w:rsid w:val="4C2E1A9B"/>
    <w:rsid w:val="4CE92EE2"/>
    <w:rsid w:val="4DE45AD9"/>
    <w:rsid w:val="4E11500F"/>
    <w:rsid w:val="4EB308AD"/>
    <w:rsid w:val="4EEF1380"/>
    <w:rsid w:val="4F9D7B44"/>
    <w:rsid w:val="50DB5F45"/>
    <w:rsid w:val="512709C0"/>
    <w:rsid w:val="51DB4252"/>
    <w:rsid w:val="521758F6"/>
    <w:rsid w:val="52314E57"/>
    <w:rsid w:val="523358A5"/>
    <w:rsid w:val="53350823"/>
    <w:rsid w:val="54054866"/>
    <w:rsid w:val="54F22EA5"/>
    <w:rsid w:val="55516A31"/>
    <w:rsid w:val="59444B98"/>
    <w:rsid w:val="59996596"/>
    <w:rsid w:val="5A8B468F"/>
    <w:rsid w:val="5C386C32"/>
    <w:rsid w:val="5D286D33"/>
    <w:rsid w:val="5D630BDE"/>
    <w:rsid w:val="5E8A0BA7"/>
    <w:rsid w:val="5FFF1C5A"/>
    <w:rsid w:val="61A46A97"/>
    <w:rsid w:val="64275BB0"/>
    <w:rsid w:val="64925820"/>
    <w:rsid w:val="6627325F"/>
    <w:rsid w:val="662A260B"/>
    <w:rsid w:val="66F72012"/>
    <w:rsid w:val="67623B14"/>
    <w:rsid w:val="67AA4D55"/>
    <w:rsid w:val="68706FD2"/>
    <w:rsid w:val="69006EF0"/>
    <w:rsid w:val="69AD798C"/>
    <w:rsid w:val="69F01279"/>
    <w:rsid w:val="6B311CD9"/>
    <w:rsid w:val="6B68175F"/>
    <w:rsid w:val="6B8500AE"/>
    <w:rsid w:val="6C81696B"/>
    <w:rsid w:val="6D587ECB"/>
    <w:rsid w:val="6DE375B7"/>
    <w:rsid w:val="6F516C58"/>
    <w:rsid w:val="6FDFD92C"/>
    <w:rsid w:val="6FFF530B"/>
    <w:rsid w:val="70A609BC"/>
    <w:rsid w:val="72CF3160"/>
    <w:rsid w:val="73FB6630"/>
    <w:rsid w:val="74060C43"/>
    <w:rsid w:val="74947C20"/>
    <w:rsid w:val="761262E7"/>
    <w:rsid w:val="76416A32"/>
    <w:rsid w:val="77022DD9"/>
    <w:rsid w:val="77ED6F44"/>
    <w:rsid w:val="78504DA7"/>
    <w:rsid w:val="7DF42720"/>
    <w:rsid w:val="7E6C6E77"/>
    <w:rsid w:val="7F726A00"/>
    <w:rsid w:val="7FB31F36"/>
    <w:rsid w:val="7FC0756C"/>
    <w:rsid w:val="7FC85347"/>
    <w:rsid w:val="BF5DD8AA"/>
    <w:rsid w:val="D3CF2FDB"/>
    <w:rsid w:val="FDFEE3F3"/>
    <w:rsid w:val="FFBF01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2">
    <w:name w:val="annotation reference"/>
    <w:basedOn w:val="11"/>
    <w:qFormat/>
    <w:uiPriority w:val="0"/>
    <w:rPr>
      <w:sz w:val="21"/>
      <w:szCs w:val="21"/>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ug-CN"/>
    </w:rPr>
  </w:style>
  <w:style w:type="character" w:customStyle="1" w:styleId="16">
    <w:name w:val="批注框文本 字符"/>
    <w:basedOn w:val="11"/>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EECE7-2313-41ED-AECA-605B6CADA37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15</Pages>
  <Words>3940</Words>
  <Characters>7353</Characters>
  <Lines>59</Lines>
  <Paragraphs>16</Paragraphs>
  <TotalTime>30</TotalTime>
  <ScaleCrop>false</ScaleCrop>
  <LinksUpToDate>false</LinksUpToDate>
  <CharactersWithSpaces>7480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2014-10-31T04:08:00Z</dcterms:created>
  <dc:creator>GXR</dc:creator>
  <cp:lastModifiedBy>Administrator</cp:lastModifiedBy>
  <dcterms:modified xsi:type="dcterms:W3CDTF">2023-08-11T03:16:43Z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59D8F543E4BF4B5F9BA261246CAB409B</vt:lpwstr>
  </property>
</Properties>
</file>