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新疆喀什地区叶城县卫生健康委员会2021年度部门决算公开说明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bookmarkStart w:id="3" w:name="_Hlk9780704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4" w:name="_Toc30738"/>
      <w:bookmarkStart w:id="5" w:name="_Toc30567"/>
      <w:r>
        <w:rPr>
          <w:rFonts w:hint="eastAsia" w:ascii="黑体" w:hAnsi="黑体" w:eastAsia="黑体" w:cs="宋体"/>
          <w:bCs/>
          <w:kern w:val="0"/>
          <w:sz w:val="32"/>
          <w:szCs w:val="32"/>
        </w:rPr>
        <w:t>一、主要职能</w:t>
      </w:r>
      <w:bookmarkEnd w:id="4"/>
      <w:bookmarkEnd w:id="5"/>
    </w:p>
    <w:p>
      <w:pPr>
        <w:ind w:firstLine="640" w:firstLineChars="200"/>
        <w:rPr>
          <w:rFonts w:hint="eastAsia" w:ascii="仿宋_GB2312" w:eastAsia="仿宋_GB2312"/>
          <w:sz w:val="32"/>
          <w:szCs w:val="32"/>
        </w:rPr>
      </w:pPr>
      <w:r>
        <w:rPr>
          <w:rFonts w:hint="eastAsia" w:ascii="仿宋_GB2312" w:eastAsia="仿宋_GB2312"/>
          <w:sz w:val="32"/>
          <w:szCs w:val="32"/>
        </w:rPr>
        <w:t>叶城县卫生健康委员会应当牢固树立大卫生、大健康理念，推动实施健康新疆、健康叶城战略，以改革创新为动力，以促健康、转模式、强基层、重保障为着力点，把以治病为中心转变到以人民健康为中心，为全县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生活困难群众倾斜。三是更加注重提高服务质量和水平，推进卫生健康公共服务均等化、普惠化、便捷化。四是协调推进深化医药卫生体制改革，加大公立医院改革力度，推进管办分离，推动卫生健康公共服务提供主体多元化、方式多样化的政策措施。</w:t>
      </w:r>
    </w:p>
    <w:p>
      <w:pPr>
        <w:ind w:firstLine="640" w:firstLineChars="200"/>
        <w:outlineLvl w:val="1"/>
        <w:rPr>
          <w:rFonts w:ascii="黑体" w:hAnsi="黑体" w:eastAsia="黑体" w:cs="宋体"/>
          <w:bCs/>
          <w:kern w:val="0"/>
          <w:sz w:val="32"/>
          <w:szCs w:val="32"/>
        </w:rPr>
      </w:pPr>
      <w:bookmarkStart w:id="6" w:name="_Toc31238"/>
      <w:bookmarkStart w:id="7" w:name="_Toc2151"/>
      <w:r>
        <w:rPr>
          <w:rFonts w:hint="eastAsia" w:ascii="黑体" w:hAnsi="黑体" w:eastAsia="黑体" w:cs="宋体"/>
          <w:bCs/>
          <w:kern w:val="0"/>
          <w:sz w:val="32"/>
          <w:szCs w:val="32"/>
        </w:rPr>
        <w:t>二、机构设置及</w:t>
      </w:r>
      <w:bookmarkEnd w:id="6"/>
      <w:r>
        <w:rPr>
          <w:rFonts w:hint="eastAsia" w:ascii="黑体" w:hAnsi="黑体" w:eastAsia="黑体" w:cs="宋体"/>
          <w:bCs/>
          <w:kern w:val="0"/>
          <w:sz w:val="32"/>
          <w:szCs w:val="32"/>
        </w:rPr>
        <w:t>人员情况</w:t>
      </w:r>
      <w:bookmarkEnd w:id="7"/>
    </w:p>
    <w:p>
      <w:pPr>
        <w:ind w:firstLine="640" w:firstLineChars="200"/>
        <w:rPr>
          <w:rFonts w:ascii="仿宋_GB2312" w:eastAsia="仿宋_GB2312"/>
          <w:sz w:val="32"/>
          <w:szCs w:val="32"/>
        </w:rPr>
      </w:pPr>
      <w:r>
        <w:rPr>
          <w:rFonts w:hint="eastAsia" w:ascii="仿宋_GB2312" w:eastAsia="仿宋_GB2312"/>
          <w:sz w:val="32"/>
          <w:szCs w:val="32"/>
        </w:rPr>
        <w:t>新疆喀什地区叶城县卫生健康委员会</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767</w:t>
      </w:r>
      <w:r>
        <w:rPr>
          <w:rFonts w:hint="eastAsia" w:ascii="仿宋_GB2312" w:eastAsia="仿宋_GB2312"/>
          <w:sz w:val="32"/>
          <w:szCs w:val="32"/>
        </w:rPr>
        <w:t>人，其中：在职人员</w:t>
      </w:r>
      <w:r>
        <w:rPr>
          <w:rFonts w:ascii="仿宋_GB2312" w:eastAsia="仿宋_GB2312"/>
          <w:sz w:val="32"/>
          <w:szCs w:val="32"/>
        </w:rPr>
        <w:t>593</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174</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从部门决算单位构成看，新疆喀什地区叶城县卫生健康委员会部门决算包括：新疆喀什地区叶城县卫生健康委员会部门本级决算及所属单位决算。</w:t>
      </w:r>
    </w:p>
    <w:p>
      <w:pPr>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新疆喀什地区叶城县卫生健康委员会本级</w:t>
      </w:r>
      <w:r>
        <w:rPr>
          <w:rFonts w:hint="eastAsia" w:ascii="仿宋_GB2312" w:hAnsi="黑体" w:eastAsia="仿宋_GB2312" w:cs="宋体"/>
          <w:bCs/>
          <w:kern w:val="0"/>
          <w:sz w:val="32"/>
          <w:szCs w:val="32"/>
        </w:rPr>
        <w:t>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个处室，分别是：行政办公室、党建办公室、项目办公室、人事科、财务室、医政科、疾妇科</w:t>
      </w:r>
      <w:r>
        <w:rPr>
          <w:rFonts w:hint="eastAsia" w:ascii="仿宋_GB2312" w:hAnsi="宋体" w:eastAsia="仿宋_GB2312" w:cs="宋体"/>
          <w:kern w:val="0"/>
          <w:sz w:val="32"/>
          <w:szCs w:val="32"/>
        </w:rPr>
        <w:t>。</w:t>
      </w:r>
    </w:p>
    <w:p>
      <w:pPr>
        <w:ind w:firstLine="640" w:firstLineChars="200"/>
        <w:rPr>
          <w:rFonts w:ascii="仿宋_GB2312" w:eastAsia="仿宋_GB2312"/>
          <w:spacing w:val="-6"/>
          <w:sz w:val="32"/>
          <w:szCs w:val="32"/>
        </w:rPr>
      </w:pPr>
      <w:r>
        <w:rPr>
          <w:rFonts w:hint="eastAsia" w:ascii="仿宋_GB2312" w:eastAsia="仿宋_GB2312"/>
          <w:sz w:val="32"/>
          <w:szCs w:val="32"/>
        </w:rPr>
        <w:t>纳入新疆喀什地区叶城县卫生健康委员会</w:t>
      </w:r>
      <w:r>
        <w:rPr>
          <w:rFonts w:ascii="仿宋_GB2312" w:eastAsia="仿宋_GB2312"/>
          <w:sz w:val="32"/>
          <w:szCs w:val="32"/>
        </w:rPr>
        <w:t>2021</w:t>
      </w:r>
      <w:r>
        <w:rPr>
          <w:rFonts w:hint="eastAsia" w:ascii="仿宋_GB2312" w:eastAsia="仿宋_GB2312"/>
          <w:sz w:val="32"/>
          <w:szCs w:val="32"/>
        </w:rPr>
        <w:t>年度部门决算编制范围的单位名单见下表</w:t>
      </w:r>
      <w:r>
        <w:rPr>
          <w:rFonts w:hint="eastAsia" w:ascii="仿宋_GB2312" w:eastAsia="仿宋_GB2312"/>
          <w:spacing w:val="-6"/>
          <w:sz w:val="32"/>
          <w:szCs w:val="32"/>
        </w:rPr>
        <w:t>：</w:t>
      </w:r>
    </w:p>
    <w:bookmarkEnd w:id="3"/>
    <w:tbl>
      <w:tblPr>
        <w:tblStyle w:val="10"/>
        <w:tblW w:w="83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76"/>
        <w:gridCol w:w="5205"/>
        <w:gridCol w:w="22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3" w:hRule="atLeast"/>
        </w:trPr>
        <w:tc>
          <w:tcPr>
            <w:tcW w:w="876"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仿宋_GB2312" w:hAnsi="宋体" w:eastAsia="仿宋_GB2312" w:cs="仿宋_GB2312"/>
                <w:i w:val="0"/>
                <w:color w:val="000000"/>
                <w:sz w:val="32"/>
                <w:szCs w:val="32"/>
                <w:u w:val="none"/>
              </w:rPr>
            </w:pPr>
            <w:bookmarkStart w:id="8" w:name="_Toc3092"/>
            <w:bookmarkStart w:id="9" w:name="_Toc29374"/>
            <w:r>
              <w:rPr>
                <w:rFonts w:hint="default" w:ascii="仿宋_GB2312" w:hAnsi="宋体" w:eastAsia="仿宋_GB2312" w:cs="仿宋_GB2312"/>
                <w:i w:val="0"/>
                <w:color w:val="000000"/>
                <w:kern w:val="0"/>
                <w:sz w:val="32"/>
                <w:szCs w:val="32"/>
                <w:u w:val="none"/>
                <w:lang w:val="en-US" w:eastAsia="zh-CN" w:bidi="ar"/>
              </w:rPr>
              <w:t>序号</w:t>
            </w:r>
          </w:p>
        </w:tc>
        <w:tc>
          <w:tcPr>
            <w:tcW w:w="5205" w:type="dxa"/>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仿宋_GB2312" w:hAnsi="宋体" w:eastAsia="仿宋_GB2312" w:cs="仿宋_GB2312"/>
                <w:i w:val="0"/>
                <w:color w:val="000000"/>
                <w:sz w:val="32"/>
                <w:szCs w:val="32"/>
                <w:u w:val="none"/>
              </w:rPr>
            </w:pPr>
            <w:r>
              <w:rPr>
                <w:rFonts w:hint="default" w:ascii="仿宋_GB2312" w:hAnsi="宋体" w:eastAsia="仿宋_GB2312" w:cs="仿宋_GB2312"/>
                <w:i w:val="0"/>
                <w:color w:val="000000"/>
                <w:kern w:val="0"/>
                <w:sz w:val="32"/>
                <w:szCs w:val="32"/>
                <w:u w:val="none"/>
                <w:lang w:val="en-US" w:eastAsia="zh-CN" w:bidi="ar"/>
              </w:rPr>
              <w:t>单位名称</w:t>
            </w:r>
          </w:p>
        </w:tc>
        <w:tc>
          <w:tcPr>
            <w:tcW w:w="2249" w:type="dxa"/>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仿宋_GB2312" w:hAnsi="宋体" w:eastAsia="仿宋_GB2312" w:cs="仿宋_GB2312"/>
                <w:i w:val="0"/>
                <w:color w:val="000000"/>
                <w:sz w:val="32"/>
                <w:szCs w:val="32"/>
                <w:u w:val="none"/>
              </w:rPr>
            </w:pPr>
            <w:r>
              <w:rPr>
                <w:rFonts w:hint="default" w:ascii="仿宋_GB2312" w:hAnsi="宋体" w:eastAsia="仿宋_GB2312" w:cs="仿宋_GB2312"/>
                <w:i w:val="0"/>
                <w:color w:val="000000"/>
                <w:kern w:val="0"/>
                <w:sz w:val="32"/>
                <w:szCs w:val="32"/>
                <w:u w:val="none"/>
                <w:lang w:val="en-US" w:eastAsia="zh-CN" w:bidi="ar"/>
              </w:rPr>
              <w:t>单位性质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1</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新疆喀什地区叶城县卫生健康委员会</w:t>
            </w:r>
            <w:r>
              <w:rPr>
                <w:rStyle w:val="17"/>
                <w:rFonts w:eastAsia="宋体"/>
                <w:lang w:val="en-US" w:eastAsia="zh-CN" w:bidi="ar"/>
              </w:rPr>
              <w:t>(</w:t>
            </w:r>
            <w:r>
              <w:rPr>
                <w:rStyle w:val="18"/>
                <w:lang w:val="en-US" w:eastAsia="zh-CN" w:bidi="ar"/>
              </w:rPr>
              <w:t>本级</w:t>
            </w:r>
            <w:r>
              <w:rPr>
                <w:rStyle w:val="17"/>
                <w:rFonts w:eastAsia="宋体"/>
                <w:lang w:val="en-US" w:eastAsia="zh-CN" w:bidi="ar"/>
              </w:rPr>
              <w:t>)</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行政单位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2</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新疆喀什地区叶城县喀格勒克镇卫生院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3</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新疆喀什地区叶城县洛克乡卫生院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4</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新疆喀什地区叶城县佰西热克乡卫生院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5</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新疆喀什地区叶城县铁提乡卫生院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6</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新疆喀什地区叶城县依提木孔乡卫生院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7</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新疆喀什地区叶城县吐古其乡卫生院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8</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新疆喀什地区叶城县吐古其乡卫生院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9</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新疆喀什地区叶城县巴仁乡卫生院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10</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新疆喀什地区叶城县乌吉热克乡卫生院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11</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新疆喀什地区叶城县恰瓦克镇卫生院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12</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新疆喀什地区叶城县夏合甫乡卫生院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13</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新疆喀什地区叶城县依力克其乡卫生院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14</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新疆喀什地区叶城县沙依瓦克乡卫生院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15</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新疆喀什地区叶城县宗郎乡卫生院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16</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新疆喀什地区叶城县乌夏巴什镇卫生院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17</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新疆喀什地区叶城县柯克亚乡卫生院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18</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新疆喀什地区叶城县西合休乡卫生院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19</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新疆喀什地区叶城县棋盘乡卫生院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20</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新疆喀什地区叶城县江格勒斯乡卫生院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3" w:hRule="atLeast"/>
        </w:trPr>
        <w:tc>
          <w:tcPr>
            <w:tcW w:w="876"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21</w:t>
            </w:r>
          </w:p>
        </w:tc>
        <w:tc>
          <w:tcPr>
            <w:tcW w:w="520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新疆喀什地区叶城县恰萨美其特乡卫生院</w:t>
            </w:r>
          </w:p>
        </w:tc>
        <w:tc>
          <w:tcPr>
            <w:tcW w:w="224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Arial" w:hAnsi="Arial" w:eastAsia="宋体" w:cs="Arial"/>
                <w:i w:val="0"/>
                <w:color w:val="4D4D4D"/>
                <w:sz w:val="21"/>
                <w:szCs w:val="21"/>
                <w:u w:val="none"/>
              </w:rPr>
            </w:pPr>
            <w:r>
              <w:rPr>
                <w:rFonts w:hint="default" w:ascii="Arial" w:hAnsi="Arial" w:eastAsia="宋体" w:cs="Arial"/>
                <w:i w:val="0"/>
                <w:color w:val="4D4D4D"/>
                <w:kern w:val="0"/>
                <w:sz w:val="21"/>
                <w:szCs w:val="21"/>
                <w:u w:val="none"/>
                <w:lang w:val="en-US" w:eastAsia="zh-CN" w:bidi="ar"/>
              </w:rPr>
              <w:t>财政补助事业单位</w:t>
            </w:r>
          </w:p>
        </w:tc>
      </w:tr>
    </w:tbl>
    <w:p>
      <w:pPr>
        <w:ind w:firstLine="420" w:firstLineChars="200"/>
        <w:jc w:val="left"/>
        <w:rPr>
          <w:rFonts w:ascii="Arial" w:hAnsi="Arial" w:cs="Arial"/>
          <w:color w:val="4D4D4D"/>
          <w:shd w:val="clear" w:color="auto" w:fill="FFFFFF"/>
        </w:rPr>
      </w:pP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8"/>
      <w:bookmarkEnd w:id="9"/>
    </w:p>
    <w:p>
      <w:pPr>
        <w:ind w:firstLine="640" w:firstLineChars="200"/>
        <w:outlineLvl w:val="1"/>
        <w:rPr>
          <w:rFonts w:ascii="黑体" w:hAnsi="黑体" w:eastAsia="黑体" w:cs="宋体"/>
          <w:bCs/>
          <w:kern w:val="0"/>
          <w:sz w:val="32"/>
          <w:szCs w:val="32"/>
        </w:rPr>
      </w:pPr>
      <w:bookmarkStart w:id="10" w:name="_Toc12566"/>
      <w:bookmarkStart w:id="11" w:name="_Toc25314"/>
      <w:bookmarkStart w:id="12" w:name="_Hlk97807141"/>
      <w:r>
        <w:rPr>
          <w:rFonts w:hint="eastAsia" w:ascii="黑体" w:hAnsi="黑体" w:eastAsia="黑体" w:cs="宋体"/>
          <w:bCs/>
          <w:kern w:val="0"/>
          <w:sz w:val="32"/>
          <w:szCs w:val="32"/>
        </w:rPr>
        <w:t>一、收入支出决算总体情况说明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30,772.91</w:t>
      </w:r>
      <w:r>
        <w:rPr>
          <w:rFonts w:hint="eastAsia" w:ascii="仿宋_GB2312" w:eastAsia="仿宋_GB2312"/>
          <w:sz w:val="32"/>
          <w:szCs w:val="32"/>
        </w:rPr>
        <w:t>万元，与上年相比，减少5,755.79万元，</w:t>
      </w:r>
      <w:r>
        <w:rPr>
          <w:rFonts w:ascii="仿宋_GB2312" w:eastAsia="仿宋_GB2312"/>
          <w:sz w:val="32"/>
          <w:szCs w:val="32"/>
        </w:rPr>
        <w:t>降低15.76</w:t>
      </w:r>
      <w:r>
        <w:rPr>
          <w:rFonts w:hint="eastAsia" w:ascii="仿宋_GB2312" w:eastAsia="仿宋_GB2312"/>
          <w:sz w:val="32"/>
          <w:szCs w:val="32"/>
        </w:rPr>
        <w:t>%，主要原因是：本年医疗服务与能力提升项目等专项资金减少。本年支出</w:t>
      </w:r>
      <w:r>
        <w:rPr>
          <w:rFonts w:ascii="仿宋_GB2312" w:eastAsia="仿宋_GB2312"/>
          <w:sz w:val="32"/>
          <w:szCs w:val="32"/>
        </w:rPr>
        <w:t>30,772.91</w:t>
      </w:r>
      <w:r>
        <w:rPr>
          <w:rFonts w:hint="eastAsia" w:ascii="仿宋_GB2312" w:eastAsia="仿宋_GB2312"/>
          <w:sz w:val="32"/>
          <w:szCs w:val="32"/>
        </w:rPr>
        <w:t>万元，与上年相比，</w:t>
      </w:r>
      <w:r>
        <w:rPr>
          <w:rFonts w:ascii="仿宋_GB2312" w:eastAsia="仿宋_GB2312"/>
          <w:sz w:val="32"/>
          <w:szCs w:val="32"/>
        </w:rPr>
        <w:t>减少5,755.79</w:t>
      </w:r>
      <w:r>
        <w:rPr>
          <w:rFonts w:hint="eastAsia" w:ascii="仿宋_GB2312" w:eastAsia="仿宋_GB2312"/>
          <w:sz w:val="32"/>
          <w:szCs w:val="32"/>
        </w:rPr>
        <w:t>万元，</w:t>
      </w:r>
      <w:r>
        <w:rPr>
          <w:rFonts w:ascii="仿宋_GB2312" w:eastAsia="仿宋_GB2312"/>
          <w:sz w:val="32"/>
          <w:szCs w:val="32"/>
        </w:rPr>
        <w:t>降低15.76</w:t>
      </w:r>
      <w:r>
        <w:rPr>
          <w:rFonts w:hint="eastAsia" w:ascii="仿宋_GB2312" w:eastAsia="仿宋_GB2312"/>
          <w:sz w:val="32"/>
          <w:szCs w:val="32"/>
        </w:rPr>
        <w:t>%，主要原因是：本年医疗服务与能力提升项目等专项资金减少。</w:t>
      </w:r>
    </w:p>
    <w:p>
      <w:pPr>
        <w:ind w:firstLine="640" w:firstLineChars="200"/>
        <w:outlineLvl w:val="1"/>
        <w:rPr>
          <w:rFonts w:ascii="黑体" w:hAnsi="黑体" w:eastAsia="黑体" w:cs="宋体"/>
          <w:bCs/>
          <w:kern w:val="0"/>
          <w:sz w:val="32"/>
          <w:szCs w:val="32"/>
        </w:rPr>
      </w:pPr>
      <w:bookmarkStart w:id="13" w:name="_Toc1979"/>
      <w:bookmarkStart w:id="14" w:name="_Toc12142"/>
      <w:r>
        <w:rPr>
          <w:rFonts w:hint="eastAsia" w:ascii="黑体" w:hAnsi="黑体" w:eastAsia="黑体" w:cs="宋体"/>
          <w:bCs/>
          <w:kern w:val="0"/>
          <w:sz w:val="32"/>
          <w:szCs w:val="32"/>
        </w:rPr>
        <w:t>二、收入决算情况说明</w:t>
      </w:r>
      <w:bookmarkEnd w:id="13"/>
      <w:bookmarkEnd w:id="14"/>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30,772.91</w:t>
      </w:r>
      <w:r>
        <w:rPr>
          <w:rFonts w:hint="eastAsia" w:ascii="仿宋_GB2312" w:eastAsia="仿宋_GB2312"/>
          <w:sz w:val="32"/>
          <w:szCs w:val="32"/>
        </w:rPr>
        <w:t>万元，其中：财政拨款收入</w:t>
      </w:r>
      <w:r>
        <w:rPr>
          <w:rFonts w:ascii="仿宋_GB2312" w:eastAsia="仿宋_GB2312"/>
          <w:sz w:val="32"/>
          <w:szCs w:val="32"/>
        </w:rPr>
        <w:t>28,552.97</w:t>
      </w:r>
      <w:r>
        <w:rPr>
          <w:rFonts w:hint="eastAsia" w:ascii="仿宋_GB2312" w:eastAsia="仿宋_GB2312"/>
          <w:sz w:val="32"/>
          <w:szCs w:val="32"/>
        </w:rPr>
        <w:t>万元，占92.79%；上级补助收入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219.94</w:t>
      </w:r>
      <w:r>
        <w:rPr>
          <w:rFonts w:hint="eastAsia" w:ascii="仿宋_GB2312" w:eastAsia="仿宋_GB2312"/>
          <w:sz w:val="32"/>
          <w:szCs w:val="32"/>
        </w:rPr>
        <w:t>万元，占0.71%；经营收入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2,000.00</w:t>
      </w:r>
      <w:r>
        <w:rPr>
          <w:rFonts w:hint="eastAsia" w:ascii="仿宋_GB2312" w:eastAsia="仿宋_GB2312"/>
          <w:sz w:val="32"/>
          <w:szCs w:val="32"/>
        </w:rPr>
        <w:t>万元，占6.50%。</w:t>
      </w:r>
    </w:p>
    <w:p>
      <w:pPr>
        <w:ind w:firstLine="640" w:firstLineChars="200"/>
        <w:outlineLvl w:val="1"/>
        <w:rPr>
          <w:rFonts w:ascii="黑体" w:hAnsi="黑体" w:eastAsia="黑体" w:cs="宋体"/>
          <w:bCs/>
          <w:kern w:val="0"/>
          <w:sz w:val="32"/>
          <w:szCs w:val="32"/>
        </w:rPr>
      </w:pPr>
      <w:bookmarkStart w:id="15" w:name="_Toc13201"/>
      <w:bookmarkStart w:id="16" w:name="_Toc27961"/>
      <w:r>
        <w:rPr>
          <w:rFonts w:hint="eastAsia" w:ascii="黑体" w:hAnsi="黑体" w:eastAsia="黑体" w:cs="宋体"/>
          <w:bCs/>
          <w:kern w:val="0"/>
          <w:sz w:val="32"/>
          <w:szCs w:val="32"/>
        </w:rPr>
        <w:t>三、支出决算情况说明</w:t>
      </w:r>
      <w:bookmarkEnd w:id="15"/>
      <w:bookmarkEnd w:id="16"/>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年度本年支出30,772.91万元，其中：基本支出</w:t>
      </w:r>
      <w:r>
        <w:rPr>
          <w:rFonts w:ascii="仿宋_GB2312" w:eastAsia="仿宋_GB2312"/>
          <w:sz w:val="32"/>
          <w:szCs w:val="32"/>
        </w:rPr>
        <w:t>11,198.75</w:t>
      </w:r>
      <w:r>
        <w:rPr>
          <w:rFonts w:hint="eastAsia" w:ascii="仿宋_GB2312" w:eastAsia="仿宋_GB2312"/>
          <w:sz w:val="32"/>
          <w:szCs w:val="32"/>
        </w:rPr>
        <w:t>万元，占36.39%；项目支出</w:t>
      </w:r>
      <w:r>
        <w:rPr>
          <w:rFonts w:ascii="仿宋_GB2312" w:eastAsia="仿宋_GB2312"/>
          <w:sz w:val="32"/>
          <w:szCs w:val="32"/>
        </w:rPr>
        <w:t>19,574.16</w:t>
      </w:r>
      <w:r>
        <w:rPr>
          <w:rFonts w:hint="eastAsia" w:ascii="仿宋_GB2312" w:eastAsia="仿宋_GB2312"/>
          <w:sz w:val="32"/>
          <w:szCs w:val="32"/>
        </w:rPr>
        <w:t>万元，占63.61%；上缴上级支出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12"/>
    <w:p>
      <w:pPr>
        <w:ind w:firstLine="640" w:firstLineChars="200"/>
        <w:outlineLvl w:val="1"/>
        <w:rPr>
          <w:rFonts w:ascii="黑体" w:hAnsi="黑体" w:eastAsia="黑体" w:cs="宋体"/>
          <w:bCs/>
          <w:kern w:val="0"/>
          <w:sz w:val="32"/>
          <w:szCs w:val="32"/>
        </w:rPr>
      </w:pPr>
      <w:bookmarkStart w:id="17" w:name="_Toc26564"/>
      <w:bookmarkStart w:id="18" w:name="_Toc4393"/>
      <w:r>
        <w:rPr>
          <w:rFonts w:hint="eastAsia" w:ascii="黑体" w:hAnsi="黑体" w:eastAsia="黑体" w:cs="宋体"/>
          <w:bCs/>
          <w:kern w:val="0"/>
          <w:sz w:val="32"/>
          <w:szCs w:val="32"/>
        </w:rPr>
        <w:t>四、财政拨款收入支出决算总体情况说明</w:t>
      </w:r>
      <w:bookmarkEnd w:id="17"/>
      <w:bookmarkEnd w:id="1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28,552.97万元，与上年相比，减少1,020.62万元，降低3.45%，主要原因是：本年医疗服务与能力提升项目、乡镇卫生院医疗服务与能力建设项目等专项资金收入减少。财政拨款支出28,552.97万元，与上年相比，减少1,020.62万元，降低3.45%，主要原因是：本年医疗服务与能力提升项目、乡镇卫生院医疗服务与能力建设项目等专项资金支出减少。</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19,421.21</w:t>
      </w:r>
      <w:r>
        <w:rPr>
          <w:rFonts w:hint="eastAsia" w:ascii="仿宋_GB2312" w:eastAsia="仿宋_GB2312"/>
          <w:sz w:val="32"/>
          <w:szCs w:val="32"/>
        </w:rPr>
        <w:t>万元，决算数</w:t>
      </w:r>
      <w:r>
        <w:rPr>
          <w:rFonts w:ascii="仿宋_GB2312" w:eastAsia="仿宋_GB2312"/>
          <w:sz w:val="32"/>
          <w:szCs w:val="32"/>
        </w:rPr>
        <w:t>28,552.97</w:t>
      </w:r>
      <w:r>
        <w:rPr>
          <w:rFonts w:hint="eastAsia" w:ascii="仿宋_GB2312" w:eastAsia="仿宋_GB2312"/>
          <w:sz w:val="32"/>
          <w:szCs w:val="32"/>
        </w:rPr>
        <w:t>万元，预决算差异率</w:t>
      </w:r>
      <w:r>
        <w:rPr>
          <w:rFonts w:ascii="仿宋_GB2312" w:eastAsia="仿宋_GB2312"/>
          <w:sz w:val="32"/>
          <w:szCs w:val="32"/>
        </w:rPr>
        <w:t>47.02</w:t>
      </w:r>
      <w:r>
        <w:rPr>
          <w:rFonts w:hint="eastAsia" w:ascii="仿宋_GB2312" w:eastAsia="仿宋_GB2312"/>
          <w:sz w:val="32"/>
          <w:szCs w:val="32"/>
        </w:rPr>
        <w:t>%，主要原因是：年中追加基本公共卫生服务项目、重大传染病防控补助项目、医疗服务与能力提升项目资金。财政拨款支出年初预算数</w:t>
      </w:r>
      <w:r>
        <w:rPr>
          <w:rFonts w:ascii="仿宋_GB2312" w:eastAsia="仿宋_GB2312"/>
          <w:sz w:val="32"/>
          <w:szCs w:val="32"/>
        </w:rPr>
        <w:t>19,421.21</w:t>
      </w:r>
      <w:r>
        <w:rPr>
          <w:rFonts w:hint="eastAsia" w:ascii="仿宋_GB2312" w:eastAsia="仿宋_GB2312"/>
          <w:sz w:val="32"/>
          <w:szCs w:val="32"/>
        </w:rPr>
        <w:t>万元，决算数</w:t>
      </w:r>
      <w:r>
        <w:rPr>
          <w:rFonts w:ascii="仿宋_GB2312" w:eastAsia="仿宋_GB2312"/>
          <w:sz w:val="32"/>
          <w:szCs w:val="32"/>
        </w:rPr>
        <w:t>28,552.97</w:t>
      </w:r>
      <w:r>
        <w:rPr>
          <w:rFonts w:hint="eastAsia" w:ascii="仿宋_GB2312" w:eastAsia="仿宋_GB2312"/>
          <w:sz w:val="32"/>
          <w:szCs w:val="32"/>
        </w:rPr>
        <w:t>万元，预决算差异率47.02%，主要原因是：</w:t>
      </w:r>
      <w:bookmarkStart w:id="55" w:name="_GoBack"/>
      <w:bookmarkEnd w:id="55"/>
      <w:r>
        <w:rPr>
          <w:rFonts w:hint="eastAsia" w:ascii="仿宋_GB2312" w:eastAsia="仿宋_GB2312"/>
          <w:sz w:val="32"/>
          <w:szCs w:val="32"/>
        </w:rPr>
        <w:t>年中追加基本公共卫生服务项目、重大传染病防控补助项目、医疗服务与能力提升项目资金。</w:t>
      </w:r>
    </w:p>
    <w:p>
      <w:pPr>
        <w:ind w:firstLine="640" w:firstLineChars="200"/>
        <w:outlineLvl w:val="1"/>
        <w:rPr>
          <w:rFonts w:ascii="黑体" w:hAnsi="黑体" w:eastAsia="黑体" w:cs="宋体"/>
          <w:bCs/>
          <w:kern w:val="0"/>
          <w:sz w:val="32"/>
          <w:szCs w:val="32"/>
        </w:rPr>
      </w:pPr>
      <w:bookmarkStart w:id="19" w:name="_Toc13833"/>
      <w:bookmarkStart w:id="20" w:name="_Toc20360"/>
      <w:r>
        <w:rPr>
          <w:rFonts w:hint="eastAsia" w:ascii="黑体" w:hAnsi="黑体" w:eastAsia="黑体" w:cs="宋体"/>
          <w:bCs/>
          <w:kern w:val="0"/>
          <w:sz w:val="32"/>
          <w:szCs w:val="32"/>
        </w:rPr>
        <w:t>五、一般公共预算财政拨款支出决算情况说明</w:t>
      </w:r>
      <w:bookmarkEnd w:id="19"/>
      <w:bookmarkEnd w:id="20"/>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年度一般公共预算财政拨款支出28,552.97万元。按功能分类科目项级科目公开，其中：</w:t>
      </w:r>
    </w:p>
    <w:p>
      <w:pPr>
        <w:jc w:val="left"/>
        <w:rPr>
          <w:rFonts w:ascii="仿宋_GB2312" w:eastAsia="仿宋_GB2312"/>
          <w:sz w:val="32"/>
          <w:szCs w:val="32"/>
        </w:rPr>
      </w:pPr>
      <w:bookmarkStart w:id="21" w:name="_Toc11146"/>
      <w:bookmarkStart w:id="22" w:name="_Toc30870"/>
      <w:r>
        <w:rPr>
          <w:rFonts w:ascii="仿宋_GB2312" w:eastAsia="仿宋_GB2312"/>
          <w:sz w:val="32"/>
          <w:szCs w:val="32"/>
        </w:rPr>
        <w:tab/>
      </w:r>
      <w:r>
        <w:rPr>
          <w:rFonts w:ascii="仿宋_GB2312" w:eastAsia="仿宋_GB2312"/>
          <w:sz w:val="32"/>
          <w:szCs w:val="32"/>
        </w:rPr>
        <w:t xml:space="preserve"> 2013299其他组织事务支出281.92万元；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2080505机关事业单位基本养老保险缴费支出1,076.44万元；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2080506机关事业单位职业年金缴费支出30.67万元；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2080799其他就业补助支出78.44万元；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2100101行政运行427.50万元；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2100199其他卫生健康管理事务支出39.08万元；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2100201综合医院523.99万元；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2100299其他公立医院支出8.93万元；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2100302乡镇卫生院13,079.83万元；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2100399其他基层医疗卫生机构支出826.01万元；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2100408基本公共卫生服务4,394.56万元；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2100409重大公共卫生服务230.11万元；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2100410突发公共卫生事件应急处理1,749.92万元；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2100499其他公共卫生支出1,506.69万元；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2100717计划生育服务3,301.64万元；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2100799其他计划生育事务支出157.84万元；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2110304固体废弃物与化学品839.39万元。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21"/>
      <w:bookmarkEnd w:id="22"/>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10,978.82</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10,963.31</w:t>
      </w:r>
      <w:r>
        <w:rPr>
          <w:rFonts w:hint="eastAsia" w:ascii="仿宋_GB2312" w:eastAsia="仿宋_GB2312"/>
          <w:sz w:val="32"/>
          <w:szCs w:val="32"/>
        </w:rPr>
        <w:t>万元，包括：基本工资、津贴补贴、奖金、绩效工资、机关事业单位基本养老保险缴费、职业年金缴费、职工基本医疗保险缴费、公务员医疗补助缴费、其他社会保障缴费、住房公积金、退休费、生活补助、奖励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公用经费15.51万元，包括：办公费、手续费、邮电费、差旅费、公务用车运行维护费</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3" w:name="_Toc7190"/>
      <w:bookmarkStart w:id="24" w:name="_Toc21518"/>
      <w:r>
        <w:rPr>
          <w:rFonts w:hint="eastAsia" w:ascii="黑体" w:hAnsi="黑体" w:eastAsia="黑体" w:cs="宋体"/>
          <w:bCs/>
          <w:kern w:val="0"/>
          <w:sz w:val="32"/>
          <w:szCs w:val="32"/>
        </w:rPr>
        <w:t>七、一般公共预算财政拨款“三公”经费支出决算情况说明</w:t>
      </w:r>
      <w:bookmarkEnd w:id="23"/>
      <w:bookmarkEnd w:id="24"/>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2021年度一般公共预算“三公”经费支出决算5.34万元，比上年减少7.26万元，降低57.62%，主要原因是</w:t>
      </w:r>
      <w:r>
        <w:rPr>
          <w:rFonts w:hint="eastAsia" w:ascii="仿宋_GB2312" w:eastAsia="仿宋_GB2312"/>
          <w:sz w:val="32"/>
          <w:szCs w:val="32"/>
          <w:lang w:eastAsia="zh-CN"/>
        </w:rPr>
        <w:t>：</w:t>
      </w:r>
      <w:r>
        <w:rPr>
          <w:rFonts w:ascii="仿宋_GB2312" w:eastAsia="仿宋_GB2312"/>
          <w:sz w:val="32"/>
          <w:szCs w:val="32"/>
        </w:rPr>
        <w:t>严格按照中央八项规定，厉行节约，压减经费。其中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5.34万元，占100.00%，比上年减少7.26万元，降低57.62%，主要原因是：严格按照中央八项规定，厉行节约，压减经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5.34</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5.34</w:t>
      </w:r>
      <w:r>
        <w:rPr>
          <w:rFonts w:hint="eastAsia" w:ascii="仿宋_GB2312" w:eastAsia="仿宋_GB2312"/>
          <w:sz w:val="32"/>
          <w:szCs w:val="32"/>
        </w:rPr>
        <w:t>万元。公务用车运行维护费开支内容包括：车辆加油费、维修费、保险费。公务用车购置数</w:t>
      </w:r>
      <w:r>
        <w:rPr>
          <w:rFonts w:ascii="仿宋_GB2312" w:eastAsia="仿宋_GB2312"/>
          <w:sz w:val="32"/>
          <w:szCs w:val="32"/>
        </w:rPr>
        <w:t>0</w:t>
      </w:r>
      <w:r>
        <w:rPr>
          <w:rFonts w:hint="eastAsia" w:ascii="仿宋_GB2312" w:eastAsia="仿宋_GB2312"/>
          <w:sz w:val="32"/>
          <w:szCs w:val="32"/>
        </w:rPr>
        <w:t>辆，公务用车保有量22辆。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与年初预算数相比情况：一般公共预算“三公”经费支出年初预算数12.76万元，决算数</w:t>
      </w:r>
      <w:r>
        <w:rPr>
          <w:rFonts w:ascii="仿宋_GB2312" w:eastAsia="仿宋_GB2312"/>
          <w:sz w:val="32"/>
          <w:szCs w:val="32"/>
        </w:rPr>
        <w:t>5.34</w:t>
      </w:r>
      <w:r>
        <w:rPr>
          <w:rFonts w:hint="eastAsia" w:ascii="仿宋_GB2312" w:eastAsia="仿宋_GB2312"/>
          <w:sz w:val="32"/>
          <w:szCs w:val="32"/>
        </w:rPr>
        <w:t>万元，预决算差异率-58.15%，主要原因是：严格按照中央八项规定，厉行节约，压减经费。</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预算数12.76万元，决算数5.34万元，预决算差异率-58.15%，主要原因是：严格按照中央八项规定，厉行节约，压减经费；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5" w:name="_Toc5810"/>
      <w:bookmarkStart w:id="26" w:name="_Toc7927"/>
      <w:r>
        <w:rPr>
          <w:rFonts w:hint="eastAsia" w:ascii="黑体" w:hAnsi="黑体" w:eastAsia="黑体" w:cs="宋体"/>
          <w:bCs/>
          <w:kern w:val="0"/>
          <w:sz w:val="32"/>
          <w:szCs w:val="32"/>
        </w:rPr>
        <w:t>八、政府性基金预算财政拨款收入支出决算情况说明</w:t>
      </w:r>
      <w:bookmarkEnd w:id="25"/>
      <w:bookmarkEnd w:id="26"/>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7" w:name="_Toc7314"/>
      <w:bookmarkStart w:id="28" w:name="_Toc1235"/>
      <w:r>
        <w:rPr>
          <w:rFonts w:hint="eastAsia" w:ascii="黑体" w:hAnsi="黑体" w:eastAsia="黑体" w:cs="宋体"/>
          <w:bCs/>
          <w:kern w:val="0"/>
          <w:sz w:val="32"/>
          <w:szCs w:val="32"/>
        </w:rPr>
        <w:t>十、其他重要事项的情况说明</w:t>
      </w:r>
      <w:bookmarkEnd w:id="27"/>
      <w:bookmarkEnd w:id="28"/>
    </w:p>
    <w:p>
      <w:pPr>
        <w:ind w:firstLine="640" w:firstLineChars="200"/>
        <w:outlineLvl w:val="2"/>
        <w:rPr>
          <w:rFonts w:hint="eastAsia" w:ascii="黑体" w:hAnsi="黑体" w:eastAsia="黑体"/>
          <w:sz w:val="32"/>
          <w:szCs w:val="32"/>
        </w:rPr>
      </w:pPr>
      <w:bookmarkStart w:id="29" w:name="_Toc14519"/>
      <w:bookmarkStart w:id="30" w:name="_Toc13105"/>
      <w:r>
        <w:rPr>
          <w:rFonts w:hint="eastAsia" w:ascii="黑体" w:hAnsi="黑体" w:eastAsia="黑体"/>
          <w:sz w:val="32"/>
          <w:szCs w:val="32"/>
        </w:rPr>
        <w:t>（一）机关运行经费支出情况</w:t>
      </w:r>
      <w:bookmarkEnd w:id="29"/>
      <w:bookmarkEnd w:id="30"/>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2021年度新疆喀什地区叶城县卫生健康委员会（行政单位和参照公务员法管理事业单位）机关运行经费支出</w:t>
      </w:r>
      <w:r>
        <w:rPr>
          <w:rFonts w:ascii="仿宋_GB2312" w:eastAsia="仿宋_GB2312"/>
          <w:sz w:val="32"/>
          <w:szCs w:val="32"/>
        </w:rPr>
        <w:t>15.51</w:t>
      </w:r>
      <w:r>
        <w:rPr>
          <w:rFonts w:hint="eastAsia" w:ascii="仿宋_GB2312" w:eastAsia="仿宋_GB2312"/>
          <w:sz w:val="32"/>
          <w:szCs w:val="32"/>
        </w:rPr>
        <w:t>万元，比上年减少12.25万元，降低44.13%，主要原因是：严格按照中央八项规定，厉行节约，压减经费。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3,360.18</w:t>
      </w:r>
      <w:r>
        <w:rPr>
          <w:rFonts w:hint="eastAsia" w:ascii="仿宋_GB2312" w:eastAsia="仿宋_GB2312"/>
          <w:sz w:val="32"/>
          <w:szCs w:val="32"/>
        </w:rPr>
        <w:t>万元，其中：政府采购货物支出</w:t>
      </w:r>
      <w:r>
        <w:rPr>
          <w:rFonts w:ascii="仿宋_GB2312" w:eastAsia="仿宋_GB2312"/>
          <w:sz w:val="32"/>
          <w:szCs w:val="32"/>
        </w:rPr>
        <w:t>1,772.4</w:t>
      </w:r>
      <w:r>
        <w:rPr>
          <w:rFonts w:hint="eastAsia" w:ascii="仿宋_GB2312" w:eastAsia="仿宋_GB2312"/>
          <w:sz w:val="32"/>
          <w:szCs w:val="32"/>
          <w:lang w:val="en-US" w:eastAsia="zh-CN"/>
        </w:rPr>
        <w:t>6</w:t>
      </w:r>
      <w:r>
        <w:rPr>
          <w:rFonts w:hint="eastAsia" w:ascii="仿宋_GB2312" w:eastAsia="仿宋_GB2312"/>
          <w:sz w:val="32"/>
          <w:szCs w:val="32"/>
        </w:rPr>
        <w:t>万元、政府采购工程支出</w:t>
      </w:r>
      <w:r>
        <w:rPr>
          <w:rFonts w:ascii="仿宋_GB2312" w:eastAsia="仿宋_GB2312"/>
          <w:sz w:val="32"/>
          <w:szCs w:val="32"/>
        </w:rPr>
        <w:t>79.65</w:t>
      </w:r>
      <w:r>
        <w:rPr>
          <w:rFonts w:hint="eastAsia" w:ascii="仿宋_GB2312" w:eastAsia="仿宋_GB2312"/>
          <w:sz w:val="32"/>
          <w:szCs w:val="32"/>
        </w:rPr>
        <w:t>万元、政府采购服务支出</w:t>
      </w:r>
      <w:r>
        <w:rPr>
          <w:rFonts w:ascii="仿宋_GB2312" w:eastAsia="仿宋_GB2312"/>
          <w:sz w:val="32"/>
          <w:szCs w:val="32"/>
        </w:rPr>
        <w:t>1,508.07</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3,331.28</w:t>
      </w:r>
      <w:r>
        <w:rPr>
          <w:rFonts w:hint="eastAsia" w:ascii="仿宋_GB2312" w:eastAsia="仿宋_GB2312"/>
          <w:sz w:val="32"/>
          <w:szCs w:val="32"/>
        </w:rPr>
        <w:t>万元，占政府采购支出总额的</w:t>
      </w:r>
      <w:r>
        <w:rPr>
          <w:rFonts w:ascii="仿宋_GB2312" w:eastAsia="仿宋_GB2312"/>
          <w:sz w:val="32"/>
          <w:szCs w:val="32"/>
        </w:rPr>
        <w:t>99.14</w:t>
      </w:r>
      <w:r>
        <w:rPr>
          <w:rFonts w:hint="eastAsia" w:ascii="仿宋_GB2312" w:eastAsia="仿宋_GB2312"/>
          <w:sz w:val="32"/>
          <w:szCs w:val="32"/>
        </w:rPr>
        <w:t>%，其中：授予小微企业合同金额</w:t>
      </w:r>
      <w:r>
        <w:rPr>
          <w:rFonts w:ascii="仿宋_GB2312" w:eastAsia="仿宋_GB2312"/>
          <w:sz w:val="32"/>
          <w:szCs w:val="32"/>
        </w:rPr>
        <w:t>1,626.77</w:t>
      </w:r>
      <w:r>
        <w:rPr>
          <w:rFonts w:hint="eastAsia" w:ascii="仿宋_GB2312" w:eastAsia="仿宋_GB2312"/>
          <w:sz w:val="32"/>
          <w:szCs w:val="32"/>
        </w:rPr>
        <w:t>万元，占政府采购支出总额的</w:t>
      </w:r>
      <w:r>
        <w:rPr>
          <w:rFonts w:ascii="仿宋_GB2312" w:eastAsia="仿宋_GB2312"/>
          <w:sz w:val="32"/>
          <w:szCs w:val="32"/>
        </w:rPr>
        <w:t>48.41</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1" w:name="_Toc4591"/>
      <w:bookmarkStart w:id="32" w:name="_Toc8391"/>
      <w:r>
        <w:rPr>
          <w:rFonts w:hint="eastAsia" w:ascii="黑体" w:hAnsi="黑体" w:eastAsia="黑体"/>
          <w:sz w:val="32"/>
          <w:szCs w:val="32"/>
        </w:rPr>
        <w:t>（三）国有资产占用情况说明</w:t>
      </w:r>
      <w:bookmarkEnd w:id="31"/>
      <w:bookmarkEnd w:id="32"/>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91,409.02</w:t>
      </w:r>
      <w:r>
        <w:rPr>
          <w:rFonts w:hint="eastAsia" w:ascii="仿宋_GB2312" w:eastAsia="仿宋_GB2312"/>
          <w:sz w:val="32"/>
          <w:szCs w:val="32"/>
        </w:rPr>
        <w:t>（平方米），价值</w:t>
      </w:r>
      <w:r>
        <w:rPr>
          <w:rFonts w:ascii="仿宋_GB2312" w:eastAsia="仿宋_GB2312"/>
          <w:sz w:val="32"/>
          <w:szCs w:val="32"/>
        </w:rPr>
        <w:t>11,821.13</w:t>
      </w:r>
      <w:r>
        <w:rPr>
          <w:rFonts w:hint="eastAsia" w:ascii="仿宋_GB2312" w:eastAsia="仿宋_GB2312"/>
          <w:sz w:val="32"/>
          <w:szCs w:val="32"/>
        </w:rPr>
        <w:t>万元。车辆</w:t>
      </w:r>
      <w:r>
        <w:rPr>
          <w:rFonts w:ascii="仿宋_GB2312" w:eastAsia="仿宋_GB2312"/>
          <w:sz w:val="32"/>
          <w:szCs w:val="32"/>
        </w:rPr>
        <w:t>61</w:t>
      </w:r>
      <w:r>
        <w:rPr>
          <w:rFonts w:hint="eastAsia" w:ascii="仿宋_GB2312" w:eastAsia="仿宋_GB2312"/>
          <w:sz w:val="32"/>
          <w:szCs w:val="32"/>
        </w:rPr>
        <w:t>辆，价值</w:t>
      </w:r>
      <w:r>
        <w:rPr>
          <w:rFonts w:ascii="仿宋_GB2312" w:eastAsia="仿宋_GB2312"/>
          <w:sz w:val="32"/>
          <w:szCs w:val="32"/>
        </w:rPr>
        <w:t>1,169.49</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61</w:t>
      </w:r>
      <w:r>
        <w:rPr>
          <w:rFonts w:hint="eastAsia" w:ascii="仿宋_GB2312" w:eastAsia="仿宋_GB2312"/>
          <w:sz w:val="32"/>
          <w:szCs w:val="32"/>
        </w:rPr>
        <w:t>辆，其他用车主要是：5辆一般公务用车，16辆为我县各乡镇生育服务站用于开展生育服务的工作用车，2辆为医疗垃圾转运车，38辆为我县各乡镇卫生院的救护车；单位价值50万元以上通用设备</w:t>
      </w:r>
      <w:r>
        <w:rPr>
          <w:rFonts w:ascii="仿宋_GB2312" w:eastAsia="仿宋_GB2312"/>
          <w:sz w:val="32"/>
          <w:szCs w:val="32"/>
        </w:rPr>
        <w:t>1</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3" w:name="_Toc435"/>
      <w:bookmarkStart w:id="34" w:name="_Toc11283"/>
      <w:r>
        <w:rPr>
          <w:rFonts w:hint="eastAsia" w:ascii="黑体" w:hAnsi="黑体" w:eastAsia="黑体" w:cs="宋体"/>
          <w:bCs/>
          <w:kern w:val="0"/>
          <w:sz w:val="32"/>
          <w:szCs w:val="32"/>
        </w:rPr>
        <w:t>十一、预算绩效的情况说明</w:t>
      </w:r>
      <w:bookmarkEnd w:id="33"/>
      <w:bookmarkEnd w:id="34"/>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17个，共涉及资金10218.25万元。预算绩效管理取得的成效：一是提升医疗废弃物处置能力有效提升，达到了单位履职能力对社会带来的影响预期目标。二是有效保障和改善了民生，促进社会和谐稳定，增强了居民健康保健意识和健康知晓率，减轻对辖区内农牧民群众看病负担。三是完成了喀什地区叶城县医疗垃圾无害化处理站建设及配套设施设备购置，有效提高了叶城县医疗废弃物处置能力，减轻了医疗废弃物对环境的污染，四是减少了主要健康危险因素，有效提高了公共卫生服务和突发公共卫生事件应急处置能力。婴儿死亡率、孕产妇死亡率持续下降。适龄儿童免疫规划疫苗接种率保持在90%以上。发现的问题及原因：一是通过预算绩效管理，发现了工作中存在的不足，如项目开展的程序还需进一步规范；项目档案资料需进一步完善；项目实施成效还需加强。各级对项目实施成效不重视。二是每年都有退休人员，但无新招录人员，有编制但是人员配齐不到位。下一步改进措施：一是充实专业技术人员，提供能力建设，加强业务培训。二是完善项目档案资料，加强项目实施成效，提高项目重视力度。三是加强人事队伍建设，通过招聘人员方式吸引人力资源，充实单位人才队伍。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5" w:name="_Toc3250"/>
      <w:bookmarkStart w:id="36" w:name="_Toc24143"/>
      <w:r>
        <w:rPr>
          <w:rFonts w:hint="eastAsia" w:ascii="黑体" w:hAnsi="黑体" w:eastAsia="黑体"/>
          <w:sz w:val="32"/>
          <w:szCs w:val="32"/>
        </w:rPr>
        <w:t>第三部分 专业名词解释</w:t>
      </w:r>
      <w:bookmarkEnd w:id="35"/>
      <w:bookmarkEnd w:id="36"/>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7" w:name="_Toc22784"/>
      <w:bookmarkStart w:id="38"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7"/>
      <w:bookmarkEnd w:id="38"/>
    </w:p>
    <w:p>
      <w:pPr>
        <w:ind w:firstLine="640" w:firstLineChars="200"/>
        <w:outlineLvl w:val="1"/>
        <w:rPr>
          <w:rFonts w:ascii="黑体" w:hAnsi="黑体" w:eastAsia="黑体" w:cs="宋体"/>
          <w:bCs/>
          <w:kern w:val="0"/>
          <w:sz w:val="32"/>
          <w:szCs w:val="32"/>
        </w:rPr>
      </w:pPr>
      <w:bookmarkStart w:id="39" w:name="_Toc6062"/>
      <w:bookmarkStart w:id="40" w:name="_Toc2183"/>
      <w:r>
        <w:rPr>
          <w:rFonts w:hint="eastAsia" w:ascii="黑体" w:hAnsi="黑体" w:eastAsia="黑体" w:cs="宋体"/>
          <w:bCs/>
          <w:kern w:val="0"/>
          <w:sz w:val="32"/>
          <w:szCs w:val="32"/>
        </w:rPr>
        <w:t>一、《收入支出决算总表》</w:t>
      </w:r>
      <w:bookmarkEnd w:id="39"/>
      <w:bookmarkEnd w:id="40"/>
    </w:p>
    <w:p>
      <w:pPr>
        <w:ind w:firstLine="640" w:firstLineChars="200"/>
        <w:outlineLvl w:val="1"/>
        <w:rPr>
          <w:rFonts w:ascii="黑体" w:hAnsi="黑体" w:eastAsia="黑体" w:cs="宋体"/>
          <w:bCs/>
          <w:kern w:val="0"/>
          <w:sz w:val="32"/>
          <w:szCs w:val="32"/>
        </w:rPr>
      </w:pPr>
      <w:bookmarkStart w:id="41" w:name="_Toc24532"/>
      <w:bookmarkStart w:id="42" w:name="_Toc30364"/>
      <w:r>
        <w:rPr>
          <w:rFonts w:hint="eastAsia" w:ascii="黑体" w:hAnsi="黑体" w:eastAsia="黑体" w:cs="宋体"/>
          <w:bCs/>
          <w:kern w:val="0"/>
          <w:sz w:val="32"/>
          <w:szCs w:val="32"/>
        </w:rPr>
        <w:t>二、《收入决算表》</w:t>
      </w:r>
      <w:bookmarkEnd w:id="41"/>
      <w:bookmarkEnd w:id="42"/>
    </w:p>
    <w:p>
      <w:pPr>
        <w:ind w:firstLine="640" w:firstLineChars="200"/>
        <w:outlineLvl w:val="1"/>
        <w:rPr>
          <w:rFonts w:ascii="黑体" w:hAnsi="黑体" w:eastAsia="黑体" w:cs="宋体"/>
          <w:bCs/>
          <w:kern w:val="0"/>
          <w:sz w:val="32"/>
          <w:szCs w:val="32"/>
        </w:rPr>
      </w:pPr>
      <w:bookmarkStart w:id="43" w:name="_Toc21304"/>
      <w:bookmarkStart w:id="44" w:name="_Toc32434"/>
      <w:r>
        <w:rPr>
          <w:rFonts w:hint="eastAsia" w:ascii="黑体" w:hAnsi="黑体" w:eastAsia="黑体" w:cs="宋体"/>
          <w:bCs/>
          <w:kern w:val="0"/>
          <w:sz w:val="32"/>
          <w:szCs w:val="32"/>
        </w:rPr>
        <w:t>三、《支出决算表》</w:t>
      </w:r>
      <w:bookmarkEnd w:id="43"/>
      <w:bookmarkEnd w:id="44"/>
    </w:p>
    <w:p>
      <w:pPr>
        <w:ind w:firstLine="640" w:firstLineChars="200"/>
        <w:outlineLvl w:val="1"/>
        <w:rPr>
          <w:rFonts w:ascii="黑体" w:hAnsi="黑体" w:eastAsia="黑体" w:cs="宋体"/>
          <w:bCs/>
          <w:kern w:val="0"/>
          <w:sz w:val="32"/>
          <w:szCs w:val="32"/>
        </w:rPr>
      </w:pPr>
      <w:bookmarkStart w:id="45" w:name="_Toc28786"/>
      <w:bookmarkStart w:id="46" w:name="_Toc14238"/>
      <w:r>
        <w:rPr>
          <w:rFonts w:hint="eastAsia" w:ascii="黑体" w:hAnsi="黑体" w:eastAsia="黑体" w:cs="宋体"/>
          <w:bCs/>
          <w:kern w:val="0"/>
          <w:sz w:val="32"/>
          <w:szCs w:val="32"/>
        </w:rPr>
        <w:t>四、《财政拨款收入支出决算总表》</w:t>
      </w:r>
      <w:bookmarkEnd w:id="45"/>
      <w:bookmarkEnd w:id="46"/>
    </w:p>
    <w:p>
      <w:pPr>
        <w:ind w:firstLine="640" w:firstLineChars="200"/>
        <w:outlineLvl w:val="1"/>
        <w:rPr>
          <w:rFonts w:ascii="黑体" w:hAnsi="黑体" w:eastAsia="黑体" w:cs="宋体"/>
          <w:bCs/>
          <w:kern w:val="0"/>
          <w:sz w:val="32"/>
          <w:szCs w:val="32"/>
        </w:rPr>
      </w:pPr>
      <w:bookmarkStart w:id="47" w:name="_Toc14869"/>
      <w:bookmarkStart w:id="48" w:name="_Toc10347"/>
      <w:r>
        <w:rPr>
          <w:rFonts w:hint="eastAsia" w:ascii="黑体" w:hAnsi="黑体" w:eastAsia="黑体" w:cs="宋体"/>
          <w:bCs/>
          <w:kern w:val="0"/>
          <w:sz w:val="32"/>
          <w:szCs w:val="32"/>
        </w:rPr>
        <w:t>五、《一般公共预算财政拨款支出决算表》</w:t>
      </w:r>
      <w:bookmarkEnd w:id="47"/>
      <w:bookmarkEnd w:id="48"/>
    </w:p>
    <w:p>
      <w:pPr>
        <w:ind w:firstLine="640" w:firstLineChars="200"/>
        <w:outlineLvl w:val="1"/>
        <w:rPr>
          <w:rFonts w:ascii="黑体" w:hAnsi="黑体" w:eastAsia="黑体" w:cs="宋体"/>
          <w:bCs/>
          <w:kern w:val="0"/>
          <w:sz w:val="32"/>
          <w:szCs w:val="32"/>
        </w:rPr>
      </w:pPr>
      <w:bookmarkStart w:id="49" w:name="_Toc5626"/>
      <w:bookmarkStart w:id="50" w:name="_Toc8884"/>
      <w:r>
        <w:rPr>
          <w:rFonts w:hint="eastAsia" w:ascii="黑体" w:hAnsi="黑体" w:eastAsia="黑体" w:cs="宋体"/>
          <w:bCs/>
          <w:kern w:val="0"/>
          <w:sz w:val="32"/>
          <w:szCs w:val="32"/>
        </w:rPr>
        <w:t>六、《一般公共预算财政拨款基本支出决算表》</w:t>
      </w:r>
      <w:bookmarkEnd w:id="49"/>
      <w:bookmarkEnd w:id="50"/>
    </w:p>
    <w:p>
      <w:pPr>
        <w:ind w:firstLine="640" w:firstLineChars="200"/>
        <w:outlineLvl w:val="1"/>
        <w:rPr>
          <w:rFonts w:ascii="黑体" w:hAnsi="黑体" w:eastAsia="黑体" w:cs="宋体"/>
          <w:bCs/>
          <w:kern w:val="0"/>
          <w:sz w:val="32"/>
          <w:szCs w:val="32"/>
        </w:rPr>
      </w:pPr>
      <w:bookmarkStart w:id="51" w:name="_Toc32663"/>
      <w:bookmarkStart w:id="52" w:name="_Toc29106"/>
      <w:r>
        <w:rPr>
          <w:rFonts w:hint="eastAsia" w:ascii="黑体" w:hAnsi="黑体" w:eastAsia="黑体" w:cs="宋体"/>
          <w:bCs/>
          <w:kern w:val="0"/>
          <w:sz w:val="32"/>
          <w:szCs w:val="32"/>
        </w:rPr>
        <w:t>七、《一般公共预算财政拨款“三公”经费支出决算表》</w:t>
      </w:r>
      <w:bookmarkEnd w:id="51"/>
      <w:bookmarkEnd w:id="52"/>
    </w:p>
    <w:p>
      <w:pPr>
        <w:ind w:firstLine="640" w:firstLineChars="200"/>
        <w:outlineLvl w:val="1"/>
        <w:rPr>
          <w:rFonts w:ascii="黑体" w:hAnsi="黑体" w:eastAsia="黑体" w:cs="宋体"/>
          <w:bCs/>
          <w:kern w:val="0"/>
          <w:sz w:val="32"/>
          <w:szCs w:val="32"/>
        </w:rPr>
      </w:pPr>
      <w:bookmarkStart w:id="53" w:name="_Toc7643"/>
      <w:bookmarkStart w:id="54" w:name="_Toc5453"/>
      <w:r>
        <w:rPr>
          <w:rFonts w:hint="eastAsia" w:ascii="黑体" w:hAnsi="黑体" w:eastAsia="黑体" w:cs="宋体"/>
          <w:bCs/>
          <w:kern w:val="0"/>
          <w:sz w:val="32"/>
          <w:szCs w:val="32"/>
        </w:rPr>
        <w:t>八、《政府性基金预算财政拨款收入支出决算表》</w:t>
      </w:r>
      <w:bookmarkEnd w:id="53"/>
      <w:bookmarkEnd w:id="54"/>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NmYxM2JiY2ZmNTY4NjgyYzY1ZDIyZTY4NjRhYz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4324F67"/>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BAB562B"/>
    <w:rsid w:val="3D1D5019"/>
    <w:rsid w:val="3D5275AC"/>
    <w:rsid w:val="3E1A76DD"/>
    <w:rsid w:val="3E2B7A03"/>
    <w:rsid w:val="3E9A7BA4"/>
    <w:rsid w:val="3F076061"/>
    <w:rsid w:val="3F6A08C0"/>
    <w:rsid w:val="400E3C5D"/>
    <w:rsid w:val="43541641"/>
    <w:rsid w:val="455E1F7C"/>
    <w:rsid w:val="45897ADA"/>
    <w:rsid w:val="46901EEE"/>
    <w:rsid w:val="469C74D2"/>
    <w:rsid w:val="48A52360"/>
    <w:rsid w:val="4902047E"/>
    <w:rsid w:val="4A7D4485"/>
    <w:rsid w:val="4B9E1083"/>
    <w:rsid w:val="4C254311"/>
    <w:rsid w:val="4C2E1A9B"/>
    <w:rsid w:val="4DE45AD9"/>
    <w:rsid w:val="4E11500F"/>
    <w:rsid w:val="4EEF1380"/>
    <w:rsid w:val="4F542796"/>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8CE0C94"/>
    <w:rsid w:val="68E37F5B"/>
    <w:rsid w:val="69AD798C"/>
    <w:rsid w:val="69F01279"/>
    <w:rsid w:val="6B311CD9"/>
    <w:rsid w:val="6B68175F"/>
    <w:rsid w:val="6B8500AE"/>
    <w:rsid w:val="6C81696B"/>
    <w:rsid w:val="6D587ECB"/>
    <w:rsid w:val="6DE375B7"/>
    <w:rsid w:val="6E833B9C"/>
    <w:rsid w:val="6E8A203F"/>
    <w:rsid w:val="6F516C58"/>
    <w:rsid w:val="6FDFD92C"/>
    <w:rsid w:val="6FFF530B"/>
    <w:rsid w:val="70A609BC"/>
    <w:rsid w:val="73FB6630"/>
    <w:rsid w:val="74060C43"/>
    <w:rsid w:val="74947C20"/>
    <w:rsid w:val="759A4712"/>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 w:type="character" w:customStyle="1" w:styleId="17">
    <w:name w:val="font31"/>
    <w:basedOn w:val="11"/>
    <w:qFormat/>
    <w:uiPriority w:val="0"/>
    <w:rPr>
      <w:rFonts w:hint="default" w:ascii="Arial" w:hAnsi="Arial" w:cs="Arial"/>
      <w:color w:val="4D4D4D"/>
      <w:sz w:val="21"/>
      <w:szCs w:val="21"/>
      <w:u w:val="none"/>
    </w:rPr>
  </w:style>
  <w:style w:type="character" w:customStyle="1" w:styleId="18">
    <w:name w:val="font21"/>
    <w:basedOn w:val="11"/>
    <w:qFormat/>
    <w:uiPriority w:val="0"/>
    <w:rPr>
      <w:rFonts w:hint="eastAsia" w:ascii="宋体" w:hAnsi="宋体" w:eastAsia="宋体" w:cs="宋体"/>
      <w:color w:val="4D4D4D"/>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16</Pages>
  <Words>5716</Words>
  <Characters>6468</Characters>
  <Lines>59</Lines>
  <Paragraphs>16</Paragraphs>
  <TotalTime>7</TotalTime>
  <ScaleCrop>false</ScaleCrop>
  <LinksUpToDate>false</LinksUpToDate>
  <CharactersWithSpaces>6509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2023-08-11T03:20:34Z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