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hAnsi="宋体" w:eastAsia="方正小标宋_GBK"/>
          <w:sz w:val="44"/>
          <w:szCs w:val="44"/>
        </w:rPr>
      </w:pPr>
      <w:bookmarkStart w:id="0" w:name="_Hlk97806973"/>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新疆喀什地区叶城县喀格勒克镇卫生院2021年度部门决算公开说明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目录</w:t>
      </w:r>
    </w:p>
    <w:p>
      <w:pPr>
        <w:pStyle w:val="7"/>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第一部分部门单位概况</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第二部分部门决算情况说明</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第三部分专业名词解释</w:t>
      </w:r>
      <w:r>
        <w:rPr>
          <w:rFonts w:hint="eastAsia" w:ascii="仿宋_GB2312" w:hAnsi="仿宋_GB2312" w:eastAsia="仿宋_GB2312" w:cs="仿宋_GB2312"/>
          <w:b/>
          <w:bCs/>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第四部分部门决算报表（见附表）</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1" w:name="_Toc24028"/>
      <w:bookmarkStart w:id="2" w:name="_Toc32314"/>
      <w:r>
        <w:rPr>
          <w:rFonts w:hint="eastAsia" w:ascii="黑体" w:hAnsi="黑体" w:eastAsia="黑体"/>
          <w:sz w:val="32"/>
          <w:szCs w:val="32"/>
        </w:rPr>
        <w:t>第一部分 部门单位概况</w:t>
      </w:r>
      <w:bookmarkEnd w:id="1"/>
      <w:bookmarkEnd w:id="2"/>
    </w:p>
    <w:p>
      <w:pPr>
        <w:ind w:firstLine="640" w:firstLineChars="200"/>
        <w:outlineLvl w:val="1"/>
        <w:rPr>
          <w:rFonts w:ascii="黑体" w:hAnsi="黑体" w:eastAsia="黑体" w:cs="宋体"/>
          <w:bCs/>
          <w:kern w:val="0"/>
          <w:sz w:val="32"/>
          <w:szCs w:val="32"/>
        </w:rPr>
      </w:pPr>
      <w:bookmarkStart w:id="3" w:name="_Toc30567"/>
      <w:bookmarkStart w:id="4" w:name="_Toc30738"/>
      <w:r>
        <w:rPr>
          <w:rFonts w:hint="eastAsia" w:ascii="黑体" w:hAnsi="黑体" w:eastAsia="黑体" w:cs="宋体"/>
          <w:bCs/>
          <w:kern w:val="0"/>
          <w:sz w:val="32"/>
          <w:szCs w:val="32"/>
        </w:rPr>
        <w:t>一、主要职能</w:t>
      </w:r>
      <w:bookmarkEnd w:id="3"/>
      <w:bookmarkEnd w:id="4"/>
    </w:p>
    <w:p>
      <w:pPr>
        <w:ind w:firstLine="640" w:firstLineChars="200"/>
        <w:rPr>
          <w:rFonts w:hint="eastAsia" w:ascii="仿宋_GB2312" w:eastAsia="仿宋_GB2312"/>
          <w:sz w:val="32"/>
          <w:szCs w:val="32"/>
        </w:rPr>
      </w:pPr>
      <w:r>
        <w:rPr>
          <w:rFonts w:hint="eastAsia" w:ascii="仿宋_GB2312" w:eastAsia="仿宋_GB2312"/>
          <w:sz w:val="32"/>
          <w:szCs w:val="32"/>
        </w:rPr>
        <w:t>为人民身体健康提供医疗与预防保健服务，常见病多发病护理，恢复期病人康复治疗与护理，预防保健，初级卫生保健规划实施，合作医疗组织与管理，卫生监督与卫生信息管理。</w:t>
      </w:r>
    </w:p>
    <w:p>
      <w:pPr>
        <w:ind w:firstLine="640" w:firstLineChars="200"/>
        <w:outlineLvl w:val="1"/>
        <w:rPr>
          <w:rFonts w:ascii="黑体" w:hAnsi="黑体" w:eastAsia="黑体" w:cs="宋体"/>
          <w:bCs/>
          <w:kern w:val="0"/>
          <w:sz w:val="32"/>
          <w:szCs w:val="32"/>
        </w:rPr>
      </w:pPr>
      <w:bookmarkStart w:id="5" w:name="_Toc31238"/>
      <w:bookmarkStart w:id="6" w:name="_Toc2151"/>
      <w:r>
        <w:rPr>
          <w:rFonts w:hint="eastAsia" w:ascii="黑体" w:hAnsi="黑体" w:eastAsia="黑体" w:cs="宋体"/>
          <w:bCs/>
          <w:kern w:val="0"/>
          <w:sz w:val="32"/>
          <w:szCs w:val="32"/>
        </w:rPr>
        <w:t>二、机构设置及</w:t>
      </w:r>
      <w:bookmarkEnd w:id="5"/>
      <w:r>
        <w:rPr>
          <w:rFonts w:hint="eastAsia" w:ascii="黑体" w:hAnsi="黑体" w:eastAsia="黑体" w:cs="宋体"/>
          <w:bCs/>
          <w:kern w:val="0"/>
          <w:sz w:val="32"/>
          <w:szCs w:val="32"/>
        </w:rPr>
        <w:t>人员情况</w:t>
      </w:r>
      <w:bookmarkEnd w:id="6"/>
    </w:p>
    <w:p>
      <w:pPr>
        <w:ind w:firstLine="640" w:firstLineChars="200"/>
        <w:rPr>
          <w:rFonts w:ascii="仿宋_GB2312" w:eastAsia="仿宋_GB2312"/>
          <w:sz w:val="32"/>
          <w:szCs w:val="32"/>
        </w:rPr>
      </w:pPr>
      <w:r>
        <w:rPr>
          <w:rFonts w:hint="eastAsia" w:ascii="仿宋_GB2312" w:eastAsia="仿宋_GB2312"/>
          <w:sz w:val="32"/>
          <w:szCs w:val="32"/>
        </w:rPr>
        <w:t>新疆喀什地区叶城县喀格勒克镇卫生院</w:t>
      </w:r>
      <w:r>
        <w:rPr>
          <w:rFonts w:ascii="仿宋_GB2312" w:eastAsia="仿宋_GB2312"/>
          <w:sz w:val="32"/>
          <w:szCs w:val="32"/>
        </w:rPr>
        <w:t>2021</w:t>
      </w:r>
      <w:r>
        <w:rPr>
          <w:rFonts w:hint="eastAsia" w:ascii="仿宋_GB2312" w:eastAsia="仿宋_GB2312"/>
          <w:sz w:val="32"/>
          <w:szCs w:val="32"/>
        </w:rPr>
        <w:t>年度，实有人数</w:t>
      </w:r>
      <w:r>
        <w:rPr>
          <w:rFonts w:ascii="仿宋_GB2312" w:eastAsia="仿宋_GB2312"/>
          <w:sz w:val="32"/>
          <w:szCs w:val="32"/>
        </w:rPr>
        <w:t>44</w:t>
      </w:r>
      <w:r>
        <w:rPr>
          <w:rFonts w:hint="eastAsia" w:ascii="仿宋_GB2312" w:eastAsia="仿宋_GB2312"/>
          <w:sz w:val="32"/>
          <w:szCs w:val="32"/>
        </w:rPr>
        <w:t>人，其中：在职人员</w:t>
      </w:r>
      <w:r>
        <w:rPr>
          <w:rFonts w:ascii="仿宋_GB2312" w:eastAsia="仿宋_GB2312"/>
          <w:sz w:val="32"/>
          <w:szCs w:val="32"/>
        </w:rPr>
        <w:t>31</w:t>
      </w:r>
      <w:r>
        <w:rPr>
          <w:rFonts w:hint="eastAsia" w:ascii="仿宋_GB2312" w:eastAsia="仿宋_GB2312"/>
          <w:sz w:val="32"/>
          <w:szCs w:val="32"/>
        </w:rPr>
        <w:t>人，离休人员</w:t>
      </w:r>
      <w:r>
        <w:rPr>
          <w:rFonts w:ascii="仿宋_GB2312" w:eastAsia="仿宋_GB2312"/>
          <w:sz w:val="32"/>
          <w:szCs w:val="32"/>
        </w:rPr>
        <w:t>0</w:t>
      </w:r>
      <w:r>
        <w:rPr>
          <w:rFonts w:hint="eastAsia" w:ascii="仿宋_GB2312" w:eastAsia="仿宋_GB2312"/>
          <w:sz w:val="32"/>
          <w:szCs w:val="32"/>
        </w:rPr>
        <w:t>人，退休人员</w:t>
      </w:r>
      <w:r>
        <w:rPr>
          <w:rFonts w:ascii="仿宋_GB2312" w:eastAsia="仿宋_GB2312"/>
          <w:sz w:val="32"/>
          <w:szCs w:val="32"/>
        </w:rPr>
        <w:t>13</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从部门决算单位构成看，新疆喀什地区叶城县喀格勒克镇卫生院部门决算包括：新疆喀什地区叶城县喀格勒克镇卫生院决算。</w:t>
      </w: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7</w:t>
      </w:r>
      <w:r>
        <w:rPr>
          <w:rFonts w:hint="eastAsia" w:ascii="仿宋_GB2312" w:hAnsi="黑体" w:eastAsia="仿宋_GB2312" w:cs="宋体"/>
          <w:bCs/>
          <w:kern w:val="0"/>
          <w:sz w:val="32"/>
          <w:szCs w:val="32"/>
        </w:rPr>
        <w:t>个处室，分别是：门诊部、住院部、检验科、财务科、公共卫生科、体检科、妇幼保健科</w:t>
      </w:r>
      <w:r>
        <w:rPr>
          <w:rFonts w:hint="eastAsia" w:ascii="仿宋_GB2312" w:hAnsi="宋体" w:eastAsia="仿宋_GB2312" w:cs="宋体"/>
          <w:kern w:val="0"/>
          <w:sz w:val="32"/>
          <w:szCs w:val="32"/>
        </w:rPr>
        <w:t>。</w:t>
      </w:r>
    </w:p>
    <w:p>
      <w:pPr>
        <w:rPr>
          <w:rFonts w:ascii="Arial" w:hAnsi="Arial" w:cs="Arial"/>
          <w:color w:val="4D4D4D"/>
          <w:shd w:val="clear" w:color="auto" w:fill="FFFFFF"/>
        </w:rPr>
      </w:pPr>
      <w:r>
        <w:rPr>
          <w:rFonts w:ascii="Arial" w:hAnsi="Arial" w:cs="Arial"/>
          <w:color w:val="4D4D4D"/>
          <w:shd w:val="clear" w:color="auto" w:fill="FFFFFF"/>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第二部分 部门决算情况说明</w:t>
      </w:r>
    </w:p>
    <w:p>
      <w:pPr>
        <w:ind w:firstLine="640" w:firstLineChars="200"/>
        <w:outlineLvl w:val="1"/>
        <w:rPr>
          <w:rFonts w:ascii="黑体" w:hAnsi="黑体" w:eastAsia="黑体" w:cs="宋体"/>
          <w:bCs/>
          <w:kern w:val="0"/>
          <w:sz w:val="32"/>
          <w:szCs w:val="32"/>
        </w:rPr>
      </w:pPr>
      <w:bookmarkStart w:id="7" w:name="_Toc12566"/>
      <w:bookmarkStart w:id="8" w:name="_Toc25314"/>
      <w:bookmarkStart w:id="9" w:name="_Hlk97807141"/>
      <w:r>
        <w:rPr>
          <w:rFonts w:hint="eastAsia" w:ascii="黑体" w:hAnsi="黑体" w:eastAsia="黑体" w:cs="宋体"/>
          <w:bCs/>
          <w:kern w:val="0"/>
          <w:sz w:val="32"/>
          <w:szCs w:val="32"/>
        </w:rPr>
        <w:t>一、收入支出决算总体情况说明</w:t>
      </w:r>
      <w:bookmarkEnd w:id="7"/>
      <w:bookmarkEnd w:id="8"/>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年度本年收入</w:t>
      </w:r>
      <w:r>
        <w:rPr>
          <w:rFonts w:ascii="仿宋_GB2312" w:eastAsia="仿宋_GB2312"/>
          <w:sz w:val="32"/>
          <w:szCs w:val="32"/>
        </w:rPr>
        <w:t>890.59</w:t>
      </w:r>
      <w:r>
        <w:rPr>
          <w:rFonts w:hint="eastAsia" w:ascii="仿宋_GB2312" w:eastAsia="仿宋_GB2312"/>
          <w:sz w:val="32"/>
          <w:szCs w:val="32"/>
        </w:rPr>
        <w:t>万元，与上年相比，减少278.17万元，</w:t>
      </w:r>
      <w:r>
        <w:rPr>
          <w:rFonts w:ascii="仿宋_GB2312" w:eastAsia="仿宋_GB2312"/>
          <w:sz w:val="32"/>
          <w:szCs w:val="32"/>
        </w:rPr>
        <w:t>降低23.80</w:t>
      </w:r>
      <w:r>
        <w:rPr>
          <w:rFonts w:hint="eastAsia" w:ascii="仿宋_GB2312" w:eastAsia="仿宋_GB2312"/>
          <w:sz w:val="32"/>
          <w:szCs w:val="32"/>
        </w:rPr>
        <w:t>%，主要原因是：收治病人少，医疗事业收入减少。本年支出</w:t>
      </w:r>
      <w:r>
        <w:rPr>
          <w:rFonts w:ascii="仿宋_GB2312" w:eastAsia="仿宋_GB2312"/>
          <w:sz w:val="32"/>
          <w:szCs w:val="32"/>
        </w:rPr>
        <w:t>890.59</w:t>
      </w:r>
      <w:r>
        <w:rPr>
          <w:rFonts w:hint="eastAsia" w:ascii="仿宋_GB2312" w:eastAsia="仿宋_GB2312"/>
          <w:sz w:val="32"/>
          <w:szCs w:val="32"/>
        </w:rPr>
        <w:t>万元，与上年相比，</w:t>
      </w:r>
      <w:r>
        <w:rPr>
          <w:rFonts w:ascii="仿宋_GB2312" w:eastAsia="仿宋_GB2312"/>
          <w:sz w:val="32"/>
          <w:szCs w:val="32"/>
        </w:rPr>
        <w:t>减少278.17</w:t>
      </w:r>
      <w:r>
        <w:rPr>
          <w:rFonts w:hint="eastAsia" w:ascii="仿宋_GB2312" w:eastAsia="仿宋_GB2312"/>
          <w:sz w:val="32"/>
          <w:szCs w:val="32"/>
        </w:rPr>
        <w:t>万元，</w:t>
      </w:r>
      <w:r>
        <w:rPr>
          <w:rFonts w:ascii="仿宋_GB2312" w:eastAsia="仿宋_GB2312"/>
          <w:sz w:val="32"/>
          <w:szCs w:val="32"/>
        </w:rPr>
        <w:t>降低23.80</w:t>
      </w:r>
      <w:r>
        <w:rPr>
          <w:rFonts w:hint="eastAsia" w:ascii="仿宋_GB2312" w:eastAsia="仿宋_GB2312"/>
          <w:sz w:val="32"/>
          <w:szCs w:val="32"/>
        </w:rPr>
        <w:t>%，主要原因是：收治病人少，医疗事业支出减少。</w:t>
      </w:r>
    </w:p>
    <w:p>
      <w:pPr>
        <w:ind w:firstLine="640" w:firstLineChars="200"/>
        <w:outlineLvl w:val="1"/>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年度本年收入</w:t>
      </w:r>
      <w:r>
        <w:rPr>
          <w:rFonts w:ascii="仿宋_GB2312" w:eastAsia="仿宋_GB2312"/>
          <w:sz w:val="32"/>
          <w:szCs w:val="32"/>
        </w:rPr>
        <w:t>890.59</w:t>
      </w:r>
      <w:r>
        <w:rPr>
          <w:rFonts w:hint="eastAsia" w:ascii="仿宋_GB2312" w:eastAsia="仿宋_GB2312"/>
          <w:sz w:val="32"/>
          <w:szCs w:val="32"/>
        </w:rPr>
        <w:t>万元，其中：财政拨款收入</w:t>
      </w:r>
      <w:r>
        <w:rPr>
          <w:rFonts w:ascii="仿宋_GB2312" w:eastAsia="仿宋_GB2312"/>
          <w:sz w:val="32"/>
          <w:szCs w:val="32"/>
        </w:rPr>
        <w:t>872.64</w:t>
      </w:r>
      <w:r>
        <w:rPr>
          <w:rFonts w:hint="eastAsia" w:ascii="仿宋_GB2312" w:eastAsia="仿宋_GB2312"/>
          <w:sz w:val="32"/>
          <w:szCs w:val="32"/>
        </w:rPr>
        <w:t>万元，占97.99%；上级补助收入</w:t>
      </w:r>
      <w:r>
        <w:rPr>
          <w:rFonts w:ascii="仿宋_GB2312" w:eastAsia="仿宋_GB2312"/>
          <w:sz w:val="32"/>
          <w:szCs w:val="32"/>
        </w:rPr>
        <w:t>0.00</w:t>
      </w:r>
      <w:r>
        <w:rPr>
          <w:rFonts w:hint="eastAsia" w:ascii="仿宋_GB2312" w:eastAsia="仿宋_GB2312"/>
          <w:sz w:val="32"/>
          <w:szCs w:val="32"/>
        </w:rPr>
        <w:t>万元，占0.00%；事业收入</w:t>
      </w:r>
      <w:r>
        <w:rPr>
          <w:rFonts w:ascii="仿宋_GB2312" w:eastAsia="仿宋_GB2312"/>
          <w:sz w:val="32"/>
          <w:szCs w:val="32"/>
        </w:rPr>
        <w:t>17.94</w:t>
      </w:r>
      <w:r>
        <w:rPr>
          <w:rFonts w:hint="eastAsia" w:ascii="仿宋_GB2312" w:eastAsia="仿宋_GB2312"/>
          <w:sz w:val="32"/>
          <w:szCs w:val="32"/>
        </w:rPr>
        <w:t>万元，占2.01%；经营收入</w:t>
      </w:r>
      <w:r>
        <w:rPr>
          <w:rFonts w:ascii="仿宋_GB2312" w:eastAsia="仿宋_GB2312"/>
          <w:sz w:val="32"/>
          <w:szCs w:val="32"/>
        </w:rPr>
        <w:t>0.00</w:t>
      </w:r>
      <w:r>
        <w:rPr>
          <w:rFonts w:hint="eastAsia" w:ascii="仿宋_GB2312" w:eastAsia="仿宋_GB2312"/>
          <w:sz w:val="32"/>
          <w:szCs w:val="32"/>
        </w:rPr>
        <w:t>万元，占0.00%；附属单位上缴收入</w:t>
      </w:r>
      <w:r>
        <w:rPr>
          <w:rFonts w:ascii="仿宋_GB2312" w:eastAsia="仿宋_GB2312"/>
          <w:sz w:val="32"/>
          <w:szCs w:val="32"/>
        </w:rPr>
        <w:t>0.00</w:t>
      </w:r>
      <w:r>
        <w:rPr>
          <w:rFonts w:hint="eastAsia" w:ascii="仿宋_GB2312" w:eastAsia="仿宋_GB2312"/>
          <w:sz w:val="32"/>
          <w:szCs w:val="32"/>
        </w:rPr>
        <w:t>万元，占0.00%；其他收入</w:t>
      </w:r>
      <w:r>
        <w:rPr>
          <w:rFonts w:ascii="仿宋_GB2312" w:eastAsia="仿宋_GB2312"/>
          <w:sz w:val="32"/>
          <w:szCs w:val="32"/>
        </w:rPr>
        <w:t>0.00</w:t>
      </w:r>
      <w:r>
        <w:rPr>
          <w:rFonts w:hint="eastAsia" w:ascii="仿宋_GB2312" w:eastAsia="仿宋_GB2312"/>
          <w:sz w:val="32"/>
          <w:szCs w:val="32"/>
        </w:rPr>
        <w:t>万元，占0.00%。</w:t>
      </w:r>
    </w:p>
    <w:p>
      <w:pPr>
        <w:ind w:firstLine="640" w:firstLineChars="200"/>
        <w:outlineLvl w:val="1"/>
        <w:rPr>
          <w:rFonts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年度本年支出890.59万元，其中：基本支出</w:t>
      </w:r>
      <w:r>
        <w:rPr>
          <w:rFonts w:ascii="仿宋_GB2312" w:eastAsia="仿宋_GB2312"/>
          <w:sz w:val="32"/>
          <w:szCs w:val="32"/>
        </w:rPr>
        <w:t>685.50</w:t>
      </w:r>
      <w:r>
        <w:rPr>
          <w:rFonts w:hint="eastAsia" w:ascii="仿宋_GB2312" w:eastAsia="仿宋_GB2312"/>
          <w:sz w:val="32"/>
          <w:szCs w:val="32"/>
        </w:rPr>
        <w:t>万元，占76.97%；项目支出</w:t>
      </w:r>
      <w:r>
        <w:rPr>
          <w:rFonts w:ascii="仿宋_GB2312" w:eastAsia="仿宋_GB2312"/>
          <w:sz w:val="32"/>
          <w:szCs w:val="32"/>
        </w:rPr>
        <w:t>205.08</w:t>
      </w:r>
      <w:r>
        <w:rPr>
          <w:rFonts w:hint="eastAsia" w:ascii="仿宋_GB2312" w:eastAsia="仿宋_GB2312"/>
          <w:sz w:val="32"/>
          <w:szCs w:val="32"/>
        </w:rPr>
        <w:t>万元，占23.03%；上缴上级支出</w:t>
      </w:r>
      <w:r>
        <w:rPr>
          <w:rFonts w:ascii="仿宋_GB2312" w:eastAsia="仿宋_GB2312"/>
          <w:sz w:val="32"/>
          <w:szCs w:val="32"/>
        </w:rPr>
        <w:t>0.00</w:t>
      </w:r>
      <w:r>
        <w:rPr>
          <w:rFonts w:hint="eastAsia" w:ascii="仿宋_GB2312" w:eastAsia="仿宋_GB2312"/>
          <w:sz w:val="32"/>
          <w:szCs w:val="32"/>
        </w:rPr>
        <w:t>万元，占0.00%；经营支出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%；对附属单位补助支出0.00万元，占0.00%。</w:t>
      </w:r>
    </w:p>
    <w:bookmarkEnd w:id="9"/>
    <w:p>
      <w:pPr>
        <w:ind w:firstLine="640" w:firstLineChars="200"/>
        <w:outlineLvl w:val="1"/>
        <w:rPr>
          <w:rFonts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财政拨款收入872.64万元，与上年相比，增加238.11万元，增长37.53%，主要原因是：人员工资调增，人员经费增加；增加乡镇卫生院业务工作经费。财政拨款支出872.64万元，与上年相比，增加238.11万元，增长37.53%，主要原因是：人员工资调增，人员经费增加；增加乡镇卫生院业务工作经费。</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w:t>
      </w:r>
      <w:r>
        <w:rPr>
          <w:rFonts w:ascii="仿宋_GB2312" w:eastAsia="仿宋_GB2312"/>
          <w:sz w:val="32"/>
          <w:szCs w:val="32"/>
        </w:rPr>
        <w:t>636.61</w:t>
      </w:r>
      <w:r>
        <w:rPr>
          <w:rFonts w:hint="eastAsia" w:ascii="仿宋_GB2312" w:eastAsia="仿宋_GB2312"/>
          <w:sz w:val="32"/>
          <w:szCs w:val="32"/>
        </w:rPr>
        <w:t>万元，决算数</w:t>
      </w:r>
      <w:r>
        <w:rPr>
          <w:rFonts w:ascii="仿宋_GB2312" w:eastAsia="仿宋_GB2312"/>
          <w:sz w:val="32"/>
          <w:szCs w:val="32"/>
        </w:rPr>
        <w:t>872.64</w:t>
      </w:r>
      <w:r>
        <w:rPr>
          <w:rFonts w:hint="eastAsia" w:ascii="仿宋_GB2312" w:eastAsia="仿宋_GB2312"/>
          <w:sz w:val="32"/>
          <w:szCs w:val="32"/>
        </w:rPr>
        <w:t>万元，预决算差异率</w:t>
      </w:r>
      <w:r>
        <w:rPr>
          <w:rFonts w:ascii="仿宋_GB2312" w:eastAsia="仿宋_GB2312"/>
          <w:sz w:val="32"/>
          <w:szCs w:val="32"/>
        </w:rPr>
        <w:t>37.08</w:t>
      </w:r>
      <w:r>
        <w:rPr>
          <w:rFonts w:hint="eastAsia" w:ascii="仿宋_GB2312" w:eastAsia="仿宋_GB2312"/>
          <w:sz w:val="32"/>
          <w:szCs w:val="32"/>
        </w:rPr>
        <w:t>%，主要原因是：年中追加项目资金。财政拨款支出年初预算数</w:t>
      </w:r>
      <w:r>
        <w:rPr>
          <w:rFonts w:ascii="仿宋_GB2312" w:eastAsia="仿宋_GB2312"/>
          <w:sz w:val="32"/>
          <w:szCs w:val="32"/>
        </w:rPr>
        <w:t>636.61</w:t>
      </w:r>
      <w:r>
        <w:rPr>
          <w:rFonts w:hint="eastAsia" w:ascii="仿宋_GB2312" w:eastAsia="仿宋_GB2312"/>
          <w:sz w:val="32"/>
          <w:szCs w:val="32"/>
        </w:rPr>
        <w:t>万元，决算数</w:t>
      </w:r>
      <w:r>
        <w:rPr>
          <w:rFonts w:ascii="仿宋_GB2312" w:eastAsia="仿宋_GB2312"/>
          <w:sz w:val="32"/>
          <w:szCs w:val="32"/>
        </w:rPr>
        <w:t>872.64</w:t>
      </w:r>
      <w:r>
        <w:rPr>
          <w:rFonts w:hint="eastAsia" w:ascii="仿宋_GB2312" w:eastAsia="仿宋_GB2312"/>
          <w:sz w:val="32"/>
          <w:szCs w:val="32"/>
        </w:rPr>
        <w:t>万元，预决算差异率37.08%，主要原因是：</w:t>
      </w:r>
      <w:bookmarkStart w:id="54" w:name="_GoBack"/>
      <w:bookmarkEnd w:id="54"/>
      <w:r>
        <w:rPr>
          <w:rFonts w:hint="eastAsia" w:ascii="仿宋_GB2312" w:eastAsia="仿宋_GB2312"/>
          <w:sz w:val="32"/>
          <w:szCs w:val="32"/>
        </w:rPr>
        <w:t>年中追加项目资金。</w:t>
      </w:r>
    </w:p>
    <w:p>
      <w:pPr>
        <w:ind w:firstLine="640" w:firstLineChars="200"/>
        <w:outlineLvl w:val="1"/>
        <w:rPr>
          <w:rFonts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年度一般公共预算财政拨款支出872.64万元。按功能分类科目项级科目公开，其中：</w:t>
      </w:r>
    </w:p>
    <w:p>
      <w:pPr>
        <w:jc w:val="left"/>
        <w:rPr>
          <w:rFonts w:ascii="仿宋_GB2312" w:eastAsia="仿宋_GB2312"/>
          <w:sz w:val="32"/>
          <w:szCs w:val="32"/>
        </w:rPr>
      </w:pPr>
      <w:bookmarkStart w:id="18" w:name="_Toc30870"/>
      <w:bookmarkStart w:id="19" w:name="_Toc11146"/>
      <w:r>
        <w:rPr>
          <w:rFonts w:ascii="仿宋_GB2312" w:eastAsia="仿宋_GB2312"/>
          <w:sz w:val="32"/>
          <w:szCs w:val="32"/>
        </w:rPr>
        <w:tab/>
      </w:r>
      <w:r>
        <w:rPr>
          <w:rFonts w:ascii="仿宋_GB2312" w:eastAsia="仿宋_GB2312"/>
          <w:sz w:val="32"/>
          <w:szCs w:val="32"/>
        </w:rPr>
        <w:t xml:space="preserve"> 2080505机关事业单位基本养老保险缴费支出65.45万元；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2100302乡镇卫生院807.19万元。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w:t>
      </w:r>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年度一般公共预算财政拨款基本支出</w:t>
      </w:r>
      <w:r>
        <w:rPr>
          <w:rFonts w:ascii="仿宋_GB2312" w:eastAsia="仿宋_GB2312"/>
          <w:sz w:val="32"/>
          <w:szCs w:val="32"/>
        </w:rPr>
        <w:t>667.56</w:t>
      </w:r>
      <w:r>
        <w:rPr>
          <w:rFonts w:hint="eastAsia" w:ascii="仿宋_GB2312" w:eastAsia="仿宋_GB2312"/>
          <w:sz w:val="32"/>
          <w:szCs w:val="32"/>
        </w:rPr>
        <w:t>万元，其中：</w:t>
      </w:r>
    </w:p>
    <w:p>
      <w:pPr>
        <w:ind w:firstLine="640" w:firstLineChars="200"/>
        <w:rPr>
          <w:rFonts w:ascii="仿宋_GB2312" w:eastAsia="仿宋_GB2312"/>
          <w:sz w:val="32"/>
          <w:szCs w:val="32"/>
        </w:rPr>
      </w:pPr>
      <w:r>
        <w:rPr>
          <w:rFonts w:hint="eastAsia" w:ascii="仿宋_GB2312" w:eastAsia="仿宋_GB2312"/>
          <w:sz w:val="32"/>
          <w:szCs w:val="32"/>
        </w:rPr>
        <w:t>人员经费</w:t>
      </w:r>
      <w:r>
        <w:rPr>
          <w:rFonts w:ascii="仿宋_GB2312" w:eastAsia="仿宋_GB2312"/>
          <w:sz w:val="32"/>
          <w:szCs w:val="32"/>
        </w:rPr>
        <w:t>667.56</w:t>
      </w:r>
      <w:r>
        <w:rPr>
          <w:rFonts w:hint="eastAsia" w:ascii="仿宋_GB2312" w:eastAsia="仿宋_GB2312"/>
          <w:sz w:val="32"/>
          <w:szCs w:val="32"/>
        </w:rPr>
        <w:t>万元，包括：基本工资、津贴补贴、奖金、绩效工资、机关事业单位基本养老保险缴费、职工基本医疗保险缴费、其他社会保障缴费、住房公积金、退休费、奖励金</w:t>
      </w:r>
      <w:r>
        <w:rPr>
          <w:rFonts w:hint="eastAsia" w:ascii="仿宋_GB2312" w:hAnsi="宋体" w:eastAsia="仿宋_GB2312" w:cs="宋体"/>
          <w:kern w:val="0"/>
          <w:sz w:val="32"/>
          <w:szCs w:val="32"/>
        </w:rPr>
        <w:t>。</w:t>
      </w:r>
    </w:p>
    <w:p>
      <w:pPr>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公用经费0.00万元，包括：无公用经费。</w:t>
      </w:r>
    </w:p>
    <w:p>
      <w:pPr>
        <w:ind w:firstLine="640" w:firstLineChars="200"/>
        <w:outlineLvl w:val="1"/>
        <w:rPr>
          <w:rFonts w:ascii="黑体" w:hAnsi="黑体" w:eastAsia="黑体" w:cs="宋体"/>
          <w:bCs/>
          <w:kern w:val="0"/>
          <w:sz w:val="32"/>
          <w:szCs w:val="32"/>
        </w:rPr>
      </w:pPr>
      <w:bookmarkStart w:id="20" w:name="_Toc7190"/>
      <w:bookmarkStart w:id="21" w:name="_Toc21518"/>
      <w:r>
        <w:rPr>
          <w:rFonts w:hint="eastAsia" w:ascii="黑体" w:hAnsi="黑体" w:eastAsia="黑体" w:cs="宋体"/>
          <w:bCs/>
          <w:kern w:val="0"/>
          <w:sz w:val="32"/>
          <w:szCs w:val="32"/>
        </w:rPr>
        <w:t>七、一般公共预算财政拨款“三公”经费支出决算情况说明</w:t>
      </w:r>
      <w:bookmarkEnd w:id="20"/>
      <w:bookmarkEnd w:id="21"/>
    </w:p>
    <w:p>
      <w:pPr>
        <w:pStyle w:val="9"/>
        <w:widowControl/>
        <w:shd w:val="clear" w:color="auto" w:fill="FFFFFF"/>
        <w:ind w:firstLine="640" w:firstLineChars="200"/>
        <w:rPr>
          <w:rFonts w:hint="default" w:ascii="仿宋_GB2312" w:eastAsia="仿宋_GB2312"/>
          <w:sz w:val="32"/>
          <w:szCs w:val="32"/>
        </w:rPr>
      </w:pPr>
      <w:r>
        <w:rPr>
          <w:rFonts w:ascii="仿宋_GB2312" w:eastAsia="仿宋_GB2312"/>
          <w:sz w:val="32"/>
          <w:szCs w:val="32"/>
        </w:rPr>
        <w:t>2021年度一般公共预算“三公”经费支出决算0.00万元，比上年增加0.00万元，增长0.00%，主要原因是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我单位无一般公共预算“三公”经费支出。其中</w:t>
      </w:r>
      <w:r>
        <w:rPr>
          <w:rFonts w:hint="eastAsia" w:ascii="仿宋_GB2312" w:eastAsia="仿宋_GB2312"/>
          <w:sz w:val="32"/>
          <w:szCs w:val="32"/>
          <w:lang w:eastAsia="zh-CN"/>
        </w:rPr>
        <w:t>：</w:t>
      </w:r>
      <w:r>
        <w:rPr>
          <w:rFonts w:ascii="仿宋_GB2312" w:eastAsia="仿宋_GB2312"/>
          <w:sz w:val="32"/>
          <w:szCs w:val="32"/>
        </w:rPr>
        <w:t>因公出国（境）费支出0.00万元，占0.00%，比上年增加0.00万元，增长0.00%，主要原因是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因公出国（境）费；公务用车购置及运行维护费支出0.00万元，占0.00%，比上年增加0.00万元，增长0.00%，主要原因是：我单位无公务用车购置及运行维护费；公务接待费支出0.00万元，占0.00%，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我单位无公务接待费。具体情况如下：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0.00</w:t>
      </w:r>
      <w:r>
        <w:rPr>
          <w:rFonts w:hint="eastAsia" w:ascii="仿宋_GB2312" w:eastAsia="仿宋_GB2312"/>
          <w:sz w:val="32"/>
          <w:szCs w:val="32"/>
        </w:rPr>
        <w:t>万元，开支内容包括我单位无因公出国（境）费。单位全年安排的因公出国（境）团组</w:t>
      </w:r>
      <w:r>
        <w:rPr>
          <w:rFonts w:ascii="仿宋_GB2312" w:eastAsia="仿宋_GB2312"/>
          <w:sz w:val="32"/>
          <w:szCs w:val="32"/>
        </w:rPr>
        <w:t>0</w:t>
      </w:r>
      <w:r>
        <w:rPr>
          <w:rFonts w:hint="eastAsia" w:ascii="仿宋_GB2312" w:eastAsia="仿宋_GB2312"/>
          <w:sz w:val="32"/>
          <w:szCs w:val="32"/>
        </w:rPr>
        <w:t>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0.00</w:t>
      </w:r>
      <w:r>
        <w:rPr>
          <w:rFonts w:hint="eastAsia" w:ascii="仿宋_GB2312" w:eastAsia="仿宋_GB2312"/>
          <w:sz w:val="32"/>
          <w:szCs w:val="32"/>
        </w:rPr>
        <w:t>万元，其中</w:t>
      </w:r>
      <w:r>
        <w:rPr>
          <w:rFonts w:hint="eastAsia" w:ascii="仿宋_GB2312" w:eastAsia="仿宋_GB2312"/>
          <w:sz w:val="32"/>
          <w:szCs w:val="32"/>
          <w:lang w:eastAsia="zh-CN"/>
        </w:rPr>
        <w:t>：</w:t>
      </w:r>
      <w:r>
        <w:rPr>
          <w:rFonts w:hint="eastAsia" w:ascii="仿宋_GB2312" w:eastAsia="仿宋_GB2312"/>
          <w:sz w:val="32"/>
          <w:szCs w:val="32"/>
        </w:rPr>
        <w:t>公务用车购置费</w:t>
      </w:r>
      <w:r>
        <w:rPr>
          <w:rFonts w:ascii="仿宋_GB2312" w:eastAsia="仿宋_GB2312"/>
          <w:sz w:val="32"/>
          <w:szCs w:val="32"/>
        </w:rPr>
        <w:t>0.00</w:t>
      </w:r>
      <w:r>
        <w:rPr>
          <w:rFonts w:hint="eastAsia" w:ascii="仿宋_GB2312" w:eastAsia="仿宋_GB2312"/>
          <w:sz w:val="32"/>
          <w:szCs w:val="32"/>
        </w:rPr>
        <w:t>万元，公务用车运行维护费</w:t>
      </w:r>
      <w:r>
        <w:rPr>
          <w:rFonts w:ascii="仿宋_GB2312" w:eastAsia="仿宋_GB2312"/>
          <w:sz w:val="32"/>
          <w:szCs w:val="32"/>
        </w:rPr>
        <w:t>0.00</w:t>
      </w:r>
      <w:r>
        <w:rPr>
          <w:rFonts w:hint="eastAsia" w:ascii="仿宋_GB2312" w:eastAsia="仿宋_GB2312"/>
          <w:sz w:val="32"/>
          <w:szCs w:val="32"/>
        </w:rPr>
        <w:t>万元。公务用车运行维护费开支内容包括：我单位无公务用车运行维护费。公务用车购置数</w:t>
      </w:r>
      <w:r>
        <w:rPr>
          <w:rFonts w:ascii="仿宋_GB2312" w:eastAsia="仿宋_GB2312"/>
          <w:sz w:val="32"/>
          <w:szCs w:val="32"/>
        </w:rPr>
        <w:t>0</w:t>
      </w:r>
      <w:r>
        <w:rPr>
          <w:rFonts w:hint="eastAsia" w:ascii="仿宋_GB2312" w:eastAsia="仿宋_GB2312"/>
          <w:sz w:val="32"/>
          <w:szCs w:val="32"/>
        </w:rPr>
        <w:t>辆，公务用车保有量0辆。</w:t>
      </w:r>
    </w:p>
    <w:p>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0.00</w:t>
      </w:r>
      <w:r>
        <w:rPr>
          <w:rFonts w:hint="eastAsia" w:ascii="仿宋_GB2312" w:eastAsia="仿宋_GB2312"/>
          <w:sz w:val="32"/>
          <w:szCs w:val="32"/>
        </w:rPr>
        <w:t>万元，开支内容包括我单位无公务接待费。单位全年安排的国内公务接待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人次。</w:t>
      </w:r>
    </w:p>
    <w:p>
      <w:pPr>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与年初预算数相比情况：一般公共预算“三公”经费支出年初预算数0.00万元，决算数</w:t>
      </w:r>
      <w:r>
        <w:rPr>
          <w:rFonts w:ascii="仿宋_GB2312" w:eastAsia="仿宋_GB2312"/>
          <w:sz w:val="32"/>
          <w:szCs w:val="32"/>
        </w:rPr>
        <w:t>0.00</w:t>
      </w:r>
      <w:r>
        <w:rPr>
          <w:rFonts w:hint="eastAsia" w:ascii="仿宋_GB2312" w:eastAsia="仿宋_GB2312"/>
          <w:sz w:val="32"/>
          <w:szCs w:val="32"/>
        </w:rPr>
        <w:t>万元，预决算差异率0.00%，主要原因是：我单位无一般公共预算“三公”经费支出。</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预算数0.00万元，决算数0.00万元，预决算差异率0.00%，主要原因是：我单位无因公出国（境）费；</w:t>
      </w:r>
      <w:r>
        <w:rPr>
          <w:rFonts w:hint="eastAsia" w:ascii="仿宋_GB2312" w:hAnsi="宋体" w:eastAsia="仿宋_GB2312" w:cs="宋体"/>
          <w:kern w:val="0"/>
          <w:sz w:val="32"/>
          <w:szCs w:val="32"/>
        </w:rPr>
        <w:t>公务用车购置</w:t>
      </w:r>
      <w:r>
        <w:rPr>
          <w:rFonts w:hint="eastAsia" w:ascii="仿宋_GB2312" w:eastAsia="仿宋_GB2312"/>
          <w:sz w:val="32"/>
          <w:szCs w:val="32"/>
        </w:rPr>
        <w:t>费预算数0.00万元，决算数0.00万元，预决算差异率0.00%，主要原因是：我单位无公务用车购置费；</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预算数0.00万元，决算数0.00万元，预决算差异率0.00%，主要原因是：我单位无公务用车运行维护费；</w:t>
      </w:r>
      <w:r>
        <w:rPr>
          <w:rFonts w:hint="eastAsia" w:ascii="仿宋_GB2312" w:hAnsi="宋体" w:eastAsia="仿宋_GB2312" w:cs="宋体"/>
          <w:kern w:val="0"/>
          <w:sz w:val="32"/>
          <w:szCs w:val="32"/>
        </w:rPr>
        <w:t>公务接待费</w:t>
      </w:r>
      <w:r>
        <w:rPr>
          <w:rFonts w:hint="eastAsia" w:ascii="仿宋_GB2312" w:eastAsia="仿宋_GB2312"/>
          <w:sz w:val="32"/>
          <w:szCs w:val="32"/>
        </w:rPr>
        <w:t>预算数</w:t>
      </w:r>
      <w:r>
        <w:rPr>
          <w:rFonts w:ascii="仿宋_GB2312" w:eastAsia="仿宋_GB2312"/>
          <w:sz w:val="32"/>
          <w:szCs w:val="32"/>
        </w:rPr>
        <w:t>0.00</w:t>
      </w:r>
      <w:r>
        <w:rPr>
          <w:rFonts w:hint="eastAsia" w:ascii="仿宋_GB2312" w:eastAsia="仿宋_GB2312"/>
          <w:sz w:val="32"/>
          <w:szCs w:val="32"/>
        </w:rPr>
        <w:t>万元，决算数</w:t>
      </w:r>
      <w:r>
        <w:rPr>
          <w:rFonts w:ascii="仿宋_GB2312" w:eastAsia="仿宋_GB2312"/>
          <w:sz w:val="32"/>
          <w:szCs w:val="32"/>
        </w:rPr>
        <w:t>0.00</w:t>
      </w:r>
      <w:r>
        <w:rPr>
          <w:rFonts w:hint="eastAsia" w:ascii="仿宋_GB2312" w:eastAsia="仿宋_GB2312"/>
          <w:sz w:val="32"/>
          <w:szCs w:val="32"/>
        </w:rPr>
        <w:t>万元，预决算差异率0.00%，主要原因是：我单位无公务接待费。</w:t>
      </w:r>
    </w:p>
    <w:p>
      <w:pPr>
        <w:ind w:firstLine="640" w:firstLineChars="200"/>
        <w:outlineLvl w:val="1"/>
        <w:rPr>
          <w:rFonts w:ascii="黑体" w:hAnsi="黑体" w:eastAsia="黑体" w:cs="宋体"/>
          <w:bCs/>
          <w:kern w:val="0"/>
          <w:sz w:val="32"/>
          <w:szCs w:val="32"/>
        </w:rPr>
      </w:pPr>
      <w:bookmarkStart w:id="22" w:name="_Toc5810"/>
      <w:bookmarkStart w:id="23" w:name="_Toc7927"/>
      <w:r>
        <w:rPr>
          <w:rFonts w:hint="eastAsia" w:ascii="黑体" w:hAnsi="黑体" w:eastAsia="黑体" w:cs="宋体"/>
          <w:bCs/>
          <w:kern w:val="0"/>
          <w:sz w:val="32"/>
          <w:szCs w:val="32"/>
        </w:rPr>
        <w:t>八、政府性基金预算财政拨款收入支出决算情况说明</w:t>
      </w:r>
      <w:bookmarkEnd w:id="22"/>
      <w:bookmarkEnd w:id="23"/>
    </w:p>
    <w:p>
      <w:pPr>
        <w:ind w:firstLine="640" w:firstLineChars="200"/>
        <w:rPr>
          <w:rFonts w:hint="eastAsia" w:ascii="仿宋_GB2312" w:hAnsi="宋体" w:eastAsia="仿宋_GB2312"/>
          <w:kern w:val="0"/>
          <w:sz w:val="32"/>
          <w:szCs w:val="32"/>
          <w:lang w:eastAsia="zh-CN"/>
        </w:rPr>
      </w:pPr>
      <w:r>
        <w:rPr>
          <w:rFonts w:hint="eastAsia" w:ascii="仿宋_GB2312" w:hAnsi="宋体" w:eastAsia="仿宋_GB2312"/>
          <w:kern w:val="0"/>
          <w:sz w:val="32"/>
          <w:szCs w:val="32"/>
        </w:rPr>
        <w:t>我单位本年度无政府性基金预算财政拨款收入支出，政府性基金预算财政拨款收入支出决算表为空表</w:t>
      </w:r>
      <w:r>
        <w:rPr>
          <w:rFonts w:hint="eastAsia" w:ascii="仿宋_GB2312" w:hAnsi="宋体" w:eastAsia="仿宋_GB2312"/>
          <w:kern w:val="0"/>
          <w:sz w:val="32"/>
          <w:szCs w:val="32"/>
          <w:lang w:eastAsia="zh-CN"/>
        </w:rPr>
        <w:t>。</w:t>
      </w:r>
    </w:p>
    <w:p>
      <w:pPr>
        <w:ind w:firstLine="640" w:firstLineChars="200"/>
        <w:rPr>
          <w:rFonts w:ascii="仿宋_GB2312" w:eastAsia="仿宋_GB2312"/>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rPr>
          <w:rFonts w:ascii="Arial" w:hAnsi="Arial" w:cs="Arial"/>
          <w:color w:val="4D4D4D"/>
          <w:shd w:val="clear" w:color="auto" w:fill="FFFFFF"/>
        </w:rPr>
      </w:pPr>
      <w:r>
        <w:rPr>
          <w:rFonts w:hint="eastAsia" w:ascii="仿宋_GB2312" w:eastAsia="仿宋_GB2312"/>
          <w:sz w:val="32"/>
          <w:szCs w:val="32"/>
        </w:rPr>
        <w:t>我单位本年度无国有资本经营预算财政拨款收入支出，国有资本经营预算财政拨款收入支出决算表为空表。</w:t>
      </w:r>
    </w:p>
    <w:p>
      <w:pPr>
        <w:ind w:firstLine="640" w:firstLineChars="200"/>
        <w:outlineLvl w:val="1"/>
        <w:rPr>
          <w:rFonts w:ascii="黑体" w:hAnsi="黑体" w:eastAsia="黑体" w:cs="宋体"/>
          <w:bCs/>
          <w:kern w:val="0"/>
          <w:sz w:val="32"/>
          <w:szCs w:val="32"/>
        </w:rPr>
      </w:pPr>
      <w:bookmarkStart w:id="24" w:name="_Toc7314"/>
      <w:bookmarkStart w:id="25" w:name="_Toc1235"/>
      <w:r>
        <w:rPr>
          <w:rFonts w:hint="eastAsia" w:ascii="黑体" w:hAnsi="黑体" w:eastAsia="黑体" w:cs="宋体"/>
          <w:bCs/>
          <w:kern w:val="0"/>
          <w:sz w:val="32"/>
          <w:szCs w:val="32"/>
        </w:rPr>
        <w:t>十、其他重要事项的情况说明</w:t>
      </w:r>
      <w:bookmarkEnd w:id="24"/>
      <w:bookmarkEnd w:id="25"/>
    </w:p>
    <w:p>
      <w:pPr>
        <w:ind w:firstLine="640" w:firstLineChars="200"/>
        <w:outlineLvl w:val="2"/>
        <w:rPr>
          <w:rFonts w:hint="eastAsia" w:ascii="黑体" w:hAnsi="黑体" w:eastAsia="黑体"/>
          <w:sz w:val="32"/>
          <w:szCs w:val="32"/>
        </w:rPr>
      </w:pPr>
      <w:bookmarkStart w:id="26" w:name="_Toc14519"/>
      <w:bookmarkStart w:id="27" w:name="_Toc13105"/>
      <w:r>
        <w:rPr>
          <w:rFonts w:hint="eastAsia" w:ascii="黑体" w:hAnsi="黑体" w:eastAsia="黑体"/>
          <w:sz w:val="32"/>
          <w:szCs w:val="32"/>
        </w:rPr>
        <w:t>（一）机关运行经费支出情况</w:t>
      </w:r>
      <w:bookmarkEnd w:id="26"/>
      <w:bookmarkEnd w:id="27"/>
    </w:p>
    <w:p>
      <w:pPr>
        <w:ind w:firstLine="640" w:firstLineChars="200"/>
        <w:outlineLvl w:val="2"/>
        <w:rPr>
          <w:rFonts w:ascii="黑体" w:hAnsi="黑体" w:eastAsia="黑体"/>
          <w:sz w:val="32"/>
          <w:szCs w:val="32"/>
        </w:rPr>
      </w:pPr>
      <w:r>
        <w:rPr>
          <w:rFonts w:hint="eastAsia" w:ascii="仿宋_GB2312" w:eastAsia="仿宋_GB2312"/>
          <w:sz w:val="32"/>
          <w:szCs w:val="32"/>
        </w:rPr>
        <w:t>2021年度新疆喀什地区叶城县喀格勒克镇卫生院（事业单位）公用经费0.00万元，比</w:t>
      </w:r>
      <w:r>
        <w:rPr>
          <w:rFonts w:hint="eastAsia" w:ascii="仿宋_GB2312" w:eastAsia="仿宋_GB2312"/>
          <w:sz w:val="32"/>
          <w:szCs w:val="32"/>
          <w:lang w:val="en-US" w:eastAsia="zh-CN"/>
        </w:rPr>
        <w:t>上年</w:t>
      </w:r>
      <w:r>
        <w:rPr>
          <w:rFonts w:hint="eastAsia" w:ascii="仿宋_GB2312" w:eastAsia="仿宋_GB2312"/>
          <w:sz w:val="32"/>
          <w:szCs w:val="32"/>
        </w:rPr>
        <w:t>增加0.00</w:t>
      </w:r>
      <w:r>
        <w:rPr>
          <w:rFonts w:hint="eastAsia" w:ascii="仿宋_GB2312" w:eastAsia="仿宋_GB2312"/>
          <w:sz w:val="32"/>
          <w:szCs w:val="32"/>
          <w:lang w:val="en-US" w:eastAsia="zh-CN"/>
        </w:rPr>
        <w:t>万</w:t>
      </w:r>
      <w:r>
        <w:rPr>
          <w:rFonts w:hint="eastAsia" w:ascii="仿宋_GB2312" w:eastAsia="仿宋_GB2312"/>
          <w:sz w:val="32"/>
          <w:szCs w:val="32"/>
        </w:rPr>
        <w:t>元，增长0.00%，主要原因是：我单位为差额单位，公用经费自收自支，财政未安排公用经费支出。</w:t>
      </w:r>
    </w:p>
    <w:p>
      <w:pPr>
        <w:ind w:firstLine="640" w:firstLineChars="200"/>
        <w:outlineLvl w:val="2"/>
        <w:rPr>
          <w:rFonts w:hint="eastAsia" w:ascii="黑体" w:hAnsi="黑体" w:eastAsia="黑体"/>
          <w:sz w:val="32"/>
          <w:szCs w:val="32"/>
        </w:rPr>
      </w:pPr>
      <w:bookmarkStart w:id="28" w:name="_Toc227"/>
      <w:bookmarkStart w:id="29" w:name="_Toc26704"/>
      <w:r>
        <w:rPr>
          <w:rFonts w:hint="eastAsia" w:ascii="黑体" w:hAnsi="黑体" w:eastAsia="黑体"/>
          <w:sz w:val="32"/>
          <w:szCs w:val="32"/>
        </w:rPr>
        <w:t>（二）政府采购情况</w:t>
      </w:r>
      <w:bookmarkEnd w:id="28"/>
      <w:bookmarkEnd w:id="29"/>
    </w:p>
    <w:p>
      <w:pPr>
        <w:ind w:firstLine="640" w:firstLineChars="200"/>
        <w:rPr>
          <w:rFonts w:ascii="仿宋_GB2312" w:eastAsia="仿宋_GB2312"/>
          <w:sz w:val="32"/>
          <w:szCs w:val="32"/>
        </w:rPr>
      </w:pPr>
      <w:r>
        <w:rPr>
          <w:rFonts w:hint="eastAsia" w:ascii="仿宋_GB2312" w:eastAsia="仿宋_GB2312"/>
          <w:sz w:val="32"/>
          <w:szCs w:val="32"/>
        </w:rPr>
        <w:t>2021年度政府采购支出总额</w:t>
      </w:r>
      <w:r>
        <w:rPr>
          <w:rFonts w:ascii="仿宋_GB2312" w:eastAsia="仿宋_GB2312"/>
          <w:sz w:val="32"/>
          <w:szCs w:val="32"/>
        </w:rPr>
        <w:t>0.00</w:t>
      </w:r>
      <w:r>
        <w:rPr>
          <w:rFonts w:hint="eastAsia" w:ascii="仿宋_GB2312" w:eastAsia="仿宋_GB2312"/>
          <w:sz w:val="32"/>
          <w:szCs w:val="32"/>
        </w:rPr>
        <w:t>万元，其中：政府采购货物支出</w:t>
      </w:r>
      <w:r>
        <w:rPr>
          <w:rFonts w:ascii="仿宋_GB2312" w:eastAsia="仿宋_GB2312"/>
          <w:sz w:val="32"/>
          <w:szCs w:val="32"/>
        </w:rPr>
        <w:t>0.00</w:t>
      </w:r>
      <w:r>
        <w:rPr>
          <w:rFonts w:hint="eastAsia" w:ascii="仿宋_GB2312" w:eastAsia="仿宋_GB2312"/>
          <w:sz w:val="32"/>
          <w:szCs w:val="32"/>
        </w:rPr>
        <w:t>万元、政府采购工程支出</w:t>
      </w:r>
      <w:r>
        <w:rPr>
          <w:rFonts w:ascii="仿宋_GB2312" w:eastAsia="仿宋_GB2312"/>
          <w:sz w:val="32"/>
          <w:szCs w:val="32"/>
        </w:rPr>
        <w:t>0.00</w:t>
      </w:r>
      <w:r>
        <w:rPr>
          <w:rFonts w:hint="eastAsia" w:ascii="仿宋_GB2312" w:eastAsia="仿宋_GB2312"/>
          <w:sz w:val="32"/>
          <w:szCs w:val="32"/>
        </w:rPr>
        <w:t>万元、政府采购服务支出</w:t>
      </w:r>
      <w:r>
        <w:rPr>
          <w:rFonts w:ascii="仿宋_GB2312" w:eastAsia="仿宋_GB2312"/>
          <w:sz w:val="32"/>
          <w:szCs w:val="32"/>
        </w:rPr>
        <w:t>0.00</w:t>
      </w:r>
      <w:r>
        <w:rPr>
          <w:rFonts w:hint="eastAsia" w:ascii="仿宋_GB2312" w:eastAsia="仿宋_GB2312"/>
          <w:sz w:val="32"/>
          <w:szCs w:val="32"/>
        </w:rPr>
        <w:t>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w:t>
      </w:r>
      <w:r>
        <w:rPr>
          <w:rFonts w:ascii="仿宋_GB2312" w:eastAsia="仿宋_GB2312"/>
          <w:sz w:val="32"/>
          <w:szCs w:val="32"/>
        </w:rPr>
        <w:t>0.00</w:t>
      </w:r>
      <w:r>
        <w:rPr>
          <w:rFonts w:hint="eastAsia" w:ascii="仿宋_GB2312" w:eastAsia="仿宋_GB2312"/>
          <w:sz w:val="32"/>
          <w:szCs w:val="32"/>
        </w:rPr>
        <w:t>万元，占政府采购支出总额的</w:t>
      </w:r>
      <w:r>
        <w:rPr>
          <w:rFonts w:ascii="仿宋_GB2312" w:eastAsia="仿宋_GB2312"/>
          <w:sz w:val="32"/>
          <w:szCs w:val="32"/>
        </w:rPr>
        <w:t>0.00</w:t>
      </w:r>
      <w:r>
        <w:rPr>
          <w:rFonts w:hint="eastAsia" w:ascii="仿宋_GB2312" w:eastAsia="仿宋_GB2312"/>
          <w:sz w:val="32"/>
          <w:szCs w:val="32"/>
        </w:rPr>
        <w:t>%，其中：授予小微企业合同金额</w:t>
      </w:r>
      <w:r>
        <w:rPr>
          <w:rFonts w:ascii="仿宋_GB2312" w:eastAsia="仿宋_GB2312"/>
          <w:sz w:val="32"/>
          <w:szCs w:val="32"/>
        </w:rPr>
        <w:t>0.00</w:t>
      </w:r>
      <w:r>
        <w:rPr>
          <w:rFonts w:hint="eastAsia" w:ascii="仿宋_GB2312" w:eastAsia="仿宋_GB2312"/>
          <w:sz w:val="32"/>
          <w:szCs w:val="32"/>
        </w:rPr>
        <w:t>万元，占政府采购支出总额的</w:t>
      </w:r>
      <w:r>
        <w:rPr>
          <w:rFonts w:ascii="仿宋_GB2312" w:eastAsia="仿宋_GB2312"/>
          <w:sz w:val="32"/>
          <w:szCs w:val="32"/>
        </w:rPr>
        <w:t>0.00</w:t>
      </w:r>
      <w:r>
        <w:rPr>
          <w:rFonts w:hint="eastAsia" w:ascii="仿宋_GB2312" w:eastAsia="仿宋_GB2312"/>
          <w:sz w:val="32"/>
          <w:szCs w:val="32"/>
        </w:rPr>
        <w:t>%。</w:t>
      </w:r>
    </w:p>
    <w:p>
      <w:pPr>
        <w:ind w:firstLine="640" w:firstLineChars="200"/>
        <w:outlineLvl w:val="2"/>
        <w:rPr>
          <w:rFonts w:ascii="黑体" w:hAnsi="黑体" w:eastAsia="黑体"/>
          <w:sz w:val="32"/>
          <w:szCs w:val="32"/>
        </w:rPr>
      </w:pPr>
      <w:bookmarkStart w:id="30" w:name="_Toc8391"/>
      <w:bookmarkStart w:id="31" w:name="_Toc4591"/>
      <w:r>
        <w:rPr>
          <w:rFonts w:hint="eastAsia" w:ascii="黑体" w:hAnsi="黑体" w:eastAsia="黑体"/>
          <w:sz w:val="32"/>
          <w:szCs w:val="32"/>
        </w:rPr>
        <w:t>（三）国有资产占用情况说明</w:t>
      </w:r>
      <w:bookmarkEnd w:id="30"/>
      <w:bookmarkEnd w:id="31"/>
    </w:p>
    <w:p>
      <w:pPr>
        <w:ind w:firstLine="640" w:firstLineChars="200"/>
        <w:rPr>
          <w:rFonts w:ascii="仿宋_GB2312" w:eastAsia="仿宋_GB2312"/>
          <w:sz w:val="32"/>
          <w:szCs w:val="32"/>
        </w:rPr>
      </w:pPr>
      <w:r>
        <w:rPr>
          <w:rFonts w:hint="eastAsia" w:ascii="仿宋_GB2312" w:eastAsia="仿宋_GB2312"/>
          <w:sz w:val="32"/>
          <w:szCs w:val="32"/>
        </w:rPr>
        <w:t>截止2021年12月31日，单位共有房屋</w:t>
      </w:r>
      <w:r>
        <w:rPr>
          <w:rFonts w:ascii="仿宋_GB2312" w:eastAsia="仿宋_GB2312"/>
          <w:sz w:val="32"/>
          <w:szCs w:val="32"/>
        </w:rPr>
        <w:t>0.00</w:t>
      </w:r>
      <w:r>
        <w:rPr>
          <w:rFonts w:hint="eastAsia" w:ascii="仿宋_GB2312" w:eastAsia="仿宋_GB2312"/>
          <w:sz w:val="32"/>
          <w:szCs w:val="32"/>
        </w:rPr>
        <w:t>（平方米），价值</w:t>
      </w:r>
      <w:r>
        <w:rPr>
          <w:rFonts w:ascii="仿宋_GB2312" w:eastAsia="仿宋_GB2312"/>
          <w:sz w:val="32"/>
          <w:szCs w:val="32"/>
        </w:rPr>
        <w:t>0.00</w:t>
      </w:r>
      <w:r>
        <w:rPr>
          <w:rFonts w:hint="eastAsia" w:ascii="仿宋_GB2312" w:eastAsia="仿宋_GB2312"/>
          <w:sz w:val="32"/>
          <w:szCs w:val="32"/>
        </w:rPr>
        <w:t>万元。车辆</w:t>
      </w:r>
      <w:r>
        <w:rPr>
          <w:rFonts w:ascii="仿宋_GB2312" w:eastAsia="仿宋_GB2312"/>
          <w:sz w:val="32"/>
          <w:szCs w:val="32"/>
        </w:rPr>
        <w:t>1</w:t>
      </w:r>
      <w:r>
        <w:rPr>
          <w:rFonts w:hint="eastAsia" w:ascii="仿宋_GB2312" w:eastAsia="仿宋_GB2312"/>
          <w:sz w:val="32"/>
          <w:szCs w:val="32"/>
        </w:rPr>
        <w:t>辆，价值</w:t>
      </w:r>
      <w:r>
        <w:rPr>
          <w:rFonts w:ascii="仿宋_GB2312" w:eastAsia="仿宋_GB2312"/>
          <w:sz w:val="32"/>
          <w:szCs w:val="32"/>
        </w:rPr>
        <w:t>28.80</w:t>
      </w:r>
      <w:r>
        <w:rPr>
          <w:rFonts w:hint="eastAsia" w:ascii="仿宋_GB2312" w:eastAsia="仿宋_GB2312"/>
          <w:sz w:val="32"/>
          <w:szCs w:val="32"/>
        </w:rPr>
        <w:t>万元，其中：副部（省）级及以上领导用车0辆、主要领导干部用车0辆、机要通信用车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辆、执法执勤用车</w:t>
      </w:r>
      <w:r>
        <w:rPr>
          <w:rFonts w:ascii="仿宋_GB2312" w:eastAsia="仿宋_GB2312"/>
          <w:sz w:val="32"/>
          <w:szCs w:val="32"/>
        </w:rPr>
        <w:t>0</w:t>
      </w:r>
      <w:r>
        <w:rPr>
          <w:rFonts w:hint="eastAsia" w:ascii="仿宋_GB2312" w:eastAsia="仿宋_GB2312"/>
          <w:sz w:val="32"/>
          <w:szCs w:val="32"/>
        </w:rPr>
        <w:t>辆、特种专业技术用车</w:t>
      </w:r>
      <w:r>
        <w:rPr>
          <w:rFonts w:ascii="仿宋_GB2312" w:eastAsia="仿宋_GB2312"/>
          <w:sz w:val="32"/>
          <w:szCs w:val="32"/>
        </w:rPr>
        <w:t>0</w:t>
      </w:r>
      <w:r>
        <w:rPr>
          <w:rFonts w:hint="eastAsia" w:ascii="仿宋_GB2312" w:eastAsia="仿宋_GB2312"/>
          <w:sz w:val="32"/>
          <w:szCs w:val="32"/>
        </w:rPr>
        <w:t>辆、离退休干部用车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1</w:t>
      </w:r>
      <w:r>
        <w:rPr>
          <w:rFonts w:hint="eastAsia" w:ascii="仿宋_GB2312" w:eastAsia="仿宋_GB2312"/>
          <w:sz w:val="32"/>
          <w:szCs w:val="32"/>
        </w:rPr>
        <w:t>辆，其他用车主要是：我单位的救护车；单位价值50万元以上通用设备</w:t>
      </w:r>
      <w:r>
        <w:rPr>
          <w:rFonts w:ascii="仿宋_GB2312" w:eastAsia="仿宋_GB2312"/>
          <w:sz w:val="32"/>
          <w:szCs w:val="32"/>
        </w:rPr>
        <w:t>0</w:t>
      </w:r>
      <w:r>
        <w:rPr>
          <w:rFonts w:hint="eastAsia" w:ascii="仿宋_GB2312" w:eastAsia="仿宋_GB2312"/>
          <w:sz w:val="32"/>
          <w:szCs w:val="32"/>
        </w:rPr>
        <w:t>台（套）、单位价值100万元以上专用设备</w:t>
      </w:r>
      <w:r>
        <w:rPr>
          <w:rFonts w:ascii="仿宋_GB2312" w:eastAsia="仿宋_GB2312"/>
          <w:sz w:val="32"/>
          <w:szCs w:val="32"/>
        </w:rPr>
        <w:t>0</w:t>
      </w:r>
      <w:r>
        <w:rPr>
          <w:rFonts w:hint="eastAsia" w:ascii="仿宋_GB2312" w:eastAsia="仿宋_GB2312"/>
          <w:sz w:val="32"/>
          <w:szCs w:val="32"/>
        </w:rPr>
        <w:t>台（套）。</w:t>
      </w:r>
    </w:p>
    <w:p>
      <w:pPr>
        <w:ind w:firstLine="640" w:firstLineChars="200"/>
        <w:outlineLvl w:val="1"/>
        <w:rPr>
          <w:rFonts w:ascii="黑体" w:hAnsi="黑体" w:eastAsia="黑体" w:cs="宋体"/>
          <w:bCs/>
          <w:kern w:val="0"/>
          <w:sz w:val="32"/>
          <w:szCs w:val="32"/>
        </w:rPr>
      </w:pPr>
      <w:bookmarkStart w:id="32" w:name="_Toc435"/>
      <w:bookmarkStart w:id="33" w:name="_Toc11283"/>
      <w:r>
        <w:rPr>
          <w:rFonts w:hint="eastAsia" w:ascii="黑体" w:hAnsi="黑体" w:eastAsia="黑体" w:cs="宋体"/>
          <w:bCs/>
          <w:kern w:val="0"/>
          <w:sz w:val="32"/>
          <w:szCs w:val="32"/>
        </w:rPr>
        <w:t>十一、预算绩效的情况说明</w:t>
      </w:r>
      <w:bookmarkEnd w:id="32"/>
      <w:bookmarkEnd w:id="33"/>
    </w:p>
    <w:p>
      <w:pPr>
        <w:pStyle w:val="9"/>
        <w:widowControl/>
        <w:shd w:val="clear" w:color="auto" w:fill="FFFFFF"/>
        <w:ind w:firstLine="640" w:firstLineChars="200"/>
        <w:rPr>
          <w:rFonts w:hint="default" w:ascii="仿宋_GB2312" w:eastAsia="仿宋_GB2312"/>
          <w:sz w:val="32"/>
          <w:szCs w:val="32"/>
        </w:rPr>
      </w:pPr>
      <w:r>
        <w:rPr>
          <w:rFonts w:ascii="仿宋_GB2312" w:eastAsia="仿宋_GB2312"/>
          <w:sz w:val="32"/>
          <w:szCs w:val="32"/>
        </w:rPr>
        <w:t>根据预算绩效管理要求，我单位2021年度开展预算绩效评价项目0个，共涉及资金0万元。预算绩效管理取得的成效：我单位无预算绩效项目。发现的问题及原因：我单位无预算绩效项目。下一步改进措施：我单位无预算绩效项目。具体项目自评情况附项目支出绩效自评表。</w:t>
      </w:r>
    </w:p>
    <w:p>
      <w:pPr>
        <w:rPr>
          <w:rFonts w:ascii="仿宋_GB2312" w:eastAsia="仿宋_GB2312"/>
          <w:sz w:val="32"/>
          <w:szCs w:val="32"/>
        </w:rPr>
      </w:pPr>
      <w:r>
        <w:rPr>
          <w:rFonts w:ascii="仿宋_GB2312" w:eastAsia="仿宋_GB2312"/>
          <w:sz w:val="32"/>
          <w:szCs w:val="32"/>
        </w:rPr>
        <w:br w:type="page"/>
      </w:r>
    </w:p>
    <w:p>
      <w:pPr>
        <w:ind w:firstLine="640" w:firstLineChars="200"/>
        <w:jc w:val="center"/>
        <w:outlineLvl w:val="0"/>
        <w:rPr>
          <w:rFonts w:ascii="黑体" w:hAnsi="黑体" w:eastAsia="黑体"/>
          <w:sz w:val="32"/>
          <w:szCs w:val="32"/>
        </w:rPr>
      </w:pPr>
      <w:bookmarkStart w:id="34" w:name="_Toc3250"/>
      <w:bookmarkStart w:id="35" w:name="_Toc24143"/>
      <w:r>
        <w:rPr>
          <w:rFonts w:hint="eastAsia" w:ascii="黑体" w:hAnsi="黑体" w:eastAsia="黑体"/>
          <w:sz w:val="32"/>
          <w:szCs w:val="32"/>
        </w:rPr>
        <w:t>第三部分 专业名词解释</w:t>
      </w:r>
      <w:bookmarkEnd w:id="34"/>
      <w:bookmarkEnd w:id="35"/>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rPr>
          <w:rFonts w:ascii="黑体" w:hAnsi="黑体" w:eastAsia="黑体"/>
          <w:sz w:val="32"/>
          <w:szCs w:val="32"/>
        </w:rPr>
      </w:pPr>
      <w:bookmarkStart w:id="36" w:name="_Toc22784"/>
      <w:bookmarkStart w:id="37" w:name="_Toc28903"/>
      <w:r>
        <w:rPr>
          <w:rFonts w:hint="eastAsia" w:ascii="黑体" w:hAnsi="黑体" w:eastAsia="黑体"/>
          <w:sz w:val="32"/>
          <w:szCs w:val="32"/>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第四部分 部门决算报表（见附表）</w:t>
      </w:r>
      <w:bookmarkEnd w:id="36"/>
      <w:bookmarkEnd w:id="37"/>
    </w:p>
    <w:p>
      <w:pPr>
        <w:ind w:firstLine="640" w:firstLineChars="200"/>
        <w:outlineLvl w:val="1"/>
        <w:rPr>
          <w:rFonts w:ascii="黑体" w:hAnsi="黑体" w:eastAsia="黑体" w:cs="宋体"/>
          <w:bCs/>
          <w:kern w:val="0"/>
          <w:sz w:val="32"/>
          <w:szCs w:val="32"/>
        </w:rPr>
      </w:pPr>
      <w:bookmarkStart w:id="38" w:name="_Toc6062"/>
      <w:bookmarkStart w:id="39" w:name="_Toc2183"/>
      <w:r>
        <w:rPr>
          <w:rFonts w:hint="eastAsia" w:ascii="黑体" w:hAnsi="黑体" w:eastAsia="黑体" w:cs="宋体"/>
          <w:bCs/>
          <w:kern w:val="0"/>
          <w:sz w:val="32"/>
          <w:szCs w:val="32"/>
        </w:rPr>
        <w:t>一、《收入支出决算总表》</w:t>
      </w:r>
      <w:bookmarkEnd w:id="38"/>
      <w:bookmarkEnd w:id="39"/>
    </w:p>
    <w:p>
      <w:pPr>
        <w:ind w:firstLine="640" w:firstLineChars="200"/>
        <w:outlineLvl w:val="1"/>
        <w:rPr>
          <w:rFonts w:ascii="黑体" w:hAnsi="黑体" w:eastAsia="黑体" w:cs="宋体"/>
          <w:bCs/>
          <w:kern w:val="0"/>
          <w:sz w:val="32"/>
          <w:szCs w:val="32"/>
        </w:rPr>
      </w:pPr>
      <w:bookmarkStart w:id="40" w:name="_Toc24532"/>
      <w:bookmarkStart w:id="41" w:name="_Toc30364"/>
      <w:r>
        <w:rPr>
          <w:rFonts w:hint="eastAsia" w:ascii="黑体" w:hAnsi="黑体" w:eastAsia="黑体" w:cs="宋体"/>
          <w:bCs/>
          <w:kern w:val="0"/>
          <w:sz w:val="32"/>
          <w:szCs w:val="32"/>
        </w:rPr>
        <w:t>二、《收入决算表》</w:t>
      </w:r>
      <w:bookmarkEnd w:id="40"/>
      <w:bookmarkEnd w:id="41"/>
    </w:p>
    <w:p>
      <w:pPr>
        <w:ind w:firstLine="640" w:firstLineChars="200"/>
        <w:outlineLvl w:val="1"/>
        <w:rPr>
          <w:rFonts w:ascii="黑体" w:hAnsi="黑体" w:eastAsia="黑体" w:cs="宋体"/>
          <w:bCs/>
          <w:kern w:val="0"/>
          <w:sz w:val="32"/>
          <w:szCs w:val="32"/>
        </w:rPr>
      </w:pPr>
      <w:bookmarkStart w:id="42" w:name="_Toc32434"/>
      <w:bookmarkStart w:id="43" w:name="_Toc21304"/>
      <w:r>
        <w:rPr>
          <w:rFonts w:hint="eastAsia" w:ascii="黑体" w:hAnsi="黑体" w:eastAsia="黑体" w:cs="宋体"/>
          <w:bCs/>
          <w:kern w:val="0"/>
          <w:sz w:val="32"/>
          <w:szCs w:val="32"/>
        </w:rPr>
        <w:t>三、《支出决算表》</w:t>
      </w:r>
      <w:bookmarkEnd w:id="42"/>
      <w:bookmarkEnd w:id="43"/>
    </w:p>
    <w:p>
      <w:pPr>
        <w:ind w:firstLine="640" w:firstLineChars="200"/>
        <w:outlineLvl w:val="1"/>
        <w:rPr>
          <w:rFonts w:ascii="黑体" w:hAnsi="黑体" w:eastAsia="黑体" w:cs="宋体"/>
          <w:bCs/>
          <w:kern w:val="0"/>
          <w:sz w:val="32"/>
          <w:szCs w:val="32"/>
        </w:rPr>
      </w:pPr>
      <w:bookmarkStart w:id="44" w:name="_Toc14238"/>
      <w:bookmarkStart w:id="45" w:name="_Toc28786"/>
      <w:r>
        <w:rPr>
          <w:rFonts w:hint="eastAsia" w:ascii="黑体" w:hAnsi="黑体" w:eastAsia="黑体" w:cs="宋体"/>
          <w:bCs/>
          <w:kern w:val="0"/>
          <w:sz w:val="32"/>
          <w:szCs w:val="32"/>
        </w:rPr>
        <w:t>四、《财政拨款收入支出决算总表》</w:t>
      </w:r>
      <w:bookmarkEnd w:id="44"/>
      <w:bookmarkEnd w:id="45"/>
    </w:p>
    <w:p>
      <w:pPr>
        <w:ind w:firstLine="640" w:firstLineChars="200"/>
        <w:outlineLvl w:val="1"/>
        <w:rPr>
          <w:rFonts w:ascii="黑体" w:hAnsi="黑体" w:eastAsia="黑体" w:cs="宋体"/>
          <w:bCs/>
          <w:kern w:val="0"/>
          <w:sz w:val="32"/>
          <w:szCs w:val="32"/>
        </w:rPr>
      </w:pPr>
      <w:bookmarkStart w:id="46" w:name="_Toc10347"/>
      <w:bookmarkStart w:id="47" w:name="_Toc14869"/>
      <w:r>
        <w:rPr>
          <w:rFonts w:hint="eastAsia" w:ascii="黑体" w:hAnsi="黑体" w:eastAsia="黑体" w:cs="宋体"/>
          <w:bCs/>
          <w:kern w:val="0"/>
          <w:sz w:val="32"/>
          <w:szCs w:val="32"/>
        </w:rPr>
        <w:t>五、《一般公共预算财政拨款支出决算表》</w:t>
      </w:r>
      <w:bookmarkEnd w:id="46"/>
      <w:bookmarkEnd w:id="47"/>
    </w:p>
    <w:p>
      <w:pPr>
        <w:ind w:firstLine="640" w:firstLineChars="200"/>
        <w:outlineLvl w:val="1"/>
        <w:rPr>
          <w:rFonts w:ascii="黑体" w:hAnsi="黑体" w:eastAsia="黑体" w:cs="宋体"/>
          <w:bCs/>
          <w:kern w:val="0"/>
          <w:sz w:val="32"/>
          <w:szCs w:val="32"/>
        </w:rPr>
      </w:pPr>
      <w:bookmarkStart w:id="48" w:name="_Toc8884"/>
      <w:bookmarkStart w:id="49" w:name="_Toc5626"/>
      <w:r>
        <w:rPr>
          <w:rFonts w:hint="eastAsia" w:ascii="黑体" w:hAnsi="黑体" w:eastAsia="黑体" w:cs="宋体"/>
          <w:bCs/>
          <w:kern w:val="0"/>
          <w:sz w:val="32"/>
          <w:szCs w:val="32"/>
        </w:rPr>
        <w:t>六、《一般公共预算财政拨款基本支出决算表》</w:t>
      </w:r>
      <w:bookmarkEnd w:id="48"/>
      <w:bookmarkEnd w:id="49"/>
    </w:p>
    <w:p>
      <w:pPr>
        <w:ind w:firstLine="640" w:firstLineChars="200"/>
        <w:outlineLvl w:val="1"/>
        <w:rPr>
          <w:rFonts w:ascii="黑体" w:hAnsi="黑体" w:eastAsia="黑体" w:cs="宋体"/>
          <w:bCs/>
          <w:kern w:val="0"/>
          <w:sz w:val="32"/>
          <w:szCs w:val="32"/>
        </w:rPr>
      </w:pPr>
      <w:bookmarkStart w:id="50" w:name="_Toc29106"/>
      <w:bookmarkStart w:id="51" w:name="_Toc32663"/>
      <w:r>
        <w:rPr>
          <w:rFonts w:hint="eastAsia" w:ascii="黑体" w:hAnsi="黑体" w:eastAsia="黑体" w:cs="宋体"/>
          <w:bCs/>
          <w:kern w:val="0"/>
          <w:sz w:val="32"/>
          <w:szCs w:val="32"/>
        </w:rPr>
        <w:t>七、《一般公共预算财政拨款“三公”经费支出决算表》</w:t>
      </w:r>
      <w:bookmarkEnd w:id="50"/>
      <w:bookmarkEnd w:id="51"/>
    </w:p>
    <w:p>
      <w:pPr>
        <w:ind w:firstLine="640" w:firstLineChars="200"/>
        <w:outlineLvl w:val="1"/>
        <w:rPr>
          <w:rFonts w:ascii="黑体" w:hAnsi="黑体" w:eastAsia="黑体" w:cs="宋体"/>
          <w:bCs/>
          <w:kern w:val="0"/>
          <w:sz w:val="32"/>
          <w:szCs w:val="32"/>
        </w:rPr>
      </w:pPr>
      <w:bookmarkStart w:id="52" w:name="_Toc7643"/>
      <w:bookmarkStart w:id="53" w:name="_Toc5453"/>
      <w:r>
        <w:rPr>
          <w:rFonts w:hint="eastAsia" w:ascii="黑体" w:hAnsi="黑体" w:eastAsia="黑体" w:cs="宋体"/>
          <w:bCs/>
          <w:kern w:val="0"/>
          <w:sz w:val="32"/>
          <w:szCs w:val="32"/>
        </w:rPr>
        <w:t>八、《政府性基金预算财政拨款收入支出决算表》</w:t>
      </w:r>
      <w:bookmarkEnd w:id="52"/>
      <w:bookmarkEnd w:id="53"/>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九、《国有资本经营预算财政拨款收入支出决算表》</w:t>
      </w:r>
    </w:p>
    <w:bookmarkEnd w:id="0"/>
    <w:p>
      <w:pPr>
        <w:ind w:firstLine="640" w:firstLineChars="200"/>
        <w:outlineLvl w:val="1"/>
        <w:rPr>
          <w:rFonts w:ascii="黑体" w:hAnsi="黑体" w:eastAsia="黑体" w:cs="宋体"/>
          <w:bCs/>
          <w:kern w:val="0"/>
          <w:sz w:val="32"/>
          <w:szCs w:val="32"/>
        </w:rPr>
      </w:pPr>
    </w:p>
    <w:p/>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Arial Unicode MS"/>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lang w:bidi="ug-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wps:txbx>
                    <wps:bodyPr vert="horz" wrap="none" lIns="0" tIns="0" rIns="0" bIns="0" anchor="t">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BPOpCYwwEAAG0DAAAOAAAAAAAAAAEAIAAAAB4BAABkcnMvZTJvRG9jLnhtbFBL&#10;BQYAAAAABgAGAFkBAABTBQAAAAA=&#10;">
              <v:fill on="f" focussize="0,0"/>
              <v:stroke on="f"/>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E0NmYxM2JiY2ZmNTY4NjgyYzY1ZDIyZTY4NjRhYzQifQ=="/>
  </w:docVars>
  <w:rsids>
    <w:rsidRoot w:val="006B7B8C"/>
    <w:rsid w:val="00014AAB"/>
    <w:rsid w:val="00015801"/>
    <w:rsid w:val="0002486D"/>
    <w:rsid w:val="00062388"/>
    <w:rsid w:val="000731DE"/>
    <w:rsid w:val="00082B96"/>
    <w:rsid w:val="000874C6"/>
    <w:rsid w:val="00091D32"/>
    <w:rsid w:val="000B3F65"/>
    <w:rsid w:val="000B4DF4"/>
    <w:rsid w:val="000B597A"/>
    <w:rsid w:val="000C0611"/>
    <w:rsid w:val="000C72B8"/>
    <w:rsid w:val="000F13FC"/>
    <w:rsid w:val="000F1BC6"/>
    <w:rsid w:val="000F7D1A"/>
    <w:rsid w:val="00100F46"/>
    <w:rsid w:val="001114DC"/>
    <w:rsid w:val="001221DB"/>
    <w:rsid w:val="001224FB"/>
    <w:rsid w:val="001433D9"/>
    <w:rsid w:val="00147345"/>
    <w:rsid w:val="00157386"/>
    <w:rsid w:val="00176B00"/>
    <w:rsid w:val="001A140F"/>
    <w:rsid w:val="001A52AF"/>
    <w:rsid w:val="001C2440"/>
    <w:rsid w:val="001C44B0"/>
    <w:rsid w:val="00207BE8"/>
    <w:rsid w:val="002120BB"/>
    <w:rsid w:val="002548C8"/>
    <w:rsid w:val="00272419"/>
    <w:rsid w:val="003028E1"/>
    <w:rsid w:val="00302A04"/>
    <w:rsid w:val="00312652"/>
    <w:rsid w:val="00345A42"/>
    <w:rsid w:val="0035250E"/>
    <w:rsid w:val="00353DD9"/>
    <w:rsid w:val="00362C48"/>
    <w:rsid w:val="0036666F"/>
    <w:rsid w:val="00370F5B"/>
    <w:rsid w:val="003824A3"/>
    <w:rsid w:val="00392A24"/>
    <w:rsid w:val="0039326B"/>
    <w:rsid w:val="00395F5C"/>
    <w:rsid w:val="003A65AE"/>
    <w:rsid w:val="003C4475"/>
    <w:rsid w:val="003C4518"/>
    <w:rsid w:val="003C5962"/>
    <w:rsid w:val="003D230A"/>
    <w:rsid w:val="003D381A"/>
    <w:rsid w:val="003D4CE8"/>
    <w:rsid w:val="004078AA"/>
    <w:rsid w:val="00420161"/>
    <w:rsid w:val="00464FAC"/>
    <w:rsid w:val="00480271"/>
    <w:rsid w:val="00487954"/>
    <w:rsid w:val="00495F92"/>
    <w:rsid w:val="004971F0"/>
    <w:rsid w:val="004B241A"/>
    <w:rsid w:val="004B2827"/>
    <w:rsid w:val="004B4550"/>
    <w:rsid w:val="004C036C"/>
    <w:rsid w:val="004C7698"/>
    <w:rsid w:val="004D5A4F"/>
    <w:rsid w:val="004E5240"/>
    <w:rsid w:val="004E7075"/>
    <w:rsid w:val="00511EF6"/>
    <w:rsid w:val="005266C7"/>
    <w:rsid w:val="00536589"/>
    <w:rsid w:val="005609AE"/>
    <w:rsid w:val="00565E92"/>
    <w:rsid w:val="00573DA1"/>
    <w:rsid w:val="00577003"/>
    <w:rsid w:val="00581BC9"/>
    <w:rsid w:val="0058594B"/>
    <w:rsid w:val="00597053"/>
    <w:rsid w:val="005B4B49"/>
    <w:rsid w:val="005D0449"/>
    <w:rsid w:val="005D2934"/>
    <w:rsid w:val="005D3D72"/>
    <w:rsid w:val="005D54E8"/>
    <w:rsid w:val="005D6482"/>
    <w:rsid w:val="005F26BE"/>
    <w:rsid w:val="00610E0F"/>
    <w:rsid w:val="006113E2"/>
    <w:rsid w:val="00624982"/>
    <w:rsid w:val="00625F2E"/>
    <w:rsid w:val="006505E8"/>
    <w:rsid w:val="00656A89"/>
    <w:rsid w:val="006612DA"/>
    <w:rsid w:val="00677EE6"/>
    <w:rsid w:val="006B25BA"/>
    <w:rsid w:val="006B5D26"/>
    <w:rsid w:val="006B7089"/>
    <w:rsid w:val="006B7147"/>
    <w:rsid w:val="006B7779"/>
    <w:rsid w:val="006B7B8C"/>
    <w:rsid w:val="006C09CD"/>
    <w:rsid w:val="006C6123"/>
    <w:rsid w:val="007002F4"/>
    <w:rsid w:val="0072647E"/>
    <w:rsid w:val="00730D0A"/>
    <w:rsid w:val="00753BF6"/>
    <w:rsid w:val="007718CB"/>
    <w:rsid w:val="0077373D"/>
    <w:rsid w:val="00773C57"/>
    <w:rsid w:val="00793611"/>
    <w:rsid w:val="007B5171"/>
    <w:rsid w:val="007E51A8"/>
    <w:rsid w:val="007F1677"/>
    <w:rsid w:val="008060FF"/>
    <w:rsid w:val="00817497"/>
    <w:rsid w:val="00820F01"/>
    <w:rsid w:val="00833A8D"/>
    <w:rsid w:val="00844A1B"/>
    <w:rsid w:val="00862C15"/>
    <w:rsid w:val="00866D2C"/>
    <w:rsid w:val="008936FD"/>
    <w:rsid w:val="008B0283"/>
    <w:rsid w:val="008B08E2"/>
    <w:rsid w:val="008C5CF1"/>
    <w:rsid w:val="008E1BC7"/>
    <w:rsid w:val="008E3821"/>
    <w:rsid w:val="008E6109"/>
    <w:rsid w:val="008E6A5A"/>
    <w:rsid w:val="00914AAA"/>
    <w:rsid w:val="00920BB9"/>
    <w:rsid w:val="00937335"/>
    <w:rsid w:val="00972E47"/>
    <w:rsid w:val="00984899"/>
    <w:rsid w:val="009848D4"/>
    <w:rsid w:val="009B30F0"/>
    <w:rsid w:val="009B32AE"/>
    <w:rsid w:val="009C6ACE"/>
    <w:rsid w:val="009E66FE"/>
    <w:rsid w:val="00A01F1F"/>
    <w:rsid w:val="00A04806"/>
    <w:rsid w:val="00A07771"/>
    <w:rsid w:val="00A337C0"/>
    <w:rsid w:val="00A45B04"/>
    <w:rsid w:val="00A830BA"/>
    <w:rsid w:val="00A851E1"/>
    <w:rsid w:val="00AD0C57"/>
    <w:rsid w:val="00AD0ECD"/>
    <w:rsid w:val="00AD3E2A"/>
    <w:rsid w:val="00AD75AE"/>
    <w:rsid w:val="00AE710B"/>
    <w:rsid w:val="00B14642"/>
    <w:rsid w:val="00B223C7"/>
    <w:rsid w:val="00B3137B"/>
    <w:rsid w:val="00B323EA"/>
    <w:rsid w:val="00B32435"/>
    <w:rsid w:val="00B55170"/>
    <w:rsid w:val="00B81749"/>
    <w:rsid w:val="00B82BD1"/>
    <w:rsid w:val="00B82F2C"/>
    <w:rsid w:val="00BC404C"/>
    <w:rsid w:val="00BD11BA"/>
    <w:rsid w:val="00BD1A9F"/>
    <w:rsid w:val="00BF043E"/>
    <w:rsid w:val="00BF382F"/>
    <w:rsid w:val="00BF59D3"/>
    <w:rsid w:val="00C0134C"/>
    <w:rsid w:val="00C0510A"/>
    <w:rsid w:val="00C14826"/>
    <w:rsid w:val="00C274DD"/>
    <w:rsid w:val="00C312EC"/>
    <w:rsid w:val="00C4109C"/>
    <w:rsid w:val="00C65082"/>
    <w:rsid w:val="00C67079"/>
    <w:rsid w:val="00CA4926"/>
    <w:rsid w:val="00CB467D"/>
    <w:rsid w:val="00CC4A46"/>
    <w:rsid w:val="00CD75DB"/>
    <w:rsid w:val="00CF2197"/>
    <w:rsid w:val="00D00715"/>
    <w:rsid w:val="00D060F1"/>
    <w:rsid w:val="00D13254"/>
    <w:rsid w:val="00D20143"/>
    <w:rsid w:val="00D218B2"/>
    <w:rsid w:val="00D26864"/>
    <w:rsid w:val="00D26E58"/>
    <w:rsid w:val="00D27269"/>
    <w:rsid w:val="00D44942"/>
    <w:rsid w:val="00D548CB"/>
    <w:rsid w:val="00D65A9C"/>
    <w:rsid w:val="00D706DB"/>
    <w:rsid w:val="00D8490F"/>
    <w:rsid w:val="00D97950"/>
    <w:rsid w:val="00DC09B1"/>
    <w:rsid w:val="00E00036"/>
    <w:rsid w:val="00E14CA4"/>
    <w:rsid w:val="00E23560"/>
    <w:rsid w:val="00E40C0B"/>
    <w:rsid w:val="00E429F1"/>
    <w:rsid w:val="00E434E9"/>
    <w:rsid w:val="00E8482F"/>
    <w:rsid w:val="00EC7E67"/>
    <w:rsid w:val="00F074B1"/>
    <w:rsid w:val="00F647BE"/>
    <w:rsid w:val="00F85377"/>
    <w:rsid w:val="00FA62CF"/>
    <w:rsid w:val="01D35DA3"/>
    <w:rsid w:val="02E743B6"/>
    <w:rsid w:val="02F1741B"/>
    <w:rsid w:val="04911B11"/>
    <w:rsid w:val="052035FD"/>
    <w:rsid w:val="05AF70DB"/>
    <w:rsid w:val="06792773"/>
    <w:rsid w:val="06FD057C"/>
    <w:rsid w:val="0742534E"/>
    <w:rsid w:val="08B509AF"/>
    <w:rsid w:val="08E75997"/>
    <w:rsid w:val="09E12A64"/>
    <w:rsid w:val="0AF87F94"/>
    <w:rsid w:val="0B835865"/>
    <w:rsid w:val="0BF6540F"/>
    <w:rsid w:val="0C7227A7"/>
    <w:rsid w:val="0C801B16"/>
    <w:rsid w:val="0D1E33E4"/>
    <w:rsid w:val="0DAA21EE"/>
    <w:rsid w:val="0FA7589A"/>
    <w:rsid w:val="102C6852"/>
    <w:rsid w:val="1081433D"/>
    <w:rsid w:val="12D3520E"/>
    <w:rsid w:val="1396784F"/>
    <w:rsid w:val="13EC0B8A"/>
    <w:rsid w:val="14EB6229"/>
    <w:rsid w:val="155C65A7"/>
    <w:rsid w:val="15E95753"/>
    <w:rsid w:val="16B23114"/>
    <w:rsid w:val="16F045F9"/>
    <w:rsid w:val="176E6CF3"/>
    <w:rsid w:val="17C618A3"/>
    <w:rsid w:val="185F4F4D"/>
    <w:rsid w:val="193D4B9E"/>
    <w:rsid w:val="19866949"/>
    <w:rsid w:val="1AB53770"/>
    <w:rsid w:val="1B4E62E5"/>
    <w:rsid w:val="1C666C77"/>
    <w:rsid w:val="1C8B4975"/>
    <w:rsid w:val="1C98798D"/>
    <w:rsid w:val="1D2D783E"/>
    <w:rsid w:val="1D9D4C68"/>
    <w:rsid w:val="1DAF458D"/>
    <w:rsid w:val="1E150A80"/>
    <w:rsid w:val="1EAA00AC"/>
    <w:rsid w:val="1FA73C1B"/>
    <w:rsid w:val="248B4C8F"/>
    <w:rsid w:val="258917FB"/>
    <w:rsid w:val="27AF63CE"/>
    <w:rsid w:val="27CF2642"/>
    <w:rsid w:val="28605A33"/>
    <w:rsid w:val="294E4805"/>
    <w:rsid w:val="29E96D83"/>
    <w:rsid w:val="29EC087F"/>
    <w:rsid w:val="2A053397"/>
    <w:rsid w:val="2ABE0B21"/>
    <w:rsid w:val="2B3A3AD8"/>
    <w:rsid w:val="2B9A33EE"/>
    <w:rsid w:val="2D1136DF"/>
    <w:rsid w:val="2DE716FC"/>
    <w:rsid w:val="2E59285E"/>
    <w:rsid w:val="2FD27414"/>
    <w:rsid w:val="31857BAC"/>
    <w:rsid w:val="31B5304E"/>
    <w:rsid w:val="31C63837"/>
    <w:rsid w:val="33206C0F"/>
    <w:rsid w:val="33BC32B4"/>
    <w:rsid w:val="3429669A"/>
    <w:rsid w:val="34965581"/>
    <w:rsid w:val="35C5793C"/>
    <w:rsid w:val="36325697"/>
    <w:rsid w:val="36E958BB"/>
    <w:rsid w:val="370D7281"/>
    <w:rsid w:val="38CB046A"/>
    <w:rsid w:val="3A643253"/>
    <w:rsid w:val="3B5D1933"/>
    <w:rsid w:val="3D1D5019"/>
    <w:rsid w:val="3D5275AC"/>
    <w:rsid w:val="3E1A76DD"/>
    <w:rsid w:val="3E2B7A03"/>
    <w:rsid w:val="3E9A7BA4"/>
    <w:rsid w:val="3F076061"/>
    <w:rsid w:val="3F6A08C0"/>
    <w:rsid w:val="455E1F7C"/>
    <w:rsid w:val="45897ADA"/>
    <w:rsid w:val="46901EEE"/>
    <w:rsid w:val="469C74D2"/>
    <w:rsid w:val="4784601B"/>
    <w:rsid w:val="48A52360"/>
    <w:rsid w:val="4902047E"/>
    <w:rsid w:val="4A7D4485"/>
    <w:rsid w:val="4C2E1A9B"/>
    <w:rsid w:val="4DE45AD9"/>
    <w:rsid w:val="4E11500F"/>
    <w:rsid w:val="4EEF1380"/>
    <w:rsid w:val="4F9D7B44"/>
    <w:rsid w:val="50DB5F45"/>
    <w:rsid w:val="512709C0"/>
    <w:rsid w:val="51DB4252"/>
    <w:rsid w:val="52314E57"/>
    <w:rsid w:val="523358A5"/>
    <w:rsid w:val="53350823"/>
    <w:rsid w:val="54054866"/>
    <w:rsid w:val="54F22EA5"/>
    <w:rsid w:val="55516A31"/>
    <w:rsid w:val="59444B98"/>
    <w:rsid w:val="59996596"/>
    <w:rsid w:val="5A8B468F"/>
    <w:rsid w:val="5C386C32"/>
    <w:rsid w:val="5D286D33"/>
    <w:rsid w:val="5D630BDE"/>
    <w:rsid w:val="5E8A0BA7"/>
    <w:rsid w:val="5FFF1C5A"/>
    <w:rsid w:val="61A46A97"/>
    <w:rsid w:val="64275BB0"/>
    <w:rsid w:val="64925820"/>
    <w:rsid w:val="6627325F"/>
    <w:rsid w:val="66D97AD9"/>
    <w:rsid w:val="66F72012"/>
    <w:rsid w:val="67623B14"/>
    <w:rsid w:val="68706FD2"/>
    <w:rsid w:val="69AD798C"/>
    <w:rsid w:val="69F01279"/>
    <w:rsid w:val="6B311CD9"/>
    <w:rsid w:val="6B68175F"/>
    <w:rsid w:val="6B8500AE"/>
    <w:rsid w:val="6C81696B"/>
    <w:rsid w:val="6D587ECB"/>
    <w:rsid w:val="6DE375B7"/>
    <w:rsid w:val="6F516C58"/>
    <w:rsid w:val="6FDFD92C"/>
    <w:rsid w:val="6FFF530B"/>
    <w:rsid w:val="70A609BC"/>
    <w:rsid w:val="73FB6630"/>
    <w:rsid w:val="74060C43"/>
    <w:rsid w:val="74947C20"/>
    <w:rsid w:val="761262E7"/>
    <w:rsid w:val="76416A32"/>
    <w:rsid w:val="77022DD9"/>
    <w:rsid w:val="77ED6F44"/>
    <w:rsid w:val="7D564DB2"/>
    <w:rsid w:val="7DF42720"/>
    <w:rsid w:val="7E6C6E77"/>
    <w:rsid w:val="7F726A00"/>
    <w:rsid w:val="7FB31F36"/>
    <w:rsid w:val="7FC0756C"/>
    <w:rsid w:val="7FC85347"/>
    <w:rsid w:val="BF5DD8AA"/>
    <w:rsid w:val="D3CF2FDB"/>
    <w:rsid w:val="FDFEE3F3"/>
    <w:rsid w:val="FFBF01E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Balloon Text"/>
    <w:basedOn w:val="1"/>
    <w:link w:val="16"/>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2">
    <w:name w:val="annotation reference"/>
    <w:basedOn w:val="11"/>
    <w:qFormat/>
    <w:uiPriority w:val="0"/>
    <w:rPr>
      <w:sz w:val="21"/>
      <w:szCs w:val="21"/>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ug-CN"/>
    </w:rPr>
  </w:style>
  <w:style w:type="paragraph" w:customStyle="1" w:styleId="14">
    <w:name w:val="WPSOffice手动目录 1"/>
    <w:qFormat/>
    <w:uiPriority w:val="0"/>
    <w:rPr>
      <w:rFonts w:ascii="Times New Roman" w:hAnsi="Times New Roman" w:eastAsia="宋体" w:cs="Times New Roman"/>
      <w:lang w:val="en-US" w:eastAsia="zh-CN" w:bidi="ug-CN"/>
    </w:rPr>
  </w:style>
  <w:style w:type="paragraph" w:customStyle="1" w:styleId="15">
    <w:name w:val="WPSOffice手动目录 3"/>
    <w:qFormat/>
    <w:uiPriority w:val="0"/>
    <w:pPr>
      <w:ind w:left="400" w:leftChars="400"/>
    </w:pPr>
    <w:rPr>
      <w:rFonts w:ascii="Times New Roman" w:hAnsi="Times New Roman" w:eastAsia="宋体" w:cs="Times New Roman"/>
      <w:lang w:val="en-US" w:eastAsia="zh-CN" w:bidi="ug-CN"/>
    </w:rPr>
  </w:style>
  <w:style w:type="character" w:customStyle="1" w:styleId="16">
    <w:name w:val="批注框文本 字符"/>
    <w:basedOn w:val="11"/>
    <w:link w:val="4"/>
    <w:qFormat/>
    <w:uiPriority w:val="0"/>
    <w:rPr>
      <w:kern w:val="2"/>
      <w:sz w:val="18"/>
      <w:szCs w:val="18"/>
      <w:lang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BEECE7-2313-41ED-AECA-605B6CADA371}">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13</Pages>
  <Words>4053</Words>
  <Characters>4489</Characters>
  <Lines>59</Lines>
  <Paragraphs>16</Paragraphs>
  <TotalTime>28</TotalTime>
  <ScaleCrop>false</ScaleCrop>
  <LinksUpToDate>false</LinksUpToDate>
  <CharactersWithSpaces>4499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2014-10-31T04:08:00Z</dcterms:created>
  <dc:creator>GXR</dc:creator>
  <cp:lastModifiedBy>Administrator</cp:lastModifiedBy>
  <dcterms:modified xsi:type="dcterms:W3CDTF">2023-08-10T09:50:11Z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59D8F543E4BF4B5F9BA261246CAB409B</vt:lpwstr>
  </property>
</Properties>
</file>