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新疆喀什地区叶城县棋盘乡卫生院2021年度部门决算公开说明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新疆喀什地区叶城县棋盘乡卫生院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28</w:t>
      </w:r>
      <w:r>
        <w:rPr>
          <w:rFonts w:hint="eastAsia" w:ascii="仿宋_GB2312" w:eastAsia="仿宋_GB2312"/>
          <w:sz w:val="32"/>
          <w:szCs w:val="32"/>
        </w:rPr>
        <w:t>人，其中：在职人员</w:t>
      </w:r>
      <w:r>
        <w:rPr>
          <w:rFonts w:ascii="仿宋_GB2312" w:eastAsia="仿宋_GB2312"/>
          <w:sz w:val="32"/>
          <w:szCs w:val="32"/>
        </w:rPr>
        <w:t>23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5</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从部门决算单位构成看，新疆喀什地区叶城县棋盘乡卫生院部门决算包括：新疆喀什地区叶城县棋盘乡卫生院决算。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个处室，分别是：门诊部、住院部、检验科、财务科、体检科、公共卫生科、妇幼保健科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493.34</w:t>
      </w:r>
      <w:r>
        <w:rPr>
          <w:rFonts w:hint="eastAsia" w:ascii="仿宋_GB2312" w:eastAsia="仿宋_GB2312"/>
          <w:sz w:val="32"/>
          <w:szCs w:val="32"/>
        </w:rPr>
        <w:t>万元，与上年相比，增加33.96万元，</w:t>
      </w:r>
      <w:r>
        <w:rPr>
          <w:rFonts w:ascii="仿宋_GB2312" w:eastAsia="仿宋_GB2312"/>
          <w:sz w:val="32"/>
          <w:szCs w:val="32"/>
        </w:rPr>
        <w:t>增长7.39</w:t>
      </w:r>
      <w:r>
        <w:rPr>
          <w:rFonts w:hint="eastAsia" w:ascii="仿宋_GB2312" w:eastAsia="仿宋_GB2312"/>
          <w:sz w:val="32"/>
          <w:szCs w:val="32"/>
        </w:rPr>
        <w:t>%，主要原因是：人员工资调增，人员经费增加。本年支出</w:t>
      </w:r>
      <w:r>
        <w:rPr>
          <w:rFonts w:ascii="仿宋_GB2312" w:eastAsia="仿宋_GB2312"/>
          <w:sz w:val="32"/>
          <w:szCs w:val="32"/>
        </w:rPr>
        <w:t>493.34</w:t>
      </w:r>
      <w:r>
        <w:rPr>
          <w:rFonts w:hint="eastAsia" w:ascii="仿宋_GB2312" w:eastAsia="仿宋_GB2312"/>
          <w:sz w:val="32"/>
          <w:szCs w:val="32"/>
        </w:rPr>
        <w:t>万元，与上年相比，</w:t>
      </w:r>
      <w:r>
        <w:rPr>
          <w:rFonts w:ascii="仿宋_GB2312" w:eastAsia="仿宋_GB2312"/>
          <w:sz w:val="32"/>
          <w:szCs w:val="32"/>
        </w:rPr>
        <w:t>增加33.96</w:t>
      </w:r>
      <w:r>
        <w:rPr>
          <w:rFonts w:hint="eastAsia" w:ascii="仿宋_GB2312" w:eastAsia="仿宋_GB2312"/>
          <w:sz w:val="32"/>
          <w:szCs w:val="32"/>
        </w:rPr>
        <w:t>万元，</w:t>
      </w:r>
      <w:r>
        <w:rPr>
          <w:rFonts w:ascii="仿宋_GB2312" w:eastAsia="仿宋_GB2312"/>
          <w:sz w:val="32"/>
          <w:szCs w:val="32"/>
        </w:rPr>
        <w:t>增长7.39</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493.34</w:t>
      </w:r>
      <w:r>
        <w:rPr>
          <w:rFonts w:hint="eastAsia" w:ascii="仿宋_GB2312" w:eastAsia="仿宋_GB2312"/>
          <w:sz w:val="32"/>
          <w:szCs w:val="32"/>
        </w:rPr>
        <w:t>万元，其中：财政拨款收入</w:t>
      </w:r>
      <w:r>
        <w:rPr>
          <w:rFonts w:ascii="仿宋_GB2312" w:eastAsia="仿宋_GB2312"/>
          <w:sz w:val="32"/>
          <w:szCs w:val="32"/>
        </w:rPr>
        <w:t>491.02</w:t>
      </w:r>
      <w:r>
        <w:rPr>
          <w:rFonts w:hint="eastAsia" w:ascii="仿宋_GB2312" w:eastAsia="仿宋_GB2312"/>
          <w:sz w:val="32"/>
          <w:szCs w:val="32"/>
        </w:rPr>
        <w:t>万元，占99.53%；上级补助收入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2.32</w:t>
      </w:r>
      <w:r>
        <w:rPr>
          <w:rFonts w:hint="eastAsia" w:ascii="仿宋_GB2312" w:eastAsia="仿宋_GB2312"/>
          <w:sz w:val="32"/>
          <w:szCs w:val="32"/>
        </w:rPr>
        <w:t>万元，占0.47%；经营收入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年度本年支出493.34万元，其中：基本支出</w:t>
      </w:r>
      <w:r>
        <w:rPr>
          <w:rFonts w:ascii="仿宋_GB2312" w:eastAsia="仿宋_GB2312"/>
          <w:sz w:val="32"/>
          <w:szCs w:val="32"/>
        </w:rPr>
        <w:t>412.28</w:t>
      </w:r>
      <w:r>
        <w:rPr>
          <w:rFonts w:hint="eastAsia" w:ascii="仿宋_GB2312" w:eastAsia="仿宋_GB2312"/>
          <w:sz w:val="32"/>
          <w:szCs w:val="32"/>
        </w:rPr>
        <w:t>万元，占83.57%；项目支出</w:t>
      </w:r>
      <w:r>
        <w:rPr>
          <w:rFonts w:ascii="仿宋_GB2312" w:eastAsia="仿宋_GB2312"/>
          <w:sz w:val="32"/>
          <w:szCs w:val="32"/>
        </w:rPr>
        <w:t>81.05</w:t>
      </w:r>
      <w:r>
        <w:rPr>
          <w:rFonts w:hint="eastAsia" w:ascii="仿宋_GB2312" w:eastAsia="仿宋_GB2312"/>
          <w:sz w:val="32"/>
          <w:szCs w:val="32"/>
        </w:rPr>
        <w:t>万元，占16.43%；上缴上级支出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491.02万元，与上年相比，增加120.38万元，增长32.48%，主要原因是：人员工资调增，人员经费增加；增加乡镇卫生院业务工作经费。财政拨款支出491.02万元，与上年相比，增加120.38万元，增长32.48%，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373.82</w:t>
      </w:r>
      <w:r>
        <w:rPr>
          <w:rFonts w:hint="eastAsia" w:ascii="仿宋_GB2312" w:eastAsia="仿宋_GB2312"/>
          <w:sz w:val="32"/>
          <w:szCs w:val="32"/>
        </w:rPr>
        <w:t>万元，决算数</w:t>
      </w:r>
      <w:r>
        <w:rPr>
          <w:rFonts w:ascii="仿宋_GB2312" w:eastAsia="仿宋_GB2312"/>
          <w:sz w:val="32"/>
          <w:szCs w:val="32"/>
        </w:rPr>
        <w:t>491.02</w:t>
      </w:r>
      <w:r>
        <w:rPr>
          <w:rFonts w:hint="eastAsia" w:ascii="仿宋_GB2312" w:eastAsia="仿宋_GB2312"/>
          <w:sz w:val="32"/>
          <w:szCs w:val="32"/>
        </w:rPr>
        <w:t>万元，预决算差异率</w:t>
      </w:r>
      <w:r>
        <w:rPr>
          <w:rFonts w:ascii="仿宋_GB2312" w:eastAsia="仿宋_GB2312"/>
          <w:sz w:val="32"/>
          <w:szCs w:val="32"/>
        </w:rPr>
        <w:t>31.35</w:t>
      </w:r>
      <w:r>
        <w:rPr>
          <w:rFonts w:hint="eastAsia" w:ascii="仿宋_GB2312" w:eastAsia="仿宋_GB2312"/>
          <w:sz w:val="32"/>
          <w:szCs w:val="32"/>
        </w:rPr>
        <w:t>%，主要原因是：年中追加项目资金。财政拨款支出年初预算数</w:t>
      </w:r>
      <w:r>
        <w:rPr>
          <w:rFonts w:ascii="仿宋_GB2312" w:eastAsia="仿宋_GB2312"/>
          <w:sz w:val="32"/>
          <w:szCs w:val="32"/>
        </w:rPr>
        <w:t>373.82</w:t>
      </w:r>
      <w:r>
        <w:rPr>
          <w:rFonts w:hint="eastAsia" w:ascii="仿宋_GB2312" w:eastAsia="仿宋_GB2312"/>
          <w:sz w:val="32"/>
          <w:szCs w:val="32"/>
        </w:rPr>
        <w:t>万元，决算数</w:t>
      </w:r>
      <w:r>
        <w:rPr>
          <w:rFonts w:ascii="仿宋_GB2312" w:eastAsia="仿宋_GB2312"/>
          <w:sz w:val="32"/>
          <w:szCs w:val="32"/>
        </w:rPr>
        <w:t>491.02</w:t>
      </w:r>
      <w:r>
        <w:rPr>
          <w:rFonts w:hint="eastAsia" w:ascii="仿宋_GB2312" w:eastAsia="仿宋_GB2312"/>
          <w:sz w:val="32"/>
          <w:szCs w:val="32"/>
        </w:rPr>
        <w:t>万元，预决算差异率31.35%，主要原因是：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年度一般公共预算财政拨款支出491.02万元。按功能分类科目项级科目公开，其中：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2080505机关事业单位基本养老保险缴费支出40.54万元；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2100302乡镇卫生院450.48万元。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409.97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409.97</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2021年度新疆喀什地区叶城县棋盘乡卫生院（事业单位）公用经费0.00万元，比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923.30</w:t>
      </w:r>
      <w:r>
        <w:rPr>
          <w:rFonts w:hint="eastAsia" w:ascii="仿宋_GB2312" w:eastAsia="仿宋_GB2312"/>
          <w:sz w:val="32"/>
          <w:szCs w:val="32"/>
        </w:rPr>
        <w:t>（平方米），价值</w:t>
      </w:r>
      <w:r>
        <w:rPr>
          <w:rFonts w:ascii="仿宋_GB2312" w:eastAsia="仿宋_GB2312"/>
          <w:sz w:val="32"/>
          <w:szCs w:val="32"/>
        </w:rPr>
        <w:t>100.68</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60.80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477CB5"/>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1136A76"/>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3A75FB4"/>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3476857"/>
    <w:rsid w:val="54054866"/>
    <w:rsid w:val="54F22EA5"/>
    <w:rsid w:val="55516A31"/>
    <w:rsid w:val="56E57A8E"/>
    <w:rsid w:val="59444B98"/>
    <w:rsid w:val="59996596"/>
    <w:rsid w:val="5A8B468F"/>
    <w:rsid w:val="5C386C32"/>
    <w:rsid w:val="5D286D33"/>
    <w:rsid w:val="5D630BDE"/>
    <w:rsid w:val="5E8A0BA7"/>
    <w:rsid w:val="5FFF1C5A"/>
    <w:rsid w:val="61A46A97"/>
    <w:rsid w:val="62D75A3D"/>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6F0581"/>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22</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2023-08-10T10:48:03Z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