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新疆喀什地区叶城县沙依瓦克乡卫生院2021年度部门决算公开说明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新疆喀什地区叶城县沙依瓦克乡卫生院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30</w:t>
      </w:r>
      <w:r>
        <w:rPr>
          <w:rFonts w:hint="eastAsia" w:ascii="仿宋_GB2312" w:eastAsia="仿宋_GB2312"/>
          <w:sz w:val="32"/>
          <w:szCs w:val="32"/>
        </w:rPr>
        <w:t>人，其中：在职人员</w:t>
      </w:r>
      <w:r>
        <w:rPr>
          <w:rFonts w:ascii="仿宋_GB2312" w:eastAsia="仿宋_GB2312"/>
          <w:sz w:val="32"/>
          <w:szCs w:val="32"/>
        </w:rPr>
        <w:t>29</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从部门决算单位构成看，新疆喀什地区叶城县沙依瓦克乡卫生院部门决算包括：新疆喀什地区叶城县沙依瓦克乡卫生院决算。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767.48</w:t>
      </w:r>
      <w:r>
        <w:rPr>
          <w:rFonts w:hint="eastAsia" w:ascii="仿宋_GB2312" w:eastAsia="仿宋_GB2312"/>
          <w:sz w:val="32"/>
          <w:szCs w:val="32"/>
        </w:rPr>
        <w:t>万元，与上年相比，增加1.98万元，</w:t>
      </w:r>
      <w:r>
        <w:rPr>
          <w:rFonts w:ascii="仿宋_GB2312" w:eastAsia="仿宋_GB2312"/>
          <w:sz w:val="32"/>
          <w:szCs w:val="32"/>
        </w:rPr>
        <w:t>增长0.26</w:t>
      </w:r>
      <w:r>
        <w:rPr>
          <w:rFonts w:hint="eastAsia" w:ascii="仿宋_GB2312" w:eastAsia="仿宋_GB2312"/>
          <w:sz w:val="32"/>
          <w:szCs w:val="32"/>
        </w:rPr>
        <w:t>%，主要原因是：人员工资调增，人员经费增加。本年支出</w:t>
      </w:r>
      <w:r>
        <w:rPr>
          <w:rFonts w:ascii="仿宋_GB2312" w:eastAsia="仿宋_GB2312"/>
          <w:sz w:val="32"/>
          <w:szCs w:val="32"/>
        </w:rPr>
        <w:t>767.48</w:t>
      </w:r>
      <w:r>
        <w:rPr>
          <w:rFonts w:hint="eastAsia" w:ascii="仿宋_GB2312" w:eastAsia="仿宋_GB2312"/>
          <w:sz w:val="32"/>
          <w:szCs w:val="32"/>
        </w:rPr>
        <w:t>万元，与上年相比，</w:t>
      </w:r>
      <w:r>
        <w:rPr>
          <w:rFonts w:ascii="仿宋_GB2312" w:eastAsia="仿宋_GB2312"/>
          <w:sz w:val="32"/>
          <w:szCs w:val="32"/>
        </w:rPr>
        <w:t>增加1.98</w:t>
      </w:r>
      <w:r>
        <w:rPr>
          <w:rFonts w:hint="eastAsia" w:ascii="仿宋_GB2312" w:eastAsia="仿宋_GB2312"/>
          <w:sz w:val="32"/>
          <w:szCs w:val="32"/>
        </w:rPr>
        <w:t>万元，</w:t>
      </w:r>
      <w:r>
        <w:rPr>
          <w:rFonts w:ascii="仿宋_GB2312" w:eastAsia="仿宋_GB2312"/>
          <w:sz w:val="32"/>
          <w:szCs w:val="32"/>
        </w:rPr>
        <w:t>增长0.26</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767.48</w:t>
      </w:r>
      <w:r>
        <w:rPr>
          <w:rFonts w:hint="eastAsia" w:ascii="仿宋_GB2312" w:eastAsia="仿宋_GB2312"/>
          <w:sz w:val="32"/>
          <w:szCs w:val="32"/>
        </w:rPr>
        <w:t>万元，其中：财政拨款收入</w:t>
      </w:r>
      <w:r>
        <w:rPr>
          <w:rFonts w:ascii="仿宋_GB2312" w:eastAsia="仿宋_GB2312"/>
          <w:sz w:val="32"/>
          <w:szCs w:val="32"/>
        </w:rPr>
        <w:t>758.01</w:t>
      </w:r>
      <w:r>
        <w:rPr>
          <w:rFonts w:hint="eastAsia" w:ascii="仿宋_GB2312" w:eastAsia="仿宋_GB2312"/>
          <w:sz w:val="32"/>
          <w:szCs w:val="32"/>
        </w:rPr>
        <w:t>万元，占98.76%；上级补助收入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9.48</w:t>
      </w:r>
      <w:r>
        <w:rPr>
          <w:rFonts w:hint="eastAsia" w:ascii="仿宋_GB2312" w:eastAsia="仿宋_GB2312"/>
          <w:sz w:val="32"/>
          <w:szCs w:val="32"/>
        </w:rPr>
        <w:t>万元，占1.24%；经营收入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年度本年支出767.48万元，其中：基本支出</w:t>
      </w:r>
      <w:r>
        <w:rPr>
          <w:rFonts w:ascii="仿宋_GB2312" w:eastAsia="仿宋_GB2312"/>
          <w:sz w:val="32"/>
          <w:szCs w:val="32"/>
        </w:rPr>
        <w:t>573.14</w:t>
      </w:r>
      <w:r>
        <w:rPr>
          <w:rFonts w:hint="eastAsia" w:ascii="仿宋_GB2312" w:eastAsia="仿宋_GB2312"/>
          <w:sz w:val="32"/>
          <w:szCs w:val="32"/>
        </w:rPr>
        <w:t>万元，占74.68%；项目支出</w:t>
      </w:r>
      <w:r>
        <w:rPr>
          <w:rFonts w:ascii="仿宋_GB2312" w:eastAsia="仿宋_GB2312"/>
          <w:sz w:val="32"/>
          <w:szCs w:val="32"/>
        </w:rPr>
        <w:t>194.34</w:t>
      </w:r>
      <w:r>
        <w:rPr>
          <w:rFonts w:hint="eastAsia" w:ascii="仿宋_GB2312" w:eastAsia="仿宋_GB2312"/>
          <w:sz w:val="32"/>
          <w:szCs w:val="32"/>
        </w:rPr>
        <w:t>万元，占25.32%；上缴上级支出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758.01万元，与上年相比，增加201.15万元，增长36.12%，主要原因是：人员工资调增，人员经费增加；增加乡镇卫生院业务工作经费。财政拨款支出758.01万元，与上年相比，增加201.15万元，增长36.12%，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535.17</w:t>
      </w:r>
      <w:r>
        <w:rPr>
          <w:rFonts w:hint="eastAsia" w:ascii="仿宋_GB2312" w:eastAsia="仿宋_GB2312"/>
          <w:sz w:val="32"/>
          <w:szCs w:val="32"/>
        </w:rPr>
        <w:t>万元，决算数</w:t>
      </w:r>
      <w:r>
        <w:rPr>
          <w:rFonts w:ascii="仿宋_GB2312" w:eastAsia="仿宋_GB2312"/>
          <w:sz w:val="32"/>
          <w:szCs w:val="32"/>
        </w:rPr>
        <w:t>758.01</w:t>
      </w:r>
      <w:r>
        <w:rPr>
          <w:rFonts w:hint="eastAsia" w:ascii="仿宋_GB2312" w:eastAsia="仿宋_GB2312"/>
          <w:sz w:val="32"/>
          <w:szCs w:val="32"/>
        </w:rPr>
        <w:t>万元，预决算差异率</w:t>
      </w:r>
      <w:r>
        <w:rPr>
          <w:rFonts w:ascii="仿宋_GB2312" w:eastAsia="仿宋_GB2312"/>
          <w:sz w:val="32"/>
          <w:szCs w:val="32"/>
        </w:rPr>
        <w:t>41.64</w:t>
      </w:r>
      <w:r>
        <w:rPr>
          <w:rFonts w:hint="eastAsia" w:ascii="仿宋_GB2312" w:eastAsia="仿宋_GB2312"/>
          <w:sz w:val="32"/>
          <w:szCs w:val="32"/>
        </w:rPr>
        <w:t>%，主要原因是：年中追加项目资金。财政拨款支出年初预算数</w:t>
      </w:r>
      <w:r>
        <w:rPr>
          <w:rFonts w:ascii="仿宋_GB2312" w:eastAsia="仿宋_GB2312"/>
          <w:sz w:val="32"/>
          <w:szCs w:val="32"/>
        </w:rPr>
        <w:t>535.17</w:t>
      </w:r>
      <w:r>
        <w:rPr>
          <w:rFonts w:hint="eastAsia" w:ascii="仿宋_GB2312" w:eastAsia="仿宋_GB2312"/>
          <w:sz w:val="32"/>
          <w:szCs w:val="32"/>
        </w:rPr>
        <w:t>万元，决算数</w:t>
      </w:r>
      <w:r>
        <w:rPr>
          <w:rFonts w:ascii="仿宋_GB2312" w:eastAsia="仿宋_GB2312"/>
          <w:sz w:val="32"/>
          <w:szCs w:val="32"/>
        </w:rPr>
        <w:t>758.01</w:t>
      </w:r>
      <w:r>
        <w:rPr>
          <w:rFonts w:hint="eastAsia" w:ascii="仿宋_GB2312" w:eastAsia="仿宋_GB2312"/>
          <w:sz w:val="32"/>
          <w:szCs w:val="32"/>
        </w:rPr>
        <w:t>万元，预决算差异率41.64%，主要原因是：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年度一般公共预算财政拨款支出758.01万元。按功能分类科目项级科目公开，其中：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2080505机关事业单位基本养老保险缴费支出56.67万元；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2100302乡镇卫生院701.34万元。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563.66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563.66</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2021年度新疆喀什地区叶城县沙依瓦克乡卫生院（事业单位）公用经费0.00万元，比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3,315.81</w:t>
      </w:r>
      <w:r>
        <w:rPr>
          <w:rFonts w:hint="eastAsia" w:ascii="仿宋_GB2312" w:eastAsia="仿宋_GB2312"/>
          <w:sz w:val="32"/>
          <w:szCs w:val="32"/>
        </w:rPr>
        <w:t>（平方米），价值</w:t>
      </w:r>
      <w:r>
        <w:rPr>
          <w:rFonts w:ascii="仿宋_GB2312" w:eastAsia="仿宋_GB2312"/>
          <w:sz w:val="32"/>
          <w:szCs w:val="32"/>
        </w:rPr>
        <w:t>578.01</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17.00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C501C1"/>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1AE345C"/>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4B0120C"/>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210508"/>
    <w:rsid w:val="33BC32B4"/>
    <w:rsid w:val="3429669A"/>
    <w:rsid w:val="34965581"/>
    <w:rsid w:val="35C5793C"/>
    <w:rsid w:val="36325697"/>
    <w:rsid w:val="36E958BB"/>
    <w:rsid w:val="370D7281"/>
    <w:rsid w:val="38CB046A"/>
    <w:rsid w:val="3A223981"/>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AA32BB1"/>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22</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2023-08-10T11:33:36Z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