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新疆喀什地区叶城县疾病预防控制中心2021年度部门决算公开说明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ind w:firstLine="640" w:firstLineChars="200"/>
        <w:rPr>
          <w:rFonts w:hint="eastAsia" w:ascii="仿宋_GB2312" w:eastAsia="仿宋_GB2312"/>
          <w:sz w:val="32"/>
          <w:szCs w:val="32"/>
        </w:rPr>
      </w:pPr>
      <w:r>
        <w:rPr>
          <w:rFonts w:hint="eastAsia" w:ascii="仿宋_GB2312" w:eastAsia="仿宋_GB2312"/>
          <w:sz w:val="32"/>
          <w:szCs w:val="32"/>
        </w:rPr>
        <w:t>为人民健康提供防疫保障，疫病监测，疫病预防与控制，卫生监督与检监测，突发卫生事件处理，卫生宣传与健康教育，卫生防疫培训与技术指导。</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新疆喀什地区叶城县疾病预防控制中心</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50</w:t>
      </w:r>
      <w:r>
        <w:rPr>
          <w:rFonts w:hint="eastAsia" w:ascii="仿宋_GB2312" w:eastAsia="仿宋_GB2312"/>
          <w:sz w:val="32"/>
          <w:szCs w:val="32"/>
        </w:rPr>
        <w:t>人，其中：在职人员</w:t>
      </w:r>
      <w:r>
        <w:rPr>
          <w:rFonts w:ascii="仿宋_GB2312" w:eastAsia="仿宋_GB2312"/>
          <w:sz w:val="32"/>
          <w:szCs w:val="32"/>
        </w:rPr>
        <w:t>34</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16</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从部门决算单位构成看，新疆喀什地区叶城县疾病预防控制中心部门决算包括：新疆喀什地区叶城县疾病预防控制中心决算。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11</w:t>
      </w:r>
      <w:r>
        <w:rPr>
          <w:rFonts w:hint="eastAsia" w:ascii="仿宋_GB2312" w:hAnsi="黑体" w:eastAsia="仿宋_GB2312" w:cs="宋体"/>
          <w:bCs/>
          <w:kern w:val="0"/>
          <w:sz w:val="32"/>
          <w:szCs w:val="32"/>
        </w:rPr>
        <w:t>个处室，分别是：行政办公室、党建办、财务科、结防科、艾滋病防治科、地方病防治科、计划免疫科、检验科、消杀科、职业病科、疾控科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12566"/>
      <w:bookmarkStart w:id="8" w:name="_Toc25314"/>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1,472.75</w:t>
      </w:r>
      <w:r>
        <w:rPr>
          <w:rFonts w:hint="eastAsia" w:ascii="仿宋_GB2312" w:eastAsia="仿宋_GB2312"/>
          <w:sz w:val="32"/>
          <w:szCs w:val="32"/>
        </w:rPr>
        <w:t>万元，与上年相比，减少275.60万元，</w:t>
      </w:r>
      <w:r>
        <w:rPr>
          <w:rFonts w:ascii="仿宋_GB2312" w:eastAsia="仿宋_GB2312"/>
          <w:sz w:val="32"/>
          <w:szCs w:val="32"/>
        </w:rPr>
        <w:t>降低15.76</w:t>
      </w:r>
      <w:r>
        <w:rPr>
          <w:rFonts w:hint="eastAsia" w:ascii="仿宋_GB2312" w:eastAsia="仿宋_GB2312"/>
          <w:sz w:val="32"/>
          <w:szCs w:val="32"/>
        </w:rPr>
        <w:t>%，主要原因是：</w:t>
      </w:r>
      <w:r>
        <w:rPr>
          <w:rFonts w:hint="eastAsia" w:ascii="仿宋_GB2312" w:eastAsia="仿宋_GB2312"/>
          <w:sz w:val="32"/>
          <w:szCs w:val="32"/>
          <w:lang w:val="en-US" w:eastAsia="zh-CN"/>
        </w:rPr>
        <w:t>本年减少计划免疫、结核病、慢病重大公共卫生服务项目</w:t>
      </w:r>
      <w:r>
        <w:rPr>
          <w:rFonts w:hint="eastAsia" w:ascii="仿宋_GB2312" w:eastAsia="仿宋_GB2312"/>
          <w:sz w:val="32"/>
          <w:szCs w:val="32"/>
        </w:rPr>
        <w:t>。本年支出</w:t>
      </w:r>
      <w:r>
        <w:rPr>
          <w:rFonts w:ascii="仿宋_GB2312" w:eastAsia="仿宋_GB2312"/>
          <w:sz w:val="32"/>
          <w:szCs w:val="32"/>
        </w:rPr>
        <w:t>1,472.75</w:t>
      </w:r>
      <w:r>
        <w:rPr>
          <w:rFonts w:hint="eastAsia" w:ascii="仿宋_GB2312" w:eastAsia="仿宋_GB2312"/>
          <w:sz w:val="32"/>
          <w:szCs w:val="32"/>
        </w:rPr>
        <w:t>万元，与上年相比，</w:t>
      </w:r>
      <w:r>
        <w:rPr>
          <w:rFonts w:ascii="仿宋_GB2312" w:eastAsia="仿宋_GB2312"/>
          <w:sz w:val="32"/>
          <w:szCs w:val="32"/>
        </w:rPr>
        <w:t>减少275.60</w:t>
      </w:r>
      <w:r>
        <w:rPr>
          <w:rFonts w:hint="eastAsia" w:ascii="仿宋_GB2312" w:eastAsia="仿宋_GB2312"/>
          <w:sz w:val="32"/>
          <w:szCs w:val="32"/>
        </w:rPr>
        <w:t>万元，</w:t>
      </w:r>
      <w:r>
        <w:rPr>
          <w:rFonts w:ascii="仿宋_GB2312" w:eastAsia="仿宋_GB2312"/>
          <w:sz w:val="32"/>
          <w:szCs w:val="32"/>
        </w:rPr>
        <w:t>降低15.76</w:t>
      </w:r>
      <w:r>
        <w:rPr>
          <w:rFonts w:hint="eastAsia" w:ascii="仿宋_GB2312" w:eastAsia="仿宋_GB2312"/>
          <w:sz w:val="32"/>
          <w:szCs w:val="32"/>
        </w:rPr>
        <w:t>%，主要原因是：</w:t>
      </w:r>
      <w:r>
        <w:rPr>
          <w:rFonts w:hint="eastAsia" w:ascii="仿宋_GB2312" w:eastAsia="仿宋_GB2312"/>
          <w:sz w:val="32"/>
          <w:szCs w:val="32"/>
          <w:lang w:val="en-US" w:eastAsia="zh-CN"/>
        </w:rPr>
        <w:t>本年减少计划免疫、结核病、慢病重大公共卫生服务项目</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1,472.75</w:t>
      </w:r>
      <w:r>
        <w:rPr>
          <w:rFonts w:hint="eastAsia" w:ascii="仿宋_GB2312" w:eastAsia="仿宋_GB2312"/>
          <w:sz w:val="32"/>
          <w:szCs w:val="32"/>
        </w:rPr>
        <w:t>万元，其中：财政拨款收入</w:t>
      </w:r>
      <w:r>
        <w:rPr>
          <w:rFonts w:ascii="仿宋_GB2312" w:eastAsia="仿宋_GB2312"/>
          <w:sz w:val="32"/>
          <w:szCs w:val="32"/>
        </w:rPr>
        <w:t>684.55</w:t>
      </w:r>
      <w:r>
        <w:rPr>
          <w:rFonts w:hint="eastAsia" w:ascii="仿宋_GB2312" w:eastAsia="仿宋_GB2312"/>
          <w:sz w:val="32"/>
          <w:szCs w:val="32"/>
        </w:rPr>
        <w:t>万元，占46.48%；上级补助收入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788.20</w:t>
      </w:r>
      <w:r>
        <w:rPr>
          <w:rFonts w:hint="eastAsia" w:ascii="仿宋_GB2312" w:eastAsia="仿宋_GB2312"/>
          <w:sz w:val="32"/>
          <w:szCs w:val="32"/>
        </w:rPr>
        <w:t>万元，占53.52%。</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年度本年支出1,472.75万元，其中：基本支出</w:t>
      </w:r>
      <w:r>
        <w:rPr>
          <w:rFonts w:ascii="仿宋_GB2312" w:eastAsia="仿宋_GB2312"/>
          <w:sz w:val="32"/>
          <w:szCs w:val="32"/>
        </w:rPr>
        <w:t>566.07</w:t>
      </w:r>
      <w:r>
        <w:rPr>
          <w:rFonts w:hint="eastAsia" w:ascii="仿宋_GB2312" w:eastAsia="仿宋_GB2312"/>
          <w:sz w:val="32"/>
          <w:szCs w:val="32"/>
        </w:rPr>
        <w:t>万元，占38.44%；项目支出</w:t>
      </w:r>
      <w:r>
        <w:rPr>
          <w:rFonts w:ascii="仿宋_GB2312" w:eastAsia="仿宋_GB2312"/>
          <w:sz w:val="32"/>
          <w:szCs w:val="32"/>
        </w:rPr>
        <w:t>906.68</w:t>
      </w:r>
      <w:r>
        <w:rPr>
          <w:rFonts w:hint="eastAsia" w:ascii="仿宋_GB2312" w:eastAsia="仿宋_GB2312"/>
          <w:sz w:val="32"/>
          <w:szCs w:val="32"/>
        </w:rPr>
        <w:t>万元，占61.56%；上缴上级支出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年度财政拨款收入684.55万元，与上年相比，减少671.80万元，降低49.53%，主要原因是：</w:t>
      </w:r>
      <w:r>
        <w:rPr>
          <w:rFonts w:hint="eastAsia" w:ascii="仿宋_GB2312" w:eastAsia="仿宋_GB2312"/>
          <w:sz w:val="32"/>
          <w:szCs w:val="32"/>
          <w:lang w:val="en-US" w:eastAsia="zh-CN"/>
        </w:rPr>
        <w:t>本年减少计划免疫、结核病、慢病重大公共卫生服务项目</w:t>
      </w:r>
      <w:r>
        <w:rPr>
          <w:rFonts w:hint="eastAsia" w:ascii="仿宋_GB2312" w:eastAsia="仿宋_GB2312"/>
          <w:sz w:val="32"/>
          <w:szCs w:val="32"/>
        </w:rPr>
        <w:t>。财政拨款支出684.55万元，与上年相比，减少671.80万元，降低49.53%，主要原因是：</w:t>
      </w:r>
      <w:r>
        <w:rPr>
          <w:rFonts w:hint="eastAsia" w:ascii="仿宋_GB2312" w:eastAsia="仿宋_GB2312"/>
          <w:sz w:val="32"/>
          <w:szCs w:val="32"/>
          <w:lang w:val="en-US" w:eastAsia="zh-CN"/>
        </w:rPr>
        <w:t>本年减少计划免疫、结核病、慢病重大公共卫生服务项目</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519.10</w:t>
      </w:r>
      <w:r>
        <w:rPr>
          <w:rFonts w:hint="eastAsia" w:ascii="仿宋_GB2312" w:eastAsia="仿宋_GB2312"/>
          <w:sz w:val="32"/>
          <w:szCs w:val="32"/>
        </w:rPr>
        <w:t>万元，决算数</w:t>
      </w:r>
      <w:r>
        <w:rPr>
          <w:rFonts w:ascii="仿宋_GB2312" w:eastAsia="仿宋_GB2312"/>
          <w:sz w:val="32"/>
          <w:szCs w:val="32"/>
        </w:rPr>
        <w:t>684.55</w:t>
      </w:r>
      <w:r>
        <w:rPr>
          <w:rFonts w:hint="eastAsia" w:ascii="仿宋_GB2312" w:eastAsia="仿宋_GB2312"/>
          <w:sz w:val="32"/>
          <w:szCs w:val="32"/>
        </w:rPr>
        <w:t>万元，预决算差异率</w:t>
      </w:r>
      <w:r>
        <w:rPr>
          <w:rFonts w:ascii="仿宋_GB2312" w:eastAsia="仿宋_GB2312"/>
          <w:sz w:val="32"/>
          <w:szCs w:val="32"/>
        </w:rPr>
        <w:t>31.87</w:t>
      </w:r>
      <w:r>
        <w:rPr>
          <w:rFonts w:hint="eastAsia" w:ascii="仿宋_GB2312" w:eastAsia="仿宋_GB2312"/>
          <w:sz w:val="32"/>
          <w:szCs w:val="32"/>
        </w:rPr>
        <w:t>%，主要原因是：人员正常晋升工资，年中追加人员经费</w:t>
      </w:r>
      <w:r>
        <w:rPr>
          <w:rFonts w:hint="eastAsia" w:ascii="仿宋_GB2312" w:eastAsia="仿宋_GB2312"/>
          <w:sz w:val="32"/>
          <w:szCs w:val="32"/>
          <w:lang w:val="en-US" w:eastAsia="zh-CN"/>
        </w:rPr>
        <w:t>及疾控中心升级改造项目资金</w:t>
      </w:r>
      <w:r>
        <w:rPr>
          <w:rFonts w:hint="eastAsia" w:ascii="仿宋_GB2312" w:eastAsia="仿宋_GB2312"/>
          <w:sz w:val="32"/>
          <w:szCs w:val="32"/>
        </w:rPr>
        <w:t>，导致预决算存在差异。财政拨款支出年初预算数</w:t>
      </w:r>
      <w:r>
        <w:rPr>
          <w:rFonts w:ascii="仿宋_GB2312" w:eastAsia="仿宋_GB2312"/>
          <w:sz w:val="32"/>
          <w:szCs w:val="32"/>
        </w:rPr>
        <w:t>519.10</w:t>
      </w:r>
      <w:r>
        <w:rPr>
          <w:rFonts w:hint="eastAsia" w:ascii="仿宋_GB2312" w:eastAsia="仿宋_GB2312"/>
          <w:sz w:val="32"/>
          <w:szCs w:val="32"/>
        </w:rPr>
        <w:t>万元，决算数</w:t>
      </w:r>
      <w:r>
        <w:rPr>
          <w:rFonts w:ascii="仿宋_GB2312" w:eastAsia="仿宋_GB2312"/>
          <w:sz w:val="32"/>
          <w:szCs w:val="32"/>
        </w:rPr>
        <w:t>684.55</w:t>
      </w:r>
      <w:r>
        <w:rPr>
          <w:rFonts w:hint="eastAsia" w:ascii="仿宋_GB2312" w:eastAsia="仿宋_GB2312"/>
          <w:sz w:val="32"/>
          <w:szCs w:val="32"/>
        </w:rPr>
        <w:t>万元，预决算差异率31.87%，主要原因是：人员正常晋升工资，年中追加人员经费</w:t>
      </w:r>
      <w:r>
        <w:rPr>
          <w:rFonts w:hint="eastAsia" w:ascii="仿宋_GB2312" w:eastAsia="仿宋_GB2312"/>
          <w:sz w:val="32"/>
          <w:szCs w:val="32"/>
          <w:lang w:val="en-US" w:eastAsia="zh-CN"/>
        </w:rPr>
        <w:t>及疾控中心升级改造项目资金</w:t>
      </w:r>
      <w:r>
        <w:rPr>
          <w:rFonts w:hint="eastAsia" w:ascii="仿宋_GB2312" w:eastAsia="仿宋_GB2312"/>
          <w:sz w:val="32"/>
          <w:szCs w:val="32"/>
        </w:rPr>
        <w:t>，导致预决算存在差异。</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年度一般公共预算财政拨款支出684.55万元。按功能分类科目项级科目公开，其中：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2080505机关事业单位基本养老保险缴费支出52.95万元；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2100401疾病预防控制机构513.12万元；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2109999其他卫生健康支出118.48万元。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566.07</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555.85</w:t>
      </w:r>
      <w:r>
        <w:rPr>
          <w:rFonts w:hint="eastAsia" w:ascii="仿宋_GB2312" w:eastAsia="仿宋_GB2312"/>
          <w:sz w:val="32"/>
          <w:szCs w:val="32"/>
        </w:rPr>
        <w:t>万元，包括：基本工资、津贴补贴、奖金、绩效工资、机关事业单位基本养老保险缴费、职工基本医疗保险缴费、其他社会保障缴费、住房公积金、退休费、生活补助、奖励金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公用经费10.23万元，包括：办公费、印刷费、差旅费、办公设备购置</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2021年度一般公共预算“三公”经费支出决算0.00万元，比上年减少2.84万元，降低100.00%，主要原因是</w:t>
      </w:r>
      <w:r>
        <w:rPr>
          <w:rFonts w:hint="eastAsia" w:ascii="仿宋_GB2312" w:eastAsia="仿宋_GB2312"/>
          <w:sz w:val="32"/>
          <w:szCs w:val="32"/>
          <w:lang w:eastAsia="zh-CN"/>
        </w:rPr>
        <w:t>：</w:t>
      </w:r>
      <w:r>
        <w:rPr>
          <w:rFonts w:ascii="仿宋_GB2312" w:eastAsia="仿宋_GB2312"/>
          <w:sz w:val="32"/>
          <w:szCs w:val="32"/>
        </w:rPr>
        <w:t>本年度无一般公共预算“三公”经费支出。其中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减少2.84万元，降低100.00%，主要原因是：本年未发生公务用车运行维护费开支；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与年初预算数相比情况：一般公共预算“三公”经费支出年初预算数2.84万元，决算数</w:t>
      </w:r>
      <w:r>
        <w:rPr>
          <w:rFonts w:ascii="仿宋_GB2312" w:eastAsia="仿宋_GB2312"/>
          <w:sz w:val="32"/>
          <w:szCs w:val="32"/>
        </w:rPr>
        <w:t>0.00</w:t>
      </w:r>
      <w:r>
        <w:rPr>
          <w:rFonts w:hint="eastAsia" w:ascii="仿宋_GB2312" w:eastAsia="仿宋_GB2312"/>
          <w:sz w:val="32"/>
          <w:szCs w:val="32"/>
        </w:rPr>
        <w:t>万元，预决算差异率-100.00%，主要原因是：</w:t>
      </w:r>
      <w:r>
        <w:rPr>
          <w:rFonts w:ascii="仿宋_GB2312" w:eastAsia="仿宋_GB2312"/>
          <w:sz w:val="32"/>
          <w:szCs w:val="32"/>
        </w:rPr>
        <w:t>本年度无一般公共预算“三公”经费支出。</w:t>
      </w:r>
      <w:bookmarkStart w:id="54" w:name="_GoBack"/>
      <w:bookmarkEnd w:id="54"/>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预算数2.84万元，决算数0.00万元，预决算差异率-100.00%，主要原因是：本年未发生公务用车运行维护费开支；</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2021年度新疆喀什地区叶城县疾病预防控制中心（事业单位）公用经费10.23万元，比</w:t>
      </w:r>
      <w:r>
        <w:rPr>
          <w:rFonts w:hint="eastAsia" w:ascii="仿宋_GB2312" w:eastAsia="仿宋_GB2312"/>
          <w:sz w:val="32"/>
          <w:szCs w:val="32"/>
          <w:lang w:val="en-US" w:eastAsia="zh-CN"/>
        </w:rPr>
        <w:t>上年</w:t>
      </w:r>
      <w:r>
        <w:rPr>
          <w:rFonts w:hint="eastAsia" w:ascii="仿宋_GB2312" w:eastAsia="仿宋_GB2312"/>
          <w:sz w:val="32"/>
          <w:szCs w:val="32"/>
        </w:rPr>
        <w:t>减少2.13</w:t>
      </w:r>
      <w:r>
        <w:rPr>
          <w:rFonts w:hint="eastAsia" w:ascii="仿宋_GB2312" w:eastAsia="仿宋_GB2312"/>
          <w:sz w:val="32"/>
          <w:szCs w:val="32"/>
          <w:lang w:val="en-US" w:eastAsia="zh-CN"/>
        </w:rPr>
        <w:t>万</w:t>
      </w:r>
      <w:r>
        <w:rPr>
          <w:rFonts w:hint="eastAsia" w:ascii="仿宋_GB2312" w:eastAsia="仿宋_GB2312"/>
          <w:sz w:val="32"/>
          <w:szCs w:val="32"/>
        </w:rPr>
        <w:t>元，降低17.23%，主要原因是：2021年有人员退休，办公经费减少。</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323.68</w:t>
      </w:r>
      <w:r>
        <w:rPr>
          <w:rFonts w:hint="eastAsia" w:ascii="仿宋_GB2312" w:eastAsia="仿宋_GB2312"/>
          <w:sz w:val="32"/>
          <w:szCs w:val="32"/>
        </w:rPr>
        <w:t>万元，其中：政府采购货物支出</w:t>
      </w:r>
      <w:r>
        <w:rPr>
          <w:rFonts w:ascii="仿宋_GB2312" w:eastAsia="仿宋_GB2312"/>
          <w:sz w:val="32"/>
          <w:szCs w:val="32"/>
        </w:rPr>
        <w:t>254.40</w:t>
      </w:r>
      <w:r>
        <w:rPr>
          <w:rFonts w:hint="eastAsia" w:ascii="仿宋_GB2312" w:eastAsia="仿宋_GB2312"/>
          <w:sz w:val="32"/>
          <w:szCs w:val="32"/>
        </w:rPr>
        <w:t>万元、政府采购工程支出</w:t>
      </w:r>
      <w:r>
        <w:rPr>
          <w:rFonts w:ascii="仿宋_GB2312" w:eastAsia="仿宋_GB2312"/>
          <w:sz w:val="32"/>
          <w:szCs w:val="32"/>
        </w:rPr>
        <w:t>62.10</w:t>
      </w:r>
      <w:r>
        <w:rPr>
          <w:rFonts w:hint="eastAsia" w:ascii="仿宋_GB2312" w:eastAsia="仿宋_GB2312"/>
          <w:sz w:val="32"/>
          <w:szCs w:val="32"/>
        </w:rPr>
        <w:t>万元、政府采购服务支出</w:t>
      </w:r>
      <w:r>
        <w:rPr>
          <w:rFonts w:ascii="仿宋_GB2312" w:eastAsia="仿宋_GB2312"/>
          <w:sz w:val="32"/>
          <w:szCs w:val="32"/>
        </w:rPr>
        <w:t>7.18</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323.44</w:t>
      </w:r>
      <w:r>
        <w:rPr>
          <w:rFonts w:hint="eastAsia" w:ascii="仿宋_GB2312" w:eastAsia="仿宋_GB2312"/>
          <w:sz w:val="32"/>
          <w:szCs w:val="32"/>
        </w:rPr>
        <w:t>万元，占政府采购支出总额的</w:t>
      </w:r>
      <w:r>
        <w:rPr>
          <w:rFonts w:ascii="仿宋_GB2312" w:eastAsia="仿宋_GB2312"/>
          <w:sz w:val="32"/>
          <w:szCs w:val="32"/>
        </w:rPr>
        <w:t>99.92</w:t>
      </w:r>
      <w:r>
        <w:rPr>
          <w:rFonts w:hint="eastAsia" w:ascii="仿宋_GB2312" w:eastAsia="仿宋_GB2312"/>
          <w:sz w:val="32"/>
          <w:szCs w:val="32"/>
        </w:rPr>
        <w:t>%，其中：授予小微企业合同金额</w:t>
      </w:r>
      <w:r>
        <w:rPr>
          <w:rFonts w:ascii="仿宋_GB2312" w:eastAsia="仿宋_GB2312"/>
          <w:sz w:val="32"/>
          <w:szCs w:val="32"/>
        </w:rPr>
        <w:t>323.44</w:t>
      </w:r>
      <w:r>
        <w:rPr>
          <w:rFonts w:hint="eastAsia" w:ascii="仿宋_GB2312" w:eastAsia="仿宋_GB2312"/>
          <w:sz w:val="32"/>
          <w:szCs w:val="32"/>
        </w:rPr>
        <w:t>万元，占政府采购支出总额的</w:t>
      </w:r>
      <w:r>
        <w:rPr>
          <w:rFonts w:ascii="仿宋_GB2312" w:eastAsia="仿宋_GB2312"/>
          <w:sz w:val="32"/>
          <w:szCs w:val="32"/>
        </w:rPr>
        <w:t>99.92</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3,926.63</w:t>
      </w:r>
      <w:r>
        <w:rPr>
          <w:rFonts w:hint="eastAsia" w:ascii="仿宋_GB2312" w:eastAsia="仿宋_GB2312"/>
          <w:sz w:val="32"/>
          <w:szCs w:val="32"/>
        </w:rPr>
        <w:t>（平方米），价值</w:t>
      </w:r>
      <w:r>
        <w:rPr>
          <w:rFonts w:ascii="仿宋_GB2312" w:eastAsia="仿宋_GB2312"/>
          <w:sz w:val="32"/>
          <w:szCs w:val="32"/>
        </w:rPr>
        <w:t>780.00</w:t>
      </w:r>
      <w:r>
        <w:rPr>
          <w:rFonts w:hint="eastAsia" w:ascii="仿宋_GB2312" w:eastAsia="仿宋_GB2312"/>
          <w:sz w:val="32"/>
          <w:szCs w:val="32"/>
        </w:rPr>
        <w:t>万元。车辆</w:t>
      </w:r>
      <w:r>
        <w:rPr>
          <w:rFonts w:ascii="仿宋_GB2312" w:eastAsia="仿宋_GB2312"/>
          <w:sz w:val="32"/>
          <w:szCs w:val="32"/>
        </w:rPr>
        <w:t>6</w:t>
      </w:r>
      <w:r>
        <w:rPr>
          <w:rFonts w:hint="eastAsia" w:ascii="仿宋_GB2312" w:eastAsia="仿宋_GB2312"/>
          <w:sz w:val="32"/>
          <w:szCs w:val="32"/>
        </w:rPr>
        <w:t>辆，价值</w:t>
      </w:r>
      <w:r>
        <w:rPr>
          <w:rFonts w:ascii="仿宋_GB2312" w:eastAsia="仿宋_GB2312"/>
          <w:sz w:val="32"/>
          <w:szCs w:val="32"/>
        </w:rPr>
        <w:t>100.39</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6</w:t>
      </w:r>
      <w:r>
        <w:rPr>
          <w:rFonts w:hint="eastAsia" w:ascii="仿宋_GB2312" w:eastAsia="仿宋_GB2312"/>
          <w:sz w:val="32"/>
          <w:szCs w:val="32"/>
        </w:rPr>
        <w:t>辆，其他用车主要是：单位业务用车；单位价值50万元以上通用设备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2</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1个，共涉及资金118.48万元。预算绩效管理取得的成效：该项目实施后高效完成了我县传染病监测工作，有效提高了我县传染病防治工作顺利开展。发现的问题及原因：全过程预算绩效管理制度体系不健全。绩效指标和标准体系建设不完善，未能细化、量化绩效指标，突出绩效特色。下一步改进措施：进一步加强单位内部的预算管理意识，严格按照预算编制的相关制度进行预算编制；进一步提高预算编制的科学性、合理性、严谨性和可控性。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2784"/>
      <w:bookmarkStart w:id="37"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6D41AF2"/>
    <w:rsid w:val="0742534E"/>
    <w:rsid w:val="08927642"/>
    <w:rsid w:val="08B509AF"/>
    <w:rsid w:val="08E75997"/>
    <w:rsid w:val="09E12A64"/>
    <w:rsid w:val="0ABC4C45"/>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210A46"/>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CA22DB1"/>
    <w:rsid w:val="3D1D5019"/>
    <w:rsid w:val="3D5275AC"/>
    <w:rsid w:val="3E1A76DD"/>
    <w:rsid w:val="3E2B7A03"/>
    <w:rsid w:val="3E9A7BA4"/>
    <w:rsid w:val="3F076061"/>
    <w:rsid w:val="3F6A08C0"/>
    <w:rsid w:val="414D2B29"/>
    <w:rsid w:val="43ED6F84"/>
    <w:rsid w:val="455E1F7C"/>
    <w:rsid w:val="45897ADA"/>
    <w:rsid w:val="459424C8"/>
    <w:rsid w:val="46901EEE"/>
    <w:rsid w:val="469C74D2"/>
    <w:rsid w:val="48A52360"/>
    <w:rsid w:val="4902047E"/>
    <w:rsid w:val="495013D3"/>
    <w:rsid w:val="4A7D4485"/>
    <w:rsid w:val="4BD50627"/>
    <w:rsid w:val="4C2E1A9B"/>
    <w:rsid w:val="4CA553D8"/>
    <w:rsid w:val="4DE45AD9"/>
    <w:rsid w:val="4E11500F"/>
    <w:rsid w:val="4E342C61"/>
    <w:rsid w:val="4EEF1380"/>
    <w:rsid w:val="4F9D7B44"/>
    <w:rsid w:val="4FF82029"/>
    <w:rsid w:val="50DB5F45"/>
    <w:rsid w:val="512709C0"/>
    <w:rsid w:val="51DB4252"/>
    <w:rsid w:val="52314E57"/>
    <w:rsid w:val="523358A5"/>
    <w:rsid w:val="53350823"/>
    <w:rsid w:val="54054866"/>
    <w:rsid w:val="54F22EA5"/>
    <w:rsid w:val="55516A31"/>
    <w:rsid w:val="55F74D75"/>
    <w:rsid w:val="569F38D2"/>
    <w:rsid w:val="576121B2"/>
    <w:rsid w:val="576D79FA"/>
    <w:rsid w:val="59444B98"/>
    <w:rsid w:val="59996596"/>
    <w:rsid w:val="5A8B468F"/>
    <w:rsid w:val="5AFF4632"/>
    <w:rsid w:val="5B367ECC"/>
    <w:rsid w:val="5B873D00"/>
    <w:rsid w:val="5C386C32"/>
    <w:rsid w:val="5D286D33"/>
    <w:rsid w:val="5D630BDE"/>
    <w:rsid w:val="5E8A0BA7"/>
    <w:rsid w:val="5EE9568D"/>
    <w:rsid w:val="5FFF1C5A"/>
    <w:rsid w:val="61371A1C"/>
    <w:rsid w:val="61A46A97"/>
    <w:rsid w:val="626D5CDC"/>
    <w:rsid w:val="64275BB0"/>
    <w:rsid w:val="64925820"/>
    <w:rsid w:val="6627325F"/>
    <w:rsid w:val="66F72012"/>
    <w:rsid w:val="67104DF2"/>
    <w:rsid w:val="67623B14"/>
    <w:rsid w:val="68706FD2"/>
    <w:rsid w:val="69AD798C"/>
    <w:rsid w:val="69F01279"/>
    <w:rsid w:val="6B311CD9"/>
    <w:rsid w:val="6B68175F"/>
    <w:rsid w:val="6B8500AE"/>
    <w:rsid w:val="6C81696B"/>
    <w:rsid w:val="6D587ECB"/>
    <w:rsid w:val="6DE375B7"/>
    <w:rsid w:val="6EE23079"/>
    <w:rsid w:val="6F516C58"/>
    <w:rsid w:val="6FDFD92C"/>
    <w:rsid w:val="6FFF530B"/>
    <w:rsid w:val="70A609BC"/>
    <w:rsid w:val="710A321B"/>
    <w:rsid w:val="73FB6630"/>
    <w:rsid w:val="74060C43"/>
    <w:rsid w:val="74947C20"/>
    <w:rsid w:val="761262E7"/>
    <w:rsid w:val="76416A32"/>
    <w:rsid w:val="76797A05"/>
    <w:rsid w:val="77022DD9"/>
    <w:rsid w:val="77ED6F44"/>
    <w:rsid w:val="7ACD6730"/>
    <w:rsid w:val="7AE61E03"/>
    <w:rsid w:val="7CB00106"/>
    <w:rsid w:val="7DF42720"/>
    <w:rsid w:val="7E6C6E77"/>
    <w:rsid w:val="7F726A00"/>
    <w:rsid w:val="7F9F026B"/>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4243</Words>
  <Characters>4740</Characters>
  <Lines>59</Lines>
  <Paragraphs>16</Paragraphs>
  <TotalTime>1</TotalTime>
  <ScaleCrop>false</ScaleCrop>
  <LinksUpToDate>false</LinksUpToDate>
  <CharactersWithSpaces>4752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2023-08-10T11:02:09Z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