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新疆喀什地区叶城县社会保险中心2021年度部门决算公开说明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叶城县社会保险中心负责全县范围内社会保险工作，经办全县养老保险、失业保险和工伤保险等各项社会保险业务以及与各险种相适应的配套服务，负责办理参保单位养老，失业，工伤保险的登记、管理、转移、中断、接续、终止等；按照国家有关规定负责各项社会保险基金的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新疆喀什地区叶城县社会保险中心</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31</w:t>
      </w:r>
      <w:r>
        <w:rPr>
          <w:rFonts w:hint="eastAsia" w:ascii="仿宋_GB2312" w:eastAsia="仿宋_GB2312"/>
          <w:sz w:val="32"/>
          <w:szCs w:val="32"/>
        </w:rPr>
        <w:t>人，其中：在职人员</w:t>
      </w:r>
      <w:r>
        <w:rPr>
          <w:rFonts w:ascii="仿宋_GB2312" w:eastAsia="仿宋_GB2312"/>
          <w:sz w:val="32"/>
          <w:szCs w:val="32"/>
        </w:rPr>
        <w:t>22</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9</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从部门决算单位构成看，新疆喀什地区叶城县社会保险中心部门决算包括：新疆喀什地区叶城县社会保险中心决算。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个处室，分别是：行政办公室、财务统计科、待遇支付科、三险征缴科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2,379.23</w:t>
      </w:r>
      <w:r>
        <w:rPr>
          <w:rFonts w:hint="eastAsia" w:ascii="仿宋_GB2312" w:eastAsia="仿宋_GB2312"/>
          <w:sz w:val="32"/>
          <w:szCs w:val="32"/>
        </w:rPr>
        <w:t>万元，与上年相比，增加2,038.26万元，</w:t>
      </w:r>
      <w:r>
        <w:rPr>
          <w:rFonts w:ascii="仿宋_GB2312" w:eastAsia="仿宋_GB2312"/>
          <w:sz w:val="32"/>
          <w:szCs w:val="32"/>
        </w:rPr>
        <w:t>增长597.78</w:t>
      </w:r>
      <w:r>
        <w:rPr>
          <w:rFonts w:hint="eastAsia" w:ascii="仿宋_GB2312" w:eastAsia="仿宋_GB2312"/>
          <w:sz w:val="32"/>
          <w:szCs w:val="32"/>
        </w:rPr>
        <w:t>%，主要原因是：</w:t>
      </w:r>
      <w:r>
        <w:rPr>
          <w:rFonts w:hint="eastAsia" w:ascii="仿宋_GB2312" w:eastAsia="仿宋_GB2312"/>
          <w:sz w:val="32"/>
          <w:szCs w:val="32"/>
          <w:lang w:val="en-US" w:eastAsia="zh-CN"/>
        </w:rPr>
        <w:t>本</w:t>
      </w:r>
      <w:r>
        <w:rPr>
          <w:rFonts w:hint="eastAsia" w:ascii="仿宋_GB2312" w:eastAsia="仿宋_GB2312"/>
          <w:sz w:val="32"/>
          <w:szCs w:val="32"/>
        </w:rPr>
        <w:t>年增加了两项职业年金补助项目；调资和正常晋升，在职干部工资增加。本年支出</w:t>
      </w:r>
      <w:r>
        <w:rPr>
          <w:rFonts w:ascii="仿宋_GB2312" w:eastAsia="仿宋_GB2312"/>
          <w:sz w:val="32"/>
          <w:szCs w:val="32"/>
        </w:rPr>
        <w:t>2,379.23</w:t>
      </w:r>
      <w:r>
        <w:rPr>
          <w:rFonts w:hint="eastAsia" w:ascii="仿宋_GB2312" w:eastAsia="仿宋_GB2312"/>
          <w:sz w:val="32"/>
          <w:szCs w:val="32"/>
        </w:rPr>
        <w:t>万元，与上年相比，</w:t>
      </w:r>
      <w:r>
        <w:rPr>
          <w:rFonts w:ascii="仿宋_GB2312" w:eastAsia="仿宋_GB2312"/>
          <w:sz w:val="32"/>
          <w:szCs w:val="32"/>
        </w:rPr>
        <w:t>增加2,038.26</w:t>
      </w:r>
      <w:r>
        <w:rPr>
          <w:rFonts w:hint="eastAsia" w:ascii="仿宋_GB2312" w:eastAsia="仿宋_GB2312"/>
          <w:sz w:val="32"/>
          <w:szCs w:val="32"/>
        </w:rPr>
        <w:t>万元，</w:t>
      </w:r>
      <w:r>
        <w:rPr>
          <w:rFonts w:ascii="仿宋_GB2312" w:eastAsia="仿宋_GB2312"/>
          <w:sz w:val="32"/>
          <w:szCs w:val="32"/>
        </w:rPr>
        <w:t>增长597.78</w:t>
      </w:r>
      <w:r>
        <w:rPr>
          <w:rFonts w:hint="eastAsia" w:ascii="仿宋_GB2312" w:eastAsia="仿宋_GB2312"/>
          <w:sz w:val="32"/>
          <w:szCs w:val="32"/>
        </w:rPr>
        <w:t>%，主要原因是：</w:t>
      </w:r>
      <w:r>
        <w:rPr>
          <w:rFonts w:hint="eastAsia" w:ascii="仿宋_GB2312" w:eastAsia="仿宋_GB2312"/>
          <w:sz w:val="32"/>
          <w:szCs w:val="32"/>
          <w:lang w:val="en-US" w:eastAsia="zh-CN"/>
        </w:rPr>
        <w:t>本</w:t>
      </w:r>
      <w:r>
        <w:rPr>
          <w:rFonts w:hint="eastAsia" w:ascii="仿宋_GB2312" w:eastAsia="仿宋_GB2312"/>
          <w:sz w:val="32"/>
          <w:szCs w:val="32"/>
        </w:rPr>
        <w:t>年增加了两项职业年金补助项目；调资和正常晋升，在职干部工资增加。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2,379.23</w:t>
      </w:r>
      <w:r>
        <w:rPr>
          <w:rFonts w:hint="eastAsia" w:ascii="仿宋_GB2312" w:eastAsia="仿宋_GB2312"/>
          <w:sz w:val="32"/>
          <w:szCs w:val="32"/>
        </w:rPr>
        <w:t>万元，其中：财政拨款收入</w:t>
      </w:r>
      <w:r>
        <w:rPr>
          <w:rFonts w:ascii="仿宋_GB2312" w:eastAsia="仿宋_GB2312"/>
          <w:sz w:val="32"/>
          <w:szCs w:val="32"/>
        </w:rPr>
        <w:t>2,379.23</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年度本年支出2,379.23万元，其中：基本支出</w:t>
      </w:r>
      <w:r>
        <w:rPr>
          <w:rFonts w:ascii="仿宋_GB2312" w:eastAsia="仿宋_GB2312"/>
          <w:sz w:val="32"/>
          <w:szCs w:val="32"/>
        </w:rPr>
        <w:t>2,355.03</w:t>
      </w:r>
      <w:r>
        <w:rPr>
          <w:rFonts w:hint="eastAsia" w:ascii="仿宋_GB2312" w:eastAsia="仿宋_GB2312"/>
          <w:sz w:val="32"/>
          <w:szCs w:val="32"/>
        </w:rPr>
        <w:t>万元，占98.98%；项目支出</w:t>
      </w:r>
      <w:r>
        <w:rPr>
          <w:rFonts w:ascii="仿宋_GB2312" w:eastAsia="仿宋_GB2312"/>
          <w:sz w:val="32"/>
          <w:szCs w:val="32"/>
        </w:rPr>
        <w:t>24.21</w:t>
      </w:r>
      <w:r>
        <w:rPr>
          <w:rFonts w:hint="eastAsia" w:ascii="仿宋_GB2312" w:eastAsia="仿宋_GB2312"/>
          <w:sz w:val="32"/>
          <w:szCs w:val="32"/>
        </w:rPr>
        <w:t>万元，占1.02%；上缴上级支出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年度财政拨款收入2,379.23万元，与上年相比，增加2,038.26万元，增长597.78%，主要原因是：</w:t>
      </w:r>
      <w:r>
        <w:rPr>
          <w:rFonts w:hint="eastAsia" w:ascii="仿宋_GB2312" w:eastAsia="仿宋_GB2312"/>
          <w:sz w:val="32"/>
          <w:szCs w:val="32"/>
          <w:lang w:val="en-US" w:eastAsia="zh-CN"/>
        </w:rPr>
        <w:t>本</w:t>
      </w:r>
      <w:r>
        <w:rPr>
          <w:rFonts w:hint="eastAsia" w:ascii="仿宋_GB2312" w:eastAsia="仿宋_GB2312"/>
          <w:sz w:val="32"/>
          <w:szCs w:val="32"/>
        </w:rPr>
        <w:t>年增加了两项职业年金补助项目；调资和正常晋升，在职干部工资增加。财政拨款支出2,379.23万元，与上年相比，增加2,038.26万元，增长597.78%，主要原因是：</w:t>
      </w:r>
      <w:r>
        <w:rPr>
          <w:rFonts w:hint="eastAsia" w:ascii="仿宋_GB2312" w:eastAsia="仿宋_GB2312"/>
          <w:sz w:val="32"/>
          <w:szCs w:val="32"/>
          <w:lang w:val="en-US" w:eastAsia="zh-CN"/>
        </w:rPr>
        <w:t>本</w:t>
      </w:r>
      <w:r>
        <w:rPr>
          <w:rFonts w:hint="eastAsia" w:ascii="仿宋_GB2312" w:eastAsia="仿宋_GB2312"/>
          <w:sz w:val="32"/>
          <w:szCs w:val="32"/>
        </w:rPr>
        <w:t>年增加了两项职业年金补助项目；调资和正常晋升，在职干部工资增加。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12,570.97</w:t>
      </w:r>
      <w:r>
        <w:rPr>
          <w:rFonts w:hint="eastAsia" w:ascii="仿宋_GB2312" w:eastAsia="仿宋_GB2312"/>
          <w:sz w:val="32"/>
          <w:szCs w:val="32"/>
        </w:rPr>
        <w:t>万元，决算数</w:t>
      </w:r>
      <w:r>
        <w:rPr>
          <w:rFonts w:ascii="仿宋_GB2312" w:eastAsia="仿宋_GB2312"/>
          <w:sz w:val="32"/>
          <w:szCs w:val="32"/>
        </w:rPr>
        <w:t>2,379.23</w:t>
      </w:r>
      <w:r>
        <w:rPr>
          <w:rFonts w:hint="eastAsia" w:ascii="仿宋_GB2312" w:eastAsia="仿宋_GB2312"/>
          <w:sz w:val="32"/>
          <w:szCs w:val="32"/>
        </w:rPr>
        <w:t>万元，预决算差异率</w:t>
      </w:r>
      <w:r>
        <w:rPr>
          <w:rFonts w:ascii="仿宋_GB2312" w:eastAsia="仿宋_GB2312"/>
          <w:sz w:val="32"/>
          <w:szCs w:val="32"/>
        </w:rPr>
        <w:t>-81.07</w:t>
      </w:r>
      <w:r>
        <w:rPr>
          <w:rFonts w:hint="eastAsia" w:ascii="仿宋_GB2312" w:eastAsia="仿宋_GB2312"/>
          <w:sz w:val="32"/>
          <w:szCs w:val="32"/>
        </w:rPr>
        <w:t>%，主要原因是：</w:t>
      </w:r>
      <w:r>
        <w:rPr>
          <w:rFonts w:hint="eastAsia" w:ascii="仿宋_GB2312" w:eastAsia="仿宋_GB2312"/>
          <w:sz w:val="32"/>
          <w:szCs w:val="32"/>
          <w:lang w:eastAsia="zh-CN"/>
        </w:rPr>
        <w:t>城乡居民基本养老保险</w:t>
      </w:r>
      <w:r>
        <w:rPr>
          <w:rFonts w:hint="eastAsia" w:ascii="仿宋_GB2312" w:eastAsia="仿宋_GB2312" w:cs="Times New Roman"/>
          <w:color w:val="auto"/>
          <w:spacing w:val="0"/>
          <w:kern w:val="2"/>
          <w:sz w:val="32"/>
          <w:szCs w:val="32"/>
          <w:highlight w:val="none"/>
          <w:lang w:val="en-US" w:eastAsia="zh-CN" w:bidi="ar-SA"/>
        </w:rPr>
        <w:t>项目资金减少</w:t>
      </w:r>
      <w:r>
        <w:rPr>
          <w:rFonts w:hint="eastAsia" w:ascii="仿宋_GB2312" w:eastAsia="仿宋_GB2312"/>
          <w:sz w:val="32"/>
          <w:szCs w:val="32"/>
        </w:rPr>
        <w:t>。财政拨款支出年初预算数</w:t>
      </w:r>
      <w:r>
        <w:rPr>
          <w:rFonts w:ascii="仿宋_GB2312" w:eastAsia="仿宋_GB2312"/>
          <w:sz w:val="32"/>
          <w:szCs w:val="32"/>
        </w:rPr>
        <w:t>12,570.97</w:t>
      </w:r>
      <w:r>
        <w:rPr>
          <w:rFonts w:hint="eastAsia" w:ascii="仿宋_GB2312" w:eastAsia="仿宋_GB2312"/>
          <w:sz w:val="32"/>
          <w:szCs w:val="32"/>
        </w:rPr>
        <w:t>万元，决算数</w:t>
      </w:r>
      <w:r>
        <w:rPr>
          <w:rFonts w:ascii="仿宋_GB2312" w:eastAsia="仿宋_GB2312"/>
          <w:sz w:val="32"/>
          <w:szCs w:val="32"/>
        </w:rPr>
        <w:t>2,379.23</w:t>
      </w:r>
      <w:r>
        <w:rPr>
          <w:rFonts w:hint="eastAsia" w:ascii="仿宋_GB2312" w:eastAsia="仿宋_GB2312"/>
          <w:sz w:val="32"/>
          <w:szCs w:val="32"/>
        </w:rPr>
        <w:t>万元，预决算差异率-81.07%，主要原因是：</w:t>
      </w:r>
      <w:r>
        <w:rPr>
          <w:rFonts w:hint="eastAsia" w:ascii="仿宋_GB2312" w:eastAsia="仿宋_GB2312"/>
          <w:sz w:val="32"/>
          <w:szCs w:val="32"/>
          <w:lang w:eastAsia="zh-CN"/>
        </w:rPr>
        <w:t>城乡居民基本养老保险</w:t>
      </w:r>
      <w:r>
        <w:rPr>
          <w:rFonts w:hint="eastAsia" w:ascii="仿宋_GB2312" w:eastAsia="仿宋_GB2312" w:cs="Times New Roman"/>
          <w:color w:val="auto"/>
          <w:spacing w:val="0"/>
          <w:kern w:val="2"/>
          <w:sz w:val="32"/>
          <w:szCs w:val="32"/>
          <w:highlight w:val="none"/>
          <w:lang w:val="en-US" w:eastAsia="zh-CN" w:bidi="ar-SA"/>
        </w:rPr>
        <w:t>项目资金减少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年度一般公共预算财政拨款支出2,379.23万元。按功能分类科目项级科目公开，其中：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2013299其他组织事务支出0.15万元；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2080101行政运行294.18万元；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2080109社会保险经办机构7.86万元；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2080199其他人力资源和社会保障管理事务支出3.30万元；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2080505机关事业单位基本养老保险缴费支出32.44万元；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2080506机关事业单位职业年金缴费支出2,004.07万元；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2080699其他企业改革发展补助12.90万元；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2210201住房公积金24.33万元。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2,355.03</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2,349.48</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万元，包括：基本工资、津贴补贴、奖金、绩效工资、机关事业单位基本养老保险缴费、职业年金缴费、职工基本医疗保险缴费、公务员医疗补助缴费、其他社会保障缴费、住房公积金、退休费、奖励金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公用经费5.55万元，包括：办公费、咨询费、手续费、邮电费、差旅费、维修（护）费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2021年度一般公共预算“三公”经费支出决算0.00万元，比上年减少1.33万元，降低100.00%，主要原因是</w:t>
      </w:r>
      <w:r>
        <w:rPr>
          <w:rFonts w:hint="eastAsia" w:ascii="仿宋_GB2312" w:eastAsia="仿宋_GB2312"/>
          <w:sz w:val="32"/>
          <w:szCs w:val="32"/>
          <w:lang w:eastAsia="zh-CN"/>
        </w:rPr>
        <w:t>：</w:t>
      </w:r>
      <w:r>
        <w:rPr>
          <w:rFonts w:ascii="仿宋_GB2312" w:eastAsia="仿宋_GB2312"/>
          <w:sz w:val="32"/>
          <w:szCs w:val="32"/>
        </w:rPr>
        <w:t>本年</w:t>
      </w:r>
      <w:r>
        <w:rPr>
          <w:rFonts w:hint="eastAsia" w:ascii="仿宋_GB2312" w:eastAsia="仿宋_GB2312"/>
          <w:sz w:val="32"/>
          <w:szCs w:val="32"/>
          <w:lang w:eastAsia="zh-CN"/>
        </w:rPr>
        <w:t>无</w:t>
      </w:r>
      <w:r>
        <w:rPr>
          <w:rFonts w:ascii="仿宋_GB2312" w:eastAsia="仿宋_GB2312"/>
          <w:sz w:val="32"/>
          <w:szCs w:val="32"/>
        </w:rPr>
        <w:t>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减少1.33万元，降低100.00%，主要原因是：本年未安排公务用车运行维护费支出；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与年初预算数相比情况：一般公共预算“三公”经费支出年初预算数1.42万元，决算数</w:t>
      </w:r>
      <w:r>
        <w:rPr>
          <w:rFonts w:ascii="仿宋_GB2312" w:eastAsia="仿宋_GB2312"/>
          <w:sz w:val="32"/>
          <w:szCs w:val="32"/>
        </w:rPr>
        <w:t>0.00</w:t>
      </w:r>
      <w:r>
        <w:rPr>
          <w:rFonts w:hint="eastAsia" w:ascii="仿宋_GB2312" w:eastAsia="仿宋_GB2312"/>
          <w:sz w:val="32"/>
          <w:szCs w:val="32"/>
        </w:rPr>
        <w:t>万元，预决算差异率-100.00%，主要原因是：</w:t>
      </w:r>
      <w:r>
        <w:rPr>
          <w:rFonts w:ascii="仿宋_GB2312" w:eastAsia="仿宋_GB2312"/>
          <w:sz w:val="32"/>
          <w:szCs w:val="32"/>
        </w:rPr>
        <w:t>本年</w:t>
      </w:r>
      <w:r>
        <w:rPr>
          <w:rFonts w:hint="eastAsia" w:ascii="仿宋_GB2312" w:eastAsia="仿宋_GB2312"/>
          <w:sz w:val="32"/>
          <w:szCs w:val="32"/>
          <w:lang w:eastAsia="zh-CN"/>
        </w:rPr>
        <w:t>无</w:t>
      </w:r>
      <w:r>
        <w:rPr>
          <w:rFonts w:ascii="仿宋_GB2312" w:eastAsia="仿宋_GB2312"/>
          <w:sz w:val="32"/>
          <w:szCs w:val="32"/>
        </w:rPr>
        <w:t>一般公共预算“三公”经费支出。</w:t>
      </w:r>
      <w:bookmarkStart w:id="52" w:name="_GoBack"/>
      <w:bookmarkEnd w:id="52"/>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预算数1.42万元，决算数0.00万元，预决算差异率-100.00%，主要原因是：本年未安排公务用车运行维护费支出；</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2021年度新疆喀什地区叶城县社会保险中心（行政单位和参照公务员法管理事业单位）机关运行经费支出</w:t>
      </w:r>
      <w:r>
        <w:rPr>
          <w:rFonts w:ascii="仿宋_GB2312" w:eastAsia="仿宋_GB2312"/>
          <w:sz w:val="32"/>
          <w:szCs w:val="32"/>
        </w:rPr>
        <w:t>5.55</w:t>
      </w:r>
      <w:r>
        <w:rPr>
          <w:rFonts w:hint="eastAsia" w:ascii="仿宋_GB2312" w:eastAsia="仿宋_GB2312"/>
          <w:sz w:val="32"/>
          <w:szCs w:val="32"/>
        </w:rPr>
        <w:t>万元，比上年减少1.15万元，降低17.16%，主要原因是：执行中央八项规定，压减公用经费支出。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4.51</w:t>
      </w:r>
      <w:r>
        <w:rPr>
          <w:rFonts w:hint="eastAsia" w:ascii="仿宋_GB2312" w:eastAsia="仿宋_GB2312"/>
          <w:sz w:val="32"/>
          <w:szCs w:val="32"/>
        </w:rPr>
        <w:t>万元，其中：政府采购货物支出</w:t>
      </w:r>
      <w:r>
        <w:rPr>
          <w:rFonts w:ascii="仿宋_GB2312" w:eastAsia="仿宋_GB2312"/>
          <w:sz w:val="32"/>
          <w:szCs w:val="32"/>
        </w:rPr>
        <w:t>4.17</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0.34</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4.15</w:t>
      </w:r>
      <w:r>
        <w:rPr>
          <w:rFonts w:hint="eastAsia" w:ascii="仿宋_GB2312" w:eastAsia="仿宋_GB2312"/>
          <w:sz w:val="32"/>
          <w:szCs w:val="32"/>
        </w:rPr>
        <w:t>万元，占政府采购支出总额的</w:t>
      </w:r>
      <w:r>
        <w:rPr>
          <w:rFonts w:ascii="仿宋_GB2312" w:eastAsia="仿宋_GB2312"/>
          <w:sz w:val="32"/>
          <w:szCs w:val="32"/>
        </w:rPr>
        <w:t>92.00</w:t>
      </w:r>
      <w:r>
        <w:rPr>
          <w:rFonts w:hint="eastAsia" w:ascii="仿宋_GB2312" w:eastAsia="仿宋_GB2312"/>
          <w:sz w:val="32"/>
          <w:szCs w:val="32"/>
        </w:rPr>
        <w:t>%，其中：授予小微企业合同金额</w:t>
      </w:r>
      <w:r>
        <w:rPr>
          <w:rFonts w:ascii="仿宋_GB2312" w:eastAsia="仿宋_GB2312"/>
          <w:sz w:val="32"/>
          <w:szCs w:val="32"/>
        </w:rPr>
        <w:t>4.15</w:t>
      </w:r>
      <w:r>
        <w:rPr>
          <w:rFonts w:hint="eastAsia" w:ascii="仿宋_GB2312" w:eastAsia="仿宋_GB2312"/>
          <w:sz w:val="32"/>
          <w:szCs w:val="32"/>
        </w:rPr>
        <w:t>万元，占政府采购支出总额的</w:t>
      </w:r>
      <w:r>
        <w:rPr>
          <w:rFonts w:ascii="仿宋_GB2312" w:eastAsia="仿宋_GB2312"/>
          <w:sz w:val="32"/>
          <w:szCs w:val="32"/>
        </w:rPr>
        <w:t>92.00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17.98</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辆，其他用车主要是：单位业务用车；单位价值50万元以上通用设备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11283"/>
      <w:bookmarkStart w:id="31" w:name="_Toc435"/>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根据预算绩效管理要求，我单位2021年度开展预算绩效评价项目7个，共涉及资金3410.37万元。预算绩效管理取得的成效：一</w:t>
      </w:r>
      <w:r>
        <w:rPr>
          <w:rFonts w:hint="eastAsia" w:ascii="仿宋_GB2312" w:eastAsia="仿宋_GB2312"/>
          <w:sz w:val="32"/>
          <w:szCs w:val="32"/>
          <w:lang w:val="en-US" w:eastAsia="zh-CN"/>
        </w:rPr>
        <w:t>是</w:t>
      </w:r>
      <w:r>
        <w:rPr>
          <w:rFonts w:ascii="仿宋_GB2312" w:eastAsia="仿宋_GB2312"/>
          <w:sz w:val="32"/>
          <w:szCs w:val="32"/>
        </w:rPr>
        <w:t>确保我县符合待遇领取条件的城乡参保居民按时足额领取到城乡居民基础养老金，实现了“老有所养”。有效推动了我县城乡居民基本养老保险制度可持续发展；二</w:t>
      </w:r>
      <w:r>
        <w:rPr>
          <w:rFonts w:hint="eastAsia" w:ascii="仿宋_GB2312" w:eastAsia="仿宋_GB2312"/>
          <w:sz w:val="32"/>
          <w:szCs w:val="32"/>
          <w:lang w:val="en-US" w:eastAsia="zh-CN"/>
        </w:rPr>
        <w:t>是</w:t>
      </w:r>
      <w:r>
        <w:rPr>
          <w:rFonts w:ascii="仿宋_GB2312" w:eastAsia="仿宋_GB2312"/>
          <w:sz w:val="32"/>
          <w:szCs w:val="32"/>
        </w:rPr>
        <w:t>有效保障了全县低保人员的老年生活，提高了低保人员生活水平，助于长期提高我县城乡居民养老保险制度可持续发展</w:t>
      </w:r>
      <w:r>
        <w:rPr>
          <w:rFonts w:hint="eastAsia" w:ascii="仿宋_GB2312" w:eastAsia="仿宋_GB2312"/>
          <w:sz w:val="32"/>
          <w:szCs w:val="32"/>
          <w:lang w:eastAsia="zh-CN"/>
        </w:rPr>
        <w:t>；</w:t>
      </w:r>
      <w:r>
        <w:rPr>
          <w:rFonts w:ascii="仿宋_GB2312" w:eastAsia="仿宋_GB2312"/>
          <w:sz w:val="32"/>
          <w:szCs w:val="32"/>
        </w:rPr>
        <w:t>三</w:t>
      </w:r>
      <w:r>
        <w:rPr>
          <w:rFonts w:hint="eastAsia" w:ascii="仿宋_GB2312" w:eastAsia="仿宋_GB2312"/>
          <w:sz w:val="32"/>
          <w:szCs w:val="32"/>
          <w:lang w:val="en-US" w:eastAsia="zh-CN"/>
        </w:rPr>
        <w:t>是</w:t>
      </w:r>
      <w:r>
        <w:rPr>
          <w:rFonts w:ascii="仿宋_GB2312" w:eastAsia="仿宋_GB2312"/>
          <w:sz w:val="32"/>
          <w:szCs w:val="32"/>
        </w:rPr>
        <w:t>项目实施后群众的参保自觉性进一步提高了，对于实现全民参保产生了巨大的现实意义。发现的问题及原因：一</w:t>
      </w:r>
      <w:r>
        <w:rPr>
          <w:rFonts w:hint="eastAsia" w:ascii="仿宋_GB2312" w:eastAsia="仿宋_GB2312"/>
          <w:sz w:val="32"/>
          <w:szCs w:val="32"/>
          <w:lang w:val="en-US" w:eastAsia="zh-CN"/>
        </w:rPr>
        <w:t>是</w:t>
      </w:r>
      <w:r>
        <w:rPr>
          <w:rFonts w:ascii="仿宋_GB2312" w:eastAsia="仿宋_GB2312"/>
          <w:sz w:val="32"/>
          <w:szCs w:val="32"/>
        </w:rPr>
        <w:t>单位设置绩效工作组织机构新成立，对各工作不够熟。通过制定年度计划，确定工作目标，明确组织实施措施和策略，有效地指导下年工作的正常有序开展。下一步改进措施：项目前期做好可行性研究报告，更加细化实施方案，严格执行资金管理办法和财政资金管理制度，严格按照项目实施方案稳步推进工作；项目启动时同步做好档案的归档与整理，及时整理，收集，汇总，健全档案资料；通过绩效管理，发现项目实施中存在漏洞，及时掌握与之相关的各类信息，减少成本，使资金效益最大化。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24143"/>
      <w:bookmarkStart w:id="33" w:name="_Toc3250"/>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6062"/>
      <w:bookmarkStart w:id="37" w:name="_Toc2183"/>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24532"/>
      <w:bookmarkStart w:id="39" w:name="_Toc30364"/>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21304"/>
      <w:bookmarkStart w:id="41" w:name="_Toc3243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14238"/>
      <w:bookmarkStart w:id="43" w:name="_Toc28786"/>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4869"/>
      <w:bookmarkStart w:id="45" w:name="_Toc10347"/>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5626"/>
      <w:bookmarkStart w:id="47" w:name="_Toc8884"/>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32663"/>
      <w:bookmarkStart w:id="49" w:name="_Toc29106"/>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5453"/>
      <w:bookmarkStart w:id="51" w:name="_Toc764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979E1"/>
    <w:rsid w:val="00EC7E67"/>
    <w:rsid w:val="00F074B1"/>
    <w:rsid w:val="00F647BE"/>
    <w:rsid w:val="00F85377"/>
    <w:rsid w:val="00FA62CF"/>
    <w:rsid w:val="01983742"/>
    <w:rsid w:val="01D35DA3"/>
    <w:rsid w:val="02E743B6"/>
    <w:rsid w:val="02F1741B"/>
    <w:rsid w:val="03B20AF9"/>
    <w:rsid w:val="04894237"/>
    <w:rsid w:val="04911B11"/>
    <w:rsid w:val="052035FD"/>
    <w:rsid w:val="05AF70DB"/>
    <w:rsid w:val="06792773"/>
    <w:rsid w:val="07346B79"/>
    <w:rsid w:val="0742534E"/>
    <w:rsid w:val="07E02CB0"/>
    <w:rsid w:val="08B509AF"/>
    <w:rsid w:val="08E75997"/>
    <w:rsid w:val="09E12A64"/>
    <w:rsid w:val="0AF87F94"/>
    <w:rsid w:val="0B835865"/>
    <w:rsid w:val="0BF6540F"/>
    <w:rsid w:val="0C58464C"/>
    <w:rsid w:val="0C7227A7"/>
    <w:rsid w:val="0C801B16"/>
    <w:rsid w:val="0D1E33E4"/>
    <w:rsid w:val="0DAA21EE"/>
    <w:rsid w:val="0FA7589A"/>
    <w:rsid w:val="102C6852"/>
    <w:rsid w:val="1081433D"/>
    <w:rsid w:val="12D3520E"/>
    <w:rsid w:val="13471D94"/>
    <w:rsid w:val="1396784F"/>
    <w:rsid w:val="13EC0B8A"/>
    <w:rsid w:val="14CB291B"/>
    <w:rsid w:val="14EB6229"/>
    <w:rsid w:val="155C65A7"/>
    <w:rsid w:val="15E95753"/>
    <w:rsid w:val="15FE010B"/>
    <w:rsid w:val="16F045F9"/>
    <w:rsid w:val="176E6CF3"/>
    <w:rsid w:val="17C618A3"/>
    <w:rsid w:val="185F4F4D"/>
    <w:rsid w:val="193D4B9E"/>
    <w:rsid w:val="1B4E62E5"/>
    <w:rsid w:val="1C666C77"/>
    <w:rsid w:val="1C8B4975"/>
    <w:rsid w:val="1C98798D"/>
    <w:rsid w:val="1D2D783E"/>
    <w:rsid w:val="1D9D4C68"/>
    <w:rsid w:val="1DAF458D"/>
    <w:rsid w:val="1E150A80"/>
    <w:rsid w:val="1E36403D"/>
    <w:rsid w:val="1EAA00AC"/>
    <w:rsid w:val="1FA73C1B"/>
    <w:rsid w:val="21F26535"/>
    <w:rsid w:val="24B94A23"/>
    <w:rsid w:val="24D92E35"/>
    <w:rsid w:val="258917FB"/>
    <w:rsid w:val="27AF63CE"/>
    <w:rsid w:val="27CF2642"/>
    <w:rsid w:val="28605A33"/>
    <w:rsid w:val="287F6D5A"/>
    <w:rsid w:val="294E4805"/>
    <w:rsid w:val="29E96D83"/>
    <w:rsid w:val="29EC087F"/>
    <w:rsid w:val="2A053397"/>
    <w:rsid w:val="2ABE0B21"/>
    <w:rsid w:val="2B3A3AD8"/>
    <w:rsid w:val="2BEE2EFB"/>
    <w:rsid w:val="2D1136DF"/>
    <w:rsid w:val="2DE716FC"/>
    <w:rsid w:val="2E59285E"/>
    <w:rsid w:val="2FD27414"/>
    <w:rsid w:val="306F6AB0"/>
    <w:rsid w:val="31857BAC"/>
    <w:rsid w:val="31B5304E"/>
    <w:rsid w:val="31C63837"/>
    <w:rsid w:val="33206C0F"/>
    <w:rsid w:val="33BC32B4"/>
    <w:rsid w:val="3429669A"/>
    <w:rsid w:val="34965581"/>
    <w:rsid w:val="35C5793C"/>
    <w:rsid w:val="36325697"/>
    <w:rsid w:val="36E958BB"/>
    <w:rsid w:val="370D7281"/>
    <w:rsid w:val="38CB046A"/>
    <w:rsid w:val="3A3D2F4A"/>
    <w:rsid w:val="3A643253"/>
    <w:rsid w:val="3ADC3658"/>
    <w:rsid w:val="3B5D1933"/>
    <w:rsid w:val="3B6D4E47"/>
    <w:rsid w:val="3D1D5019"/>
    <w:rsid w:val="3D5275AC"/>
    <w:rsid w:val="3E1A76DD"/>
    <w:rsid w:val="3E2B7A03"/>
    <w:rsid w:val="3E9A7BA4"/>
    <w:rsid w:val="3F076061"/>
    <w:rsid w:val="3F6A08C0"/>
    <w:rsid w:val="40730CCD"/>
    <w:rsid w:val="43DC2A6C"/>
    <w:rsid w:val="455E1F7C"/>
    <w:rsid w:val="45897ADA"/>
    <w:rsid w:val="46901EEE"/>
    <w:rsid w:val="469C74D2"/>
    <w:rsid w:val="48A52360"/>
    <w:rsid w:val="4902047E"/>
    <w:rsid w:val="4A612A5D"/>
    <w:rsid w:val="4A7D4485"/>
    <w:rsid w:val="4C2E1A9B"/>
    <w:rsid w:val="4C3208AE"/>
    <w:rsid w:val="4C7A3F03"/>
    <w:rsid w:val="4DE45AD9"/>
    <w:rsid w:val="4E11500F"/>
    <w:rsid w:val="4EEF1380"/>
    <w:rsid w:val="4F9D7B44"/>
    <w:rsid w:val="50DB5F45"/>
    <w:rsid w:val="51197C54"/>
    <w:rsid w:val="512709C0"/>
    <w:rsid w:val="51DB4252"/>
    <w:rsid w:val="52314E57"/>
    <w:rsid w:val="523358A5"/>
    <w:rsid w:val="53350823"/>
    <w:rsid w:val="54054866"/>
    <w:rsid w:val="54F22EA5"/>
    <w:rsid w:val="55516A31"/>
    <w:rsid w:val="59444B98"/>
    <w:rsid w:val="59613A4F"/>
    <w:rsid w:val="59996596"/>
    <w:rsid w:val="5A8B468F"/>
    <w:rsid w:val="5C386C32"/>
    <w:rsid w:val="5D286D33"/>
    <w:rsid w:val="5D630BDE"/>
    <w:rsid w:val="5DA21131"/>
    <w:rsid w:val="5E8A0BA7"/>
    <w:rsid w:val="5FFF1C5A"/>
    <w:rsid w:val="614676E2"/>
    <w:rsid w:val="61A46A97"/>
    <w:rsid w:val="62B14929"/>
    <w:rsid w:val="64275BB0"/>
    <w:rsid w:val="64925820"/>
    <w:rsid w:val="6627325F"/>
    <w:rsid w:val="66F72012"/>
    <w:rsid w:val="67623B14"/>
    <w:rsid w:val="67774669"/>
    <w:rsid w:val="68706FD2"/>
    <w:rsid w:val="690B22CE"/>
    <w:rsid w:val="69AD798C"/>
    <w:rsid w:val="69F01279"/>
    <w:rsid w:val="6AF10A58"/>
    <w:rsid w:val="6B311CD9"/>
    <w:rsid w:val="6B68175F"/>
    <w:rsid w:val="6B8500AE"/>
    <w:rsid w:val="6BE07523"/>
    <w:rsid w:val="6C81696B"/>
    <w:rsid w:val="6D322DBC"/>
    <w:rsid w:val="6D587ECB"/>
    <w:rsid w:val="6DE375B7"/>
    <w:rsid w:val="6F516C58"/>
    <w:rsid w:val="6FDFD92C"/>
    <w:rsid w:val="6FFF530B"/>
    <w:rsid w:val="704911DC"/>
    <w:rsid w:val="70A609BC"/>
    <w:rsid w:val="70ED3B79"/>
    <w:rsid w:val="71293141"/>
    <w:rsid w:val="73FB6630"/>
    <w:rsid w:val="74060C43"/>
    <w:rsid w:val="746E5BCC"/>
    <w:rsid w:val="74947C20"/>
    <w:rsid w:val="761262E7"/>
    <w:rsid w:val="76416A32"/>
    <w:rsid w:val="77022DD9"/>
    <w:rsid w:val="77ED6F44"/>
    <w:rsid w:val="781C46B1"/>
    <w:rsid w:val="7D6971FA"/>
    <w:rsid w:val="7DF42720"/>
    <w:rsid w:val="7E6C6E77"/>
    <w:rsid w:val="7EE23022"/>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1</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2023-08-10T11:50:02Z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