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新疆喀什地区叶城县西合休乡卫生院2021年度部门决算公开说明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新疆喀什地区叶城县西合休乡卫生院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22</w:t>
      </w:r>
      <w:r>
        <w:rPr>
          <w:rFonts w:hint="eastAsia" w:ascii="仿宋_GB2312" w:eastAsia="仿宋_GB2312"/>
          <w:sz w:val="32"/>
          <w:szCs w:val="32"/>
        </w:rPr>
        <w:t>人，其中：在职人员</w:t>
      </w:r>
      <w:r>
        <w:rPr>
          <w:rFonts w:ascii="仿宋_GB2312" w:eastAsia="仿宋_GB2312"/>
          <w:sz w:val="32"/>
          <w:szCs w:val="32"/>
        </w:rPr>
        <w:t>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从部门决算单位构成看，新疆喀什地区叶城县西合休乡卫生院部门决算包括：新疆喀什地区叶城县西合休乡卫生院决算。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301.72</w:t>
      </w:r>
      <w:r>
        <w:rPr>
          <w:rFonts w:hint="eastAsia" w:ascii="仿宋_GB2312" w:eastAsia="仿宋_GB2312"/>
          <w:sz w:val="32"/>
          <w:szCs w:val="32"/>
        </w:rPr>
        <w:t>万元，与上年相比，增加57.55万元，</w:t>
      </w:r>
      <w:r>
        <w:rPr>
          <w:rFonts w:ascii="仿宋_GB2312" w:eastAsia="仿宋_GB2312"/>
          <w:sz w:val="32"/>
          <w:szCs w:val="32"/>
        </w:rPr>
        <w:t>增长23.57</w:t>
      </w:r>
      <w:r>
        <w:rPr>
          <w:rFonts w:hint="eastAsia" w:ascii="仿宋_GB2312" w:eastAsia="仿宋_GB2312"/>
          <w:sz w:val="32"/>
          <w:szCs w:val="32"/>
        </w:rPr>
        <w:t>%，主要原因是：人员工资调增，人员经费增加。本年支出</w:t>
      </w:r>
      <w:r>
        <w:rPr>
          <w:rFonts w:ascii="仿宋_GB2312" w:eastAsia="仿宋_GB2312"/>
          <w:sz w:val="32"/>
          <w:szCs w:val="32"/>
        </w:rPr>
        <w:t>301.72</w:t>
      </w:r>
      <w:r>
        <w:rPr>
          <w:rFonts w:hint="eastAsia" w:ascii="仿宋_GB2312" w:eastAsia="仿宋_GB2312"/>
          <w:sz w:val="32"/>
          <w:szCs w:val="32"/>
        </w:rPr>
        <w:t>万元，与上年相比，</w:t>
      </w:r>
      <w:r>
        <w:rPr>
          <w:rFonts w:ascii="仿宋_GB2312" w:eastAsia="仿宋_GB2312"/>
          <w:sz w:val="32"/>
          <w:szCs w:val="32"/>
        </w:rPr>
        <w:t>增加57.55</w:t>
      </w:r>
      <w:r>
        <w:rPr>
          <w:rFonts w:hint="eastAsia" w:ascii="仿宋_GB2312" w:eastAsia="仿宋_GB2312"/>
          <w:sz w:val="32"/>
          <w:szCs w:val="32"/>
        </w:rPr>
        <w:t>万元，</w:t>
      </w:r>
      <w:r>
        <w:rPr>
          <w:rFonts w:ascii="仿宋_GB2312" w:eastAsia="仿宋_GB2312"/>
          <w:sz w:val="32"/>
          <w:szCs w:val="32"/>
        </w:rPr>
        <w:t>增长23.57</w:t>
      </w:r>
      <w:r>
        <w:rPr>
          <w:rFonts w:hint="eastAsia" w:ascii="仿宋_GB2312" w:eastAsia="仿宋_GB2312"/>
          <w:sz w:val="32"/>
          <w:szCs w:val="32"/>
        </w:rPr>
        <w:t>%，主要原因是：人员工资调增，人员经费支出增加。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301.72</w:t>
      </w:r>
      <w:r>
        <w:rPr>
          <w:rFonts w:hint="eastAsia" w:ascii="仿宋_GB2312" w:eastAsia="仿宋_GB2312"/>
          <w:sz w:val="32"/>
          <w:szCs w:val="32"/>
        </w:rPr>
        <w:t>万元，其中：财政拨款收入</w:t>
      </w:r>
      <w:r>
        <w:rPr>
          <w:rFonts w:ascii="仿宋_GB2312" w:eastAsia="仿宋_GB2312"/>
          <w:sz w:val="32"/>
          <w:szCs w:val="32"/>
        </w:rPr>
        <w:t>299.21</w:t>
      </w:r>
      <w:r>
        <w:rPr>
          <w:rFonts w:hint="eastAsia" w:ascii="仿宋_GB2312" w:eastAsia="仿宋_GB2312"/>
          <w:sz w:val="32"/>
          <w:szCs w:val="32"/>
        </w:rPr>
        <w:t>万元，占99.17%；上级补助收入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2.52</w:t>
      </w:r>
      <w:r>
        <w:rPr>
          <w:rFonts w:hint="eastAsia" w:ascii="仿宋_GB2312" w:eastAsia="仿宋_GB2312"/>
          <w:sz w:val="32"/>
          <w:szCs w:val="32"/>
        </w:rPr>
        <w:t>万元，占0.83%；经营收入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年度本年支出301.72万元，其中：基本支出</w:t>
      </w:r>
      <w:r>
        <w:rPr>
          <w:rFonts w:ascii="仿宋_GB2312" w:eastAsia="仿宋_GB2312"/>
          <w:sz w:val="32"/>
          <w:szCs w:val="32"/>
        </w:rPr>
        <w:t>236.96</w:t>
      </w:r>
      <w:r>
        <w:rPr>
          <w:rFonts w:hint="eastAsia" w:ascii="仿宋_GB2312" w:eastAsia="仿宋_GB2312"/>
          <w:sz w:val="32"/>
          <w:szCs w:val="32"/>
        </w:rPr>
        <w:t>万元，占78.54%；项目支出</w:t>
      </w:r>
      <w:r>
        <w:rPr>
          <w:rFonts w:ascii="仿宋_GB2312" w:eastAsia="仿宋_GB2312"/>
          <w:sz w:val="32"/>
          <w:szCs w:val="32"/>
        </w:rPr>
        <w:t>64.76</w:t>
      </w:r>
      <w:r>
        <w:rPr>
          <w:rFonts w:hint="eastAsia" w:ascii="仿宋_GB2312" w:eastAsia="仿宋_GB2312"/>
          <w:sz w:val="32"/>
          <w:szCs w:val="32"/>
        </w:rPr>
        <w:t>万元，占21.46%；上缴上级支出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299.21万元，与上年相比，增加104.04万元，增长53.31%，主要原因是：人员工资调增，人员经费增加；增加乡镇卫生院业务工作经费。财政拨款支出299.21万元，与上年相比，增加104.04万元，增长53.31%，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197.46</w:t>
      </w:r>
      <w:r>
        <w:rPr>
          <w:rFonts w:hint="eastAsia" w:ascii="仿宋_GB2312" w:eastAsia="仿宋_GB2312"/>
          <w:sz w:val="32"/>
          <w:szCs w:val="32"/>
        </w:rPr>
        <w:t>万元，决算数</w:t>
      </w:r>
      <w:r>
        <w:rPr>
          <w:rFonts w:ascii="仿宋_GB2312" w:eastAsia="仿宋_GB2312"/>
          <w:sz w:val="32"/>
          <w:szCs w:val="32"/>
        </w:rPr>
        <w:t>299.21</w:t>
      </w:r>
      <w:r>
        <w:rPr>
          <w:rFonts w:hint="eastAsia" w:ascii="仿宋_GB2312" w:eastAsia="仿宋_GB2312"/>
          <w:sz w:val="32"/>
          <w:szCs w:val="32"/>
        </w:rPr>
        <w:t>万元，预决算差异率</w:t>
      </w:r>
      <w:r>
        <w:rPr>
          <w:rFonts w:ascii="仿宋_GB2312" w:eastAsia="仿宋_GB2312"/>
          <w:sz w:val="32"/>
          <w:szCs w:val="32"/>
        </w:rPr>
        <w:t>51.53</w:t>
      </w:r>
      <w:r>
        <w:rPr>
          <w:rFonts w:hint="eastAsia" w:ascii="仿宋_GB2312" w:eastAsia="仿宋_GB2312"/>
          <w:sz w:val="32"/>
          <w:szCs w:val="32"/>
        </w:rPr>
        <w:t>%，主要原因是：年中追加项目资金。财政拨款支出年初预算数</w:t>
      </w:r>
      <w:r>
        <w:rPr>
          <w:rFonts w:ascii="仿宋_GB2312" w:eastAsia="仿宋_GB2312"/>
          <w:sz w:val="32"/>
          <w:szCs w:val="32"/>
        </w:rPr>
        <w:t>197.46</w:t>
      </w:r>
      <w:r>
        <w:rPr>
          <w:rFonts w:hint="eastAsia" w:ascii="仿宋_GB2312" w:eastAsia="仿宋_GB2312"/>
          <w:sz w:val="32"/>
          <w:szCs w:val="32"/>
        </w:rPr>
        <w:t>万元，决算数</w:t>
      </w:r>
      <w:r>
        <w:rPr>
          <w:rFonts w:ascii="仿宋_GB2312" w:eastAsia="仿宋_GB2312"/>
          <w:sz w:val="32"/>
          <w:szCs w:val="32"/>
        </w:rPr>
        <w:t>299.21</w:t>
      </w:r>
      <w:r>
        <w:rPr>
          <w:rFonts w:hint="eastAsia" w:ascii="仿宋_GB2312" w:eastAsia="仿宋_GB2312"/>
          <w:sz w:val="32"/>
          <w:szCs w:val="32"/>
        </w:rPr>
        <w:t>万元，预决算差异率51.53%，主要原因是：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年度一般公共预算财政拨款支出299.21万元。按功能分类科目项级科目公开，其中：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2080505机关事业单位基本养老保险缴费支出22.54万元；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2100302乡镇卫生院276.67万元。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234.45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234.45</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2021年度新疆喀什地区叶城县西合休乡卫生院（事业单位）公用经费0.00万元，比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3,059.36</w:t>
      </w:r>
      <w:r>
        <w:rPr>
          <w:rFonts w:hint="eastAsia" w:ascii="仿宋_GB2312" w:eastAsia="仿宋_GB2312"/>
          <w:sz w:val="32"/>
          <w:szCs w:val="32"/>
        </w:rPr>
        <w:t>（平方米），价值</w:t>
      </w:r>
      <w:r>
        <w:rPr>
          <w:rFonts w:ascii="仿宋_GB2312" w:eastAsia="仿宋_GB2312"/>
          <w:sz w:val="32"/>
          <w:szCs w:val="32"/>
        </w:rPr>
        <w:t>720.30</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86.45</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232E01"/>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B2A0D58"/>
    <w:rsid w:val="4C2E1A9B"/>
    <w:rsid w:val="4DE45AD9"/>
    <w:rsid w:val="4E11500F"/>
    <w:rsid w:val="4EEF1380"/>
    <w:rsid w:val="4F0C2B49"/>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5340A0A"/>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B151CB"/>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4049</Words>
  <Characters>4486</Characters>
  <Lines>59</Lines>
  <Paragraphs>16</Paragraphs>
  <TotalTime>22</TotalTime>
  <ScaleCrop>false</ScaleCrop>
  <LinksUpToDate>false</LinksUpToDate>
  <CharactersWithSpaces>4496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2023-08-11T03:31:12Z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