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C8D94D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叶城县伯西热克镇卫生院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72E7D34">
      <w:r>
        <w:br w:type="page"/>
      </w:r>
    </w:p>
    <w:p w14:paraId="1A177C9A">
      <w:pPr>
        <w:spacing w:line="640" w:lineRule="exact"/>
        <w:jc w:val="center"/>
        <w:outlineLvl w:val="1"/>
      </w:pPr>
      <w:r>
        <w:rPr>
          <w:rFonts w:ascii="黑体" w:hAnsi="黑体" w:eastAsia="黑体"/>
          <w:sz w:val="32"/>
        </w:rPr>
        <w:t>第一部分 单位概况</w:t>
      </w:r>
    </w:p>
    <w:p w14:paraId="3449E2C0">
      <w:pPr>
        <w:spacing w:line="640" w:lineRule="exact"/>
        <w:ind w:firstLine="640"/>
        <w:jc w:val="both"/>
        <w:outlineLvl w:val="2"/>
      </w:pPr>
      <w:r>
        <w:rPr>
          <w:rFonts w:ascii="黑体" w:hAnsi="黑体" w:eastAsia="黑体"/>
          <w:sz w:val="32"/>
        </w:rPr>
        <w:t>一、主要职能</w:t>
      </w:r>
    </w:p>
    <w:p w14:paraId="56A2ECC3">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4278D6BB">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w:t>
      </w:r>
      <w:bookmarkStart w:id="0" w:name="_GoBack"/>
      <w:r>
        <w:rPr>
          <w:rFonts w:ascii="仿宋_GB2312" w:hAnsi="仿宋_GB2312" w:eastAsia="仿宋_GB2312"/>
          <w:sz w:val="32"/>
        </w:rPr>
        <w:t>传染病</w:t>
      </w:r>
      <w:bookmarkEnd w:id="0"/>
      <w:r>
        <w:rPr>
          <w:rFonts w:ascii="仿宋_GB2312" w:hAnsi="仿宋_GB2312" w:eastAsia="仿宋_GB2312"/>
          <w:sz w:val="32"/>
        </w:rPr>
        <w:t>、地方病防治等农村突发公共卫生事件报告工作，重点控制严重危害农民身体健康的传染病、地方病、职业病和寄生虫病等重大疾病。</w:t>
      </w:r>
    </w:p>
    <w:p w14:paraId="5588FA67">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0C9CDB96">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1410910E">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70B05A00">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738A75A6">
      <w:pPr>
        <w:spacing w:line="640" w:lineRule="exact"/>
        <w:ind w:firstLine="640"/>
        <w:jc w:val="both"/>
        <w:outlineLvl w:val="2"/>
      </w:pPr>
      <w:r>
        <w:rPr>
          <w:rFonts w:ascii="黑体" w:hAnsi="黑体" w:eastAsia="黑体"/>
          <w:sz w:val="32"/>
        </w:rPr>
        <w:t>二、机构设置及人员情况</w:t>
      </w:r>
    </w:p>
    <w:p w14:paraId="12728C82">
      <w:pPr>
        <w:spacing w:line="580" w:lineRule="exact"/>
        <w:ind w:firstLine="640"/>
        <w:jc w:val="both"/>
      </w:pPr>
      <w:r>
        <w:rPr>
          <w:rFonts w:ascii="仿宋_GB2312" w:hAnsi="仿宋_GB2312" w:eastAsia="仿宋_GB2312"/>
          <w:sz w:val="32"/>
        </w:rPr>
        <w:t>叶城县伯西热克镇卫生院2024年度，实有人数43人，其中：在职人员36人，减少4人；离休人员0人，增加0人；退休人员7人,减少2人。</w:t>
      </w:r>
    </w:p>
    <w:p w14:paraId="4AA8E8BF">
      <w:pPr>
        <w:spacing w:line="580" w:lineRule="exact"/>
        <w:ind w:firstLine="640"/>
        <w:jc w:val="both"/>
      </w:pPr>
      <w:r>
        <w:rPr>
          <w:rFonts w:ascii="仿宋_GB2312" w:hAnsi="仿宋_GB2312" w:eastAsia="仿宋_GB2312"/>
          <w:sz w:val="32"/>
        </w:rPr>
        <w:t>叶城县伯西热克镇卫生院无下属预算单位，下设</w:t>
      </w:r>
      <w:r>
        <w:rPr>
          <w:rFonts w:hint="eastAsia" w:ascii="仿宋_GB2312" w:hAnsi="仿宋_GB2312" w:eastAsia="仿宋_GB2312"/>
          <w:sz w:val="32"/>
          <w:lang w:val="en-US" w:eastAsia="zh-CN"/>
        </w:rPr>
        <w:t>15</w:t>
      </w:r>
      <w:r>
        <w:rPr>
          <w:rFonts w:ascii="仿宋_GB2312" w:hAnsi="仿宋_GB2312" w:eastAsia="仿宋_GB2312"/>
          <w:sz w:val="32"/>
        </w:rPr>
        <w:t>个科室，分别是：书记办公室、党建办，财务科、医务科、住院部、药剂科、检验科、放射科、公共卫生科、体检科</w:t>
      </w:r>
      <w:r>
        <w:rPr>
          <w:rFonts w:hint="eastAsia" w:ascii="仿宋_GB2312" w:hAnsi="仿宋_GB2312" w:eastAsia="仿宋_GB2312"/>
          <w:sz w:val="32"/>
          <w:lang w:eastAsia="zh-CN"/>
        </w:rPr>
        <w:t>、</w:t>
      </w:r>
      <w:r>
        <w:rPr>
          <w:rFonts w:ascii="仿宋_GB2312" w:hAnsi="仿宋_GB2312" w:eastAsia="仿宋_GB2312"/>
          <w:sz w:val="32"/>
        </w:rPr>
        <w:t>防疫科</w:t>
      </w:r>
      <w:r>
        <w:rPr>
          <w:rFonts w:hint="eastAsia" w:ascii="仿宋_GB2312" w:hAnsi="仿宋_GB2312" w:eastAsia="仿宋_GB2312"/>
          <w:sz w:val="32"/>
          <w:lang w:eastAsia="zh-CN"/>
        </w:rPr>
        <w:t>、</w:t>
      </w:r>
      <w:r>
        <w:rPr>
          <w:rFonts w:ascii="仿宋_GB2312" w:hAnsi="仿宋_GB2312" w:eastAsia="仿宋_GB2312"/>
          <w:sz w:val="32"/>
        </w:rPr>
        <w:t>接种门诊</w:t>
      </w:r>
      <w:r>
        <w:rPr>
          <w:rFonts w:hint="eastAsia" w:ascii="仿宋_GB2312" w:hAnsi="仿宋_GB2312" w:eastAsia="仿宋_GB2312"/>
          <w:sz w:val="32"/>
          <w:lang w:eastAsia="zh-CN"/>
        </w:rPr>
        <w:t>、</w:t>
      </w:r>
      <w:r>
        <w:rPr>
          <w:rFonts w:ascii="仿宋_GB2312" w:hAnsi="仿宋_GB2312" w:eastAsia="仿宋_GB2312"/>
          <w:sz w:val="32"/>
        </w:rPr>
        <w:t>人事科</w:t>
      </w:r>
      <w:r>
        <w:rPr>
          <w:rFonts w:hint="eastAsia" w:ascii="仿宋_GB2312" w:hAnsi="仿宋_GB2312" w:eastAsia="仿宋_GB2312"/>
          <w:sz w:val="32"/>
          <w:lang w:eastAsia="zh-CN"/>
        </w:rPr>
        <w:t>、</w:t>
      </w:r>
      <w:r>
        <w:rPr>
          <w:rFonts w:ascii="仿宋_GB2312" w:hAnsi="仿宋_GB2312" w:eastAsia="仿宋_GB2312"/>
          <w:sz w:val="32"/>
        </w:rPr>
        <w:t>妇幼保健科</w:t>
      </w:r>
      <w:r>
        <w:rPr>
          <w:rFonts w:hint="eastAsia" w:ascii="仿宋_GB2312" w:hAnsi="仿宋_GB2312" w:eastAsia="仿宋_GB2312"/>
          <w:sz w:val="32"/>
          <w:lang w:eastAsia="zh-CN"/>
        </w:rPr>
        <w:t>、</w:t>
      </w:r>
      <w:r>
        <w:rPr>
          <w:rFonts w:ascii="仿宋_GB2312" w:hAnsi="仿宋_GB2312" w:eastAsia="仿宋_GB2312"/>
          <w:sz w:val="32"/>
        </w:rPr>
        <w:t>医保办。</w:t>
      </w:r>
    </w:p>
    <w:p w14:paraId="7B2C871B">
      <w:r>
        <w:br w:type="page"/>
      </w:r>
    </w:p>
    <w:p w14:paraId="34A85902">
      <w:pPr>
        <w:spacing w:line="240" w:lineRule="auto"/>
        <w:jc w:val="center"/>
        <w:outlineLvl w:val="1"/>
      </w:pPr>
      <w:r>
        <w:rPr>
          <w:rFonts w:ascii="黑体" w:hAnsi="黑体" w:eastAsia="黑体"/>
          <w:sz w:val="32"/>
        </w:rPr>
        <w:t>第二部分 部门决算情况说明</w:t>
      </w:r>
    </w:p>
    <w:p w14:paraId="47A9C2CD">
      <w:pPr>
        <w:spacing w:line="640" w:lineRule="exact"/>
        <w:ind w:firstLine="640"/>
        <w:jc w:val="both"/>
        <w:outlineLvl w:val="2"/>
      </w:pPr>
      <w:r>
        <w:rPr>
          <w:rFonts w:ascii="黑体" w:hAnsi="黑体" w:eastAsia="黑体"/>
          <w:sz w:val="32"/>
        </w:rPr>
        <w:t>一、收入支出决算总体情况说明</w:t>
      </w:r>
    </w:p>
    <w:p w14:paraId="62A91CF8">
      <w:pPr>
        <w:spacing w:line="580" w:lineRule="exact"/>
        <w:ind w:firstLine="640"/>
        <w:jc w:val="both"/>
      </w:pPr>
      <w:r>
        <w:rPr>
          <w:rFonts w:ascii="仿宋_GB2312" w:hAnsi="仿宋_GB2312" w:eastAsia="仿宋_GB2312"/>
          <w:b/>
          <w:sz w:val="32"/>
        </w:rPr>
        <w:t>2024年度收入总计1,856.48万元，</w:t>
      </w:r>
      <w:r>
        <w:rPr>
          <w:rFonts w:ascii="仿宋_GB2312" w:hAnsi="仿宋_GB2312" w:eastAsia="仿宋_GB2312"/>
          <w:b w:val="0"/>
          <w:sz w:val="32"/>
        </w:rPr>
        <w:t>其中：本年收入合计1,856.48万元，使用非财政拨款结余（含专用结余）0.00万元，年初结转和结余0.00万元。</w:t>
      </w:r>
    </w:p>
    <w:p w14:paraId="2CC35454">
      <w:pPr>
        <w:spacing w:line="580" w:lineRule="exact"/>
        <w:ind w:firstLine="640"/>
        <w:jc w:val="both"/>
      </w:pPr>
      <w:r>
        <w:rPr>
          <w:rFonts w:ascii="仿宋_GB2312" w:hAnsi="仿宋_GB2312" w:eastAsia="仿宋_GB2312"/>
          <w:b/>
          <w:sz w:val="32"/>
        </w:rPr>
        <w:t>2024年度支出总计1,856.48万元，</w:t>
      </w:r>
      <w:r>
        <w:rPr>
          <w:rFonts w:ascii="仿宋_GB2312" w:hAnsi="仿宋_GB2312" w:eastAsia="仿宋_GB2312"/>
          <w:b w:val="0"/>
          <w:sz w:val="32"/>
        </w:rPr>
        <w:t>其中：本年支出合计1,856.48万元，结余分配0.00万元，年末结转和结余0.00万元。</w:t>
      </w:r>
    </w:p>
    <w:p w14:paraId="49CB2DAF">
      <w:pPr>
        <w:spacing w:line="580" w:lineRule="exact"/>
        <w:ind w:firstLine="640"/>
        <w:jc w:val="both"/>
      </w:pPr>
      <w:r>
        <w:rPr>
          <w:rFonts w:ascii="仿宋_GB2312" w:hAnsi="仿宋_GB2312" w:eastAsia="仿宋_GB2312"/>
          <w:b w:val="0"/>
          <w:sz w:val="32"/>
        </w:rPr>
        <w:t>收入支出总体与上年相比，增加96.90万元，增长5.51%，主要原因是：本年就诊人数增加，医疗收入增加。</w:t>
      </w:r>
    </w:p>
    <w:p w14:paraId="2C9102F1">
      <w:pPr>
        <w:spacing w:line="640" w:lineRule="exact"/>
        <w:ind w:firstLine="640"/>
        <w:jc w:val="both"/>
        <w:outlineLvl w:val="2"/>
      </w:pPr>
      <w:r>
        <w:rPr>
          <w:rFonts w:ascii="黑体" w:hAnsi="黑体" w:eastAsia="黑体"/>
          <w:sz w:val="32"/>
        </w:rPr>
        <w:t>二、收入决算情况说明</w:t>
      </w:r>
    </w:p>
    <w:p w14:paraId="146E214A">
      <w:pPr>
        <w:spacing w:line="580" w:lineRule="exact"/>
        <w:ind w:firstLine="640"/>
        <w:jc w:val="both"/>
      </w:pPr>
      <w:r>
        <w:rPr>
          <w:rFonts w:ascii="仿宋_GB2312" w:hAnsi="仿宋_GB2312" w:eastAsia="仿宋_GB2312"/>
          <w:b/>
          <w:sz w:val="32"/>
        </w:rPr>
        <w:t>本年收入1,856.48万元，</w:t>
      </w:r>
      <w:r>
        <w:rPr>
          <w:rFonts w:ascii="仿宋_GB2312" w:hAnsi="仿宋_GB2312" w:eastAsia="仿宋_GB2312"/>
          <w:b w:val="0"/>
          <w:sz w:val="32"/>
        </w:rPr>
        <w:t>其中：财政拨款收入1,319.36万元，占71.07%；上级补助收入0.00万元，占0.00%；事业收入537.12万元，占28.93%；经营收入0.00万元，占0.00%；附属单位上缴收入0.00万元，占0.00%；其他收入0.00万元，占0.00%。</w:t>
      </w:r>
    </w:p>
    <w:p w14:paraId="7D31B063">
      <w:pPr>
        <w:spacing w:line="640" w:lineRule="exact"/>
        <w:ind w:firstLine="640"/>
        <w:jc w:val="both"/>
        <w:outlineLvl w:val="2"/>
      </w:pPr>
      <w:r>
        <w:rPr>
          <w:rFonts w:ascii="黑体" w:hAnsi="黑体" w:eastAsia="黑体"/>
          <w:sz w:val="32"/>
        </w:rPr>
        <w:t>三、支出决算情况说明</w:t>
      </w:r>
    </w:p>
    <w:p w14:paraId="28007C26">
      <w:pPr>
        <w:spacing w:line="580" w:lineRule="exact"/>
        <w:ind w:firstLine="640"/>
        <w:jc w:val="both"/>
      </w:pPr>
      <w:r>
        <w:rPr>
          <w:rFonts w:ascii="仿宋_GB2312" w:hAnsi="仿宋_GB2312" w:eastAsia="仿宋_GB2312"/>
          <w:b/>
          <w:sz w:val="32"/>
        </w:rPr>
        <w:t>本年支出1,856.48万元，</w:t>
      </w:r>
      <w:r>
        <w:rPr>
          <w:rFonts w:ascii="仿宋_GB2312" w:hAnsi="仿宋_GB2312" w:eastAsia="仿宋_GB2312"/>
          <w:b w:val="0"/>
          <w:sz w:val="32"/>
        </w:rPr>
        <w:t>其中：基本支出720.90万元，占38.83%；项目支出1,135.58万元，占61.17%；上缴上级支出0.00万元，占0.00%；经营支出0.00万元，占0.00%；对附属单位补助支出0.00万元，占0.00%。</w:t>
      </w:r>
    </w:p>
    <w:p w14:paraId="577005BD">
      <w:pPr>
        <w:spacing w:line="640" w:lineRule="exact"/>
        <w:ind w:firstLine="640"/>
        <w:jc w:val="both"/>
        <w:outlineLvl w:val="2"/>
      </w:pPr>
      <w:r>
        <w:rPr>
          <w:rFonts w:ascii="黑体" w:hAnsi="黑体" w:eastAsia="黑体"/>
          <w:sz w:val="32"/>
        </w:rPr>
        <w:t>四、财政拨款收入支出决算总体情况说明</w:t>
      </w:r>
    </w:p>
    <w:p w14:paraId="567100A0">
      <w:pPr>
        <w:spacing w:line="580" w:lineRule="exact"/>
        <w:ind w:firstLine="640"/>
        <w:jc w:val="both"/>
      </w:pPr>
      <w:r>
        <w:rPr>
          <w:rFonts w:ascii="仿宋_GB2312" w:hAnsi="仿宋_GB2312" w:eastAsia="仿宋_GB2312"/>
          <w:b/>
          <w:sz w:val="32"/>
        </w:rPr>
        <w:t>2024年度财政拨款收入总计1,319.36万元，</w:t>
      </w:r>
      <w:r>
        <w:rPr>
          <w:rFonts w:ascii="仿宋_GB2312" w:hAnsi="仿宋_GB2312" w:eastAsia="仿宋_GB2312"/>
          <w:b w:val="0"/>
          <w:sz w:val="32"/>
        </w:rPr>
        <w:t>其中：年初财政拨款结转和结余0.00万元，本年财政拨款收入1,319.36万元。</w:t>
      </w:r>
      <w:r>
        <w:rPr>
          <w:rFonts w:ascii="仿宋_GB2312" w:hAnsi="仿宋_GB2312" w:eastAsia="仿宋_GB2312"/>
          <w:b/>
          <w:sz w:val="32"/>
        </w:rPr>
        <w:t>财政拨款支出总计1,319.36万元，</w:t>
      </w:r>
      <w:r>
        <w:rPr>
          <w:rFonts w:ascii="仿宋_GB2312" w:hAnsi="仿宋_GB2312" w:eastAsia="仿宋_GB2312"/>
          <w:b w:val="0"/>
          <w:sz w:val="32"/>
        </w:rPr>
        <w:t>其中：年末财政拨款结转和结余0.00万元，本年财政拨款支出1,319.36万元。</w:t>
      </w:r>
    </w:p>
    <w:p w14:paraId="61EF861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减少60.94万元，下降4.41%，主要原因是：本年减少乡镇卫生院运转经费，在职人员减少，相关人员经费较上年减少。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年初预算数853.07万元，决算数1,319.36万元，预决算差异率54.66%，主要原因是：年中追加人员工资、社保、公积金基数调增部分资金，年中追加基本卫生服务</w:t>
      </w:r>
      <w:r>
        <w:rPr>
          <w:rFonts w:hint="eastAsia" w:ascii="仿宋_GB2312" w:hAnsi="仿宋_GB2312" w:eastAsia="仿宋_GB2312"/>
          <w:b w:val="0"/>
          <w:sz w:val="32"/>
          <w:lang w:val="en-US" w:eastAsia="zh-CN"/>
        </w:rPr>
        <w:t>补助资金、公共卫生服务经费</w:t>
      </w:r>
      <w:r>
        <w:rPr>
          <w:rFonts w:ascii="仿宋_GB2312" w:hAnsi="仿宋_GB2312" w:eastAsia="仿宋_GB2312"/>
          <w:b w:val="0"/>
          <w:sz w:val="32"/>
        </w:rPr>
        <w:t>，导致预决算存在差异。</w:t>
      </w:r>
    </w:p>
    <w:p w14:paraId="0A9CBE21">
      <w:pPr>
        <w:spacing w:line="640" w:lineRule="exact"/>
        <w:ind w:firstLine="640"/>
        <w:jc w:val="both"/>
        <w:outlineLvl w:val="2"/>
      </w:pPr>
      <w:r>
        <w:rPr>
          <w:rFonts w:ascii="黑体" w:hAnsi="黑体" w:eastAsia="黑体"/>
          <w:sz w:val="32"/>
        </w:rPr>
        <w:t>五、一般公共预算财政拨款支出决算情况说明</w:t>
      </w:r>
    </w:p>
    <w:p w14:paraId="2EE2FABA">
      <w:pPr>
        <w:spacing w:line="640" w:lineRule="exact"/>
        <w:ind w:firstLine="640"/>
        <w:jc w:val="both"/>
        <w:outlineLvl w:val="3"/>
      </w:pPr>
      <w:r>
        <w:rPr>
          <w:rFonts w:ascii="楷体_GB2312" w:hAnsi="楷体_GB2312" w:eastAsia="楷体_GB2312"/>
          <w:b/>
          <w:sz w:val="32"/>
        </w:rPr>
        <w:t>（一）一般公共预算财政拨款支出决算总体情况</w:t>
      </w:r>
    </w:p>
    <w:p w14:paraId="4A895918">
      <w:pPr>
        <w:spacing w:line="580" w:lineRule="exact"/>
        <w:ind w:firstLine="640"/>
        <w:jc w:val="both"/>
      </w:pPr>
      <w:r>
        <w:rPr>
          <w:rFonts w:ascii="仿宋_GB2312" w:hAnsi="仿宋_GB2312" w:eastAsia="仿宋_GB2312"/>
          <w:b/>
          <w:sz w:val="32"/>
        </w:rPr>
        <w:t>2024年度一般公共预算财政拨款支出1,316.44万元，</w:t>
      </w:r>
      <w:r>
        <w:rPr>
          <w:rFonts w:ascii="仿宋_GB2312" w:hAnsi="仿宋_GB2312" w:eastAsia="仿宋_GB2312"/>
          <w:b w:val="0"/>
          <w:sz w:val="32"/>
        </w:rPr>
        <w:t>占本年支出合计的70.91%。</w:t>
      </w:r>
      <w:r>
        <w:rPr>
          <w:rFonts w:ascii="仿宋_GB2312" w:hAnsi="仿宋_GB2312" w:eastAsia="仿宋_GB2312"/>
          <w:b/>
          <w:sz w:val="32"/>
        </w:rPr>
        <w:t>与上年相比，</w:t>
      </w:r>
      <w:r>
        <w:rPr>
          <w:rFonts w:ascii="仿宋_GB2312" w:hAnsi="仿宋_GB2312" w:eastAsia="仿宋_GB2312"/>
          <w:b w:val="0"/>
          <w:sz w:val="32"/>
        </w:rPr>
        <w:t>减少63.86万元，下降4.63%，主要原因是：本年减少乡镇卫生院运转经费，在职人员减少，相关人员经费较上年减少。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年初预算数853.07万元，决算数1,316.44万元，预决算差异率54.32%，主要原因是：年中追加人员工资、社保、公积金基数调增部分资金，年中追加基本卫生服务</w:t>
      </w:r>
      <w:r>
        <w:rPr>
          <w:rFonts w:hint="eastAsia" w:ascii="仿宋_GB2312" w:hAnsi="仿宋_GB2312" w:eastAsia="仿宋_GB2312"/>
          <w:b w:val="0"/>
          <w:sz w:val="32"/>
          <w:lang w:val="en-US" w:eastAsia="zh-CN"/>
        </w:rPr>
        <w:t>补助资金、公共卫生服务经费</w:t>
      </w:r>
      <w:r>
        <w:rPr>
          <w:rFonts w:ascii="仿宋_GB2312" w:hAnsi="仿宋_GB2312" w:eastAsia="仿宋_GB2312"/>
          <w:b w:val="0"/>
          <w:sz w:val="32"/>
        </w:rPr>
        <w:t>，导致预决算存在差异。</w:t>
      </w:r>
    </w:p>
    <w:p w14:paraId="3E0ADAC6">
      <w:pPr>
        <w:spacing w:line="640" w:lineRule="exact"/>
        <w:ind w:firstLine="640"/>
        <w:jc w:val="both"/>
        <w:outlineLvl w:val="3"/>
      </w:pPr>
      <w:r>
        <w:rPr>
          <w:rFonts w:ascii="楷体_GB2312" w:hAnsi="楷体_GB2312" w:eastAsia="楷体_GB2312"/>
          <w:b/>
          <w:sz w:val="32"/>
        </w:rPr>
        <w:t>（二）一般公共预算财政拨款支出决算结构情况</w:t>
      </w:r>
    </w:p>
    <w:p w14:paraId="016DB1C5">
      <w:pPr>
        <w:spacing w:line="580" w:lineRule="exact"/>
        <w:ind w:firstLine="640"/>
        <w:jc w:val="both"/>
      </w:pPr>
      <w:r>
        <w:rPr>
          <w:rFonts w:ascii="仿宋_GB2312" w:hAnsi="仿宋_GB2312" w:eastAsia="仿宋_GB2312"/>
          <w:b w:val="0"/>
          <w:sz w:val="32"/>
        </w:rPr>
        <w:t>1.社会保障和就业支出(类)74.92万元,占5.69%。</w:t>
      </w:r>
    </w:p>
    <w:p w14:paraId="7A023E36">
      <w:pPr>
        <w:spacing w:line="580" w:lineRule="exact"/>
        <w:ind w:firstLine="640"/>
        <w:jc w:val="both"/>
      </w:pPr>
      <w:r>
        <w:rPr>
          <w:rFonts w:ascii="仿宋_GB2312" w:hAnsi="仿宋_GB2312" w:eastAsia="仿宋_GB2312"/>
          <w:b w:val="0"/>
          <w:sz w:val="32"/>
        </w:rPr>
        <w:t>2.卫生健康支出(类)1,241.52万元,占94.31%。</w:t>
      </w:r>
    </w:p>
    <w:p w14:paraId="5CEF4881">
      <w:pPr>
        <w:spacing w:line="640" w:lineRule="exact"/>
        <w:ind w:firstLine="640"/>
        <w:jc w:val="both"/>
        <w:outlineLvl w:val="3"/>
      </w:pPr>
      <w:r>
        <w:rPr>
          <w:rFonts w:ascii="楷体_GB2312" w:hAnsi="楷体_GB2312" w:eastAsia="楷体_GB2312"/>
          <w:b/>
          <w:sz w:val="32"/>
        </w:rPr>
        <w:t>（三）一般公共预算财政拨款支出决算具体情况</w:t>
      </w:r>
    </w:p>
    <w:p w14:paraId="50E8CA45">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74.92万元，比上年决算增加12.41万元，增长19.85%,主要原因是：本年在职人员工资基数调增，养老缴费基数上涨，相应支出增加。</w:t>
      </w:r>
    </w:p>
    <w:p w14:paraId="093B0220">
      <w:pPr>
        <w:spacing w:line="580" w:lineRule="exact"/>
        <w:ind w:firstLine="640"/>
        <w:jc w:val="both"/>
      </w:pPr>
      <w:r>
        <w:rPr>
          <w:rFonts w:ascii="仿宋_GB2312" w:hAnsi="仿宋_GB2312" w:eastAsia="仿宋_GB2312"/>
          <w:b w:val="0"/>
          <w:sz w:val="32"/>
        </w:rPr>
        <w:t>2.卫生健康支出(类)基层医疗卫生机构(款)乡镇卫生院(项):支出决算数为645.98万元，比上年决算减少180.67万元，下降21.86%,主要原因是：本年减少乡镇卫生院运转经费，在职人员减少，相关人员经费较上年减少。</w:t>
      </w:r>
    </w:p>
    <w:p w14:paraId="4D9A3BA9">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3.卫生健康支出(类)基层医疗卫生机构(款)其他基层医疗卫生机构支出(项):支出决算数为48.76万元，比上年决算增加10.15万元，增长26.29%,主要原因是：本年增加中央基本药物制度补助项目经费，导致相关经费增加。</w:t>
      </w:r>
    </w:p>
    <w:p w14:paraId="45B54ED9">
      <w:pPr>
        <w:spacing w:line="580" w:lineRule="exact"/>
        <w:ind w:firstLine="640"/>
        <w:jc w:val="both"/>
      </w:pPr>
      <w:r>
        <w:rPr>
          <w:rFonts w:ascii="仿宋_GB2312" w:hAnsi="仿宋_GB2312" w:eastAsia="仿宋_GB2312"/>
          <w:b w:val="0"/>
          <w:sz w:val="32"/>
        </w:rPr>
        <w:t>4.卫生健康支出(类)公共卫生(款)基本公共卫生服务(项):支出决算数为340.37万元，比上年决算增加96.54万元，增长39.59%,主要原因是：本年增加基本卫生服务</w:t>
      </w:r>
      <w:r>
        <w:rPr>
          <w:rFonts w:hint="eastAsia" w:ascii="仿宋_GB2312" w:hAnsi="仿宋_GB2312" w:eastAsia="仿宋_GB2312"/>
          <w:b w:val="0"/>
          <w:sz w:val="32"/>
          <w:lang w:val="en-US" w:eastAsia="zh-CN"/>
        </w:rPr>
        <w:t>补助资金</w:t>
      </w:r>
      <w:r>
        <w:rPr>
          <w:rFonts w:ascii="仿宋_GB2312" w:hAnsi="仿宋_GB2312" w:eastAsia="仿宋_GB2312"/>
          <w:b w:val="0"/>
          <w:sz w:val="32"/>
        </w:rPr>
        <w:t>用于村医、聘用人员工资及社保、单位运作、医用设备材料等项目经费，导致相关经费增加。</w:t>
      </w:r>
    </w:p>
    <w:p w14:paraId="221EFE60">
      <w:pPr>
        <w:spacing w:line="580" w:lineRule="exact"/>
        <w:ind w:firstLine="640"/>
        <w:jc w:val="both"/>
      </w:pPr>
      <w:r>
        <w:rPr>
          <w:rFonts w:ascii="仿宋_GB2312" w:hAnsi="仿宋_GB2312" w:eastAsia="仿宋_GB2312"/>
          <w:b w:val="0"/>
          <w:sz w:val="32"/>
        </w:rPr>
        <w:t>5.卫生健康支出(类)公共卫生(款)重大公共卫生服务(项):支出决算数为2.23万元，比上年决算增加2.23万元，增长100.00%,主要原因是：本年增加2024年重大传染病防控经费项目经费，导致相关经费增加。</w:t>
      </w:r>
    </w:p>
    <w:p w14:paraId="0C3090D3">
      <w:pPr>
        <w:spacing w:line="580" w:lineRule="exact"/>
        <w:ind w:firstLine="640"/>
        <w:jc w:val="both"/>
      </w:pPr>
      <w:r>
        <w:rPr>
          <w:rFonts w:ascii="仿宋_GB2312" w:hAnsi="仿宋_GB2312" w:eastAsia="仿宋_GB2312"/>
          <w:b w:val="0"/>
          <w:sz w:val="32"/>
        </w:rPr>
        <w:t>6.卫生健康支出(类)公共卫生(款)其他公共卫生支出(项):支出决算数为204.19万元，比上年决算减少4.50万元，下降2.16%,主要原因是：本年减少2023年全民健康体检服务等项目经费，导致相关经费减少。</w:t>
      </w:r>
    </w:p>
    <w:p w14:paraId="4E166747">
      <w:pPr>
        <w:spacing w:line="640" w:lineRule="exact"/>
        <w:ind w:firstLine="640"/>
        <w:jc w:val="both"/>
        <w:outlineLvl w:val="2"/>
      </w:pPr>
      <w:r>
        <w:rPr>
          <w:rFonts w:ascii="黑体" w:hAnsi="黑体" w:eastAsia="黑体"/>
          <w:sz w:val="32"/>
        </w:rPr>
        <w:t>六、一般公共预算财政拨款基本支出决算情况说明</w:t>
      </w:r>
    </w:p>
    <w:p w14:paraId="49C03F9E">
      <w:pPr>
        <w:spacing w:line="580" w:lineRule="exact"/>
        <w:ind w:firstLine="640"/>
        <w:jc w:val="both"/>
      </w:pPr>
      <w:r>
        <w:rPr>
          <w:rFonts w:ascii="仿宋_GB2312" w:hAnsi="仿宋_GB2312" w:eastAsia="仿宋_GB2312"/>
          <w:b w:val="0"/>
          <w:sz w:val="32"/>
        </w:rPr>
        <w:t>2024年度一般公共预算财政拨款基本支出720.90万元，其中：</w:t>
      </w:r>
      <w:r>
        <w:rPr>
          <w:rFonts w:ascii="仿宋_GB2312" w:hAnsi="仿宋_GB2312" w:eastAsia="仿宋_GB2312"/>
          <w:b/>
          <w:sz w:val="32"/>
        </w:rPr>
        <w:t>人员经费720.90万元，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619AE261">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4FC7EC0">
      <w:pPr>
        <w:spacing w:line="640" w:lineRule="exact"/>
        <w:ind w:firstLine="640"/>
        <w:jc w:val="both"/>
        <w:outlineLvl w:val="2"/>
      </w:pPr>
      <w:r>
        <w:rPr>
          <w:rFonts w:ascii="黑体" w:hAnsi="黑体" w:eastAsia="黑体"/>
          <w:sz w:val="32"/>
        </w:rPr>
        <w:t>七、政府性基金预算财政拨款收入支出决算情况说明</w:t>
      </w:r>
    </w:p>
    <w:p w14:paraId="4763C03C">
      <w:pPr>
        <w:spacing w:line="580" w:lineRule="exact"/>
        <w:ind w:firstLine="640"/>
        <w:jc w:val="both"/>
      </w:pPr>
      <w:r>
        <w:rPr>
          <w:rFonts w:ascii="仿宋_GB2312" w:hAnsi="仿宋_GB2312" w:eastAsia="仿宋_GB2312"/>
          <w:b/>
          <w:sz w:val="32"/>
        </w:rPr>
        <w:t>2024年度政府性基金预算财政拨款收入总计2.92万元，</w:t>
      </w:r>
      <w:r>
        <w:rPr>
          <w:rFonts w:ascii="仿宋_GB2312" w:hAnsi="仿宋_GB2312" w:eastAsia="仿宋_GB2312"/>
          <w:b w:val="0"/>
          <w:sz w:val="32"/>
        </w:rPr>
        <w:t>其中：年初结转和结余0.00万元，本年收入2.92万元。</w:t>
      </w:r>
      <w:r>
        <w:rPr>
          <w:rFonts w:ascii="仿宋_GB2312" w:hAnsi="仿宋_GB2312" w:eastAsia="仿宋_GB2312"/>
          <w:b/>
          <w:sz w:val="32"/>
        </w:rPr>
        <w:t>政府性基金预算财政拨款支出总计2.92万元，</w:t>
      </w:r>
      <w:r>
        <w:rPr>
          <w:rFonts w:ascii="仿宋_GB2312" w:hAnsi="仿宋_GB2312" w:eastAsia="仿宋_GB2312"/>
          <w:b w:val="0"/>
          <w:sz w:val="32"/>
        </w:rPr>
        <w:t>其中：年末结转和结余0.00万元，本年支出2.92万元。</w:t>
      </w:r>
    </w:p>
    <w:p w14:paraId="5661134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增加2.92万元，增长100.00%，主要原因是：本年增加2024年老年健康与医养结合服务项目（失能老年人健康评估），导致相关经费增加。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年初预算数0.00万元，决算数2.92万元，预决算差异率100.00%，主要原因是：年中追加2024年老年健康与医养结合服务项目（失能老年人健康评估），导致预决算存在差异。</w:t>
      </w:r>
    </w:p>
    <w:p w14:paraId="40EE5667">
      <w:pPr>
        <w:spacing w:line="580" w:lineRule="exact"/>
        <w:ind w:firstLine="640"/>
        <w:jc w:val="both"/>
      </w:pPr>
      <w:r>
        <w:rPr>
          <w:rFonts w:ascii="仿宋_GB2312" w:hAnsi="仿宋_GB2312" w:eastAsia="仿宋_GB2312"/>
          <w:b w:val="0"/>
          <w:sz w:val="32"/>
        </w:rPr>
        <w:t>政府性基金预算财政拨款支出2.92万元。</w:t>
      </w:r>
    </w:p>
    <w:p w14:paraId="5036D942">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2.92万元，比上年决算增加2.92万元，增长100.00%,主要原因是：本年增加2024年老年健康与医养结合服务项目（失能老年人健康评估），导致相关经费增加。</w:t>
      </w:r>
    </w:p>
    <w:p w14:paraId="40557A87">
      <w:pPr>
        <w:spacing w:line="640" w:lineRule="exact"/>
        <w:ind w:firstLine="640"/>
        <w:jc w:val="both"/>
        <w:outlineLvl w:val="2"/>
      </w:pPr>
      <w:r>
        <w:rPr>
          <w:rFonts w:ascii="黑体" w:hAnsi="黑体" w:eastAsia="黑体"/>
          <w:sz w:val="32"/>
        </w:rPr>
        <w:t>八、国有资本经营预算财政拨款收入支出决算情况说明</w:t>
      </w:r>
    </w:p>
    <w:p w14:paraId="6090BE5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C278448">
      <w:pPr>
        <w:spacing w:line="640" w:lineRule="exact"/>
        <w:ind w:firstLine="640"/>
        <w:jc w:val="both"/>
        <w:outlineLvl w:val="2"/>
      </w:pPr>
      <w:r>
        <w:rPr>
          <w:rFonts w:ascii="黑体" w:hAnsi="黑体" w:eastAsia="黑体"/>
          <w:sz w:val="32"/>
        </w:rPr>
        <w:t>九、财政拨款“三公”经费支出决算情况说明</w:t>
      </w:r>
    </w:p>
    <w:p w14:paraId="0FFB549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951AF25">
      <w:pPr>
        <w:spacing w:line="580" w:lineRule="exact"/>
        <w:ind w:firstLine="640"/>
        <w:jc w:val="both"/>
      </w:pPr>
      <w:r>
        <w:rPr>
          <w:rFonts w:ascii="仿宋_GB2312" w:hAnsi="仿宋_GB2312" w:eastAsia="仿宋_GB2312"/>
          <w:b/>
          <w:sz w:val="32"/>
        </w:rPr>
        <w:t>具体情况如下：</w:t>
      </w:r>
    </w:p>
    <w:p w14:paraId="4746BC9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BDB60FF">
      <w:pPr>
        <w:spacing w:line="580" w:lineRule="exact"/>
        <w:ind w:firstLine="640"/>
        <w:jc w:val="both"/>
        <w:rPr>
          <w:rFonts w:hint="eastAsia" w:ascii="仿宋_GB2312" w:hAnsi="仿宋_GB2312" w:eastAsia="仿宋_GB2312"/>
          <w:b w:val="0"/>
          <w:sz w:val="32"/>
        </w:rPr>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w:t>
      </w:r>
      <w:r>
        <w:rPr>
          <w:rFonts w:hint="eastAsia" w:ascii="仿宋_GB2312" w:hAnsi="仿宋_GB2312" w:eastAsia="仿宋_GB2312"/>
          <w:b w:val="0"/>
          <w:sz w:val="32"/>
        </w:rPr>
        <w:t>单位业务用车，车辆费用未使用财政拨款公务用车运行维护费支付，由医疗收入经费保障。</w:t>
      </w:r>
    </w:p>
    <w:p w14:paraId="7E950C5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1A08C4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4212A2E">
      <w:pPr>
        <w:spacing w:line="640" w:lineRule="exact"/>
        <w:ind w:firstLine="640"/>
        <w:jc w:val="both"/>
        <w:outlineLvl w:val="2"/>
      </w:pPr>
      <w:r>
        <w:rPr>
          <w:rFonts w:ascii="黑体" w:hAnsi="黑体" w:eastAsia="黑体"/>
          <w:sz w:val="32"/>
        </w:rPr>
        <w:t>十、其他重要事项的情况说明</w:t>
      </w:r>
    </w:p>
    <w:p w14:paraId="590557B9">
      <w:pPr>
        <w:spacing w:line="640" w:lineRule="exact"/>
        <w:ind w:firstLine="640"/>
        <w:jc w:val="both"/>
        <w:outlineLvl w:val="3"/>
      </w:pPr>
      <w:r>
        <w:rPr>
          <w:rFonts w:ascii="楷体_GB2312" w:hAnsi="楷体_GB2312" w:eastAsia="楷体_GB2312"/>
          <w:b/>
          <w:sz w:val="32"/>
        </w:rPr>
        <w:t>（一）机关运行经费及公用经费支出情况</w:t>
      </w:r>
    </w:p>
    <w:p w14:paraId="7F7F09F3">
      <w:pPr>
        <w:spacing w:line="580" w:lineRule="exact"/>
        <w:ind w:firstLine="640"/>
        <w:jc w:val="both"/>
      </w:pPr>
      <w:r>
        <w:rPr>
          <w:rFonts w:ascii="仿宋_GB2312" w:hAnsi="仿宋_GB2312" w:eastAsia="仿宋_GB2312"/>
          <w:b w:val="0"/>
          <w:sz w:val="32"/>
        </w:rPr>
        <w:t>2024年度叶城县伯西热克镇卫生院（事业单位）公用经费支出0.00万元，比上年增加0.00万元，增长0.00%，主要原因是：2023年与2024年均未安排公用经费支出。</w:t>
      </w:r>
    </w:p>
    <w:p w14:paraId="4B4EF95E">
      <w:pPr>
        <w:spacing w:line="640" w:lineRule="exact"/>
        <w:ind w:firstLine="640"/>
        <w:jc w:val="both"/>
        <w:outlineLvl w:val="3"/>
      </w:pPr>
      <w:r>
        <w:rPr>
          <w:rFonts w:ascii="楷体_GB2312" w:hAnsi="楷体_GB2312" w:eastAsia="楷体_GB2312"/>
          <w:b/>
          <w:sz w:val="32"/>
        </w:rPr>
        <w:t>（二）政府采购情况</w:t>
      </w:r>
    </w:p>
    <w:p w14:paraId="7D75AA27">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C3CE6FE">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25842B7">
      <w:pPr>
        <w:spacing w:line="640" w:lineRule="exact"/>
        <w:ind w:firstLine="640"/>
        <w:jc w:val="both"/>
        <w:outlineLvl w:val="3"/>
      </w:pPr>
      <w:r>
        <w:rPr>
          <w:rFonts w:ascii="楷体_GB2312" w:hAnsi="楷体_GB2312" w:eastAsia="楷体_GB2312"/>
          <w:b/>
          <w:sz w:val="32"/>
        </w:rPr>
        <w:t>（三）国有资产占用情况说明</w:t>
      </w:r>
    </w:p>
    <w:p w14:paraId="20512A07">
      <w:pPr>
        <w:spacing w:line="580" w:lineRule="exact"/>
        <w:ind w:firstLine="640"/>
        <w:jc w:val="both"/>
      </w:pPr>
      <w:r>
        <w:rPr>
          <w:rFonts w:ascii="仿宋_GB2312" w:hAnsi="仿宋_GB2312" w:eastAsia="仿宋_GB2312"/>
          <w:b w:val="0"/>
          <w:sz w:val="32"/>
        </w:rPr>
        <w:t>截至2024年12月31日，房屋6,684.12平方米，价值1,086.66万元。车辆2辆，价值46.30万元，其中：副部（省）级及以上领导用车0辆、主要负责人用车0辆、机要通信用车0辆、应急保障用车0辆、执法执勤用车0辆、特种专业技术用车2辆、离退休干部服务用车0辆、其他用车0辆，其他用车主要是：本单位无其他用车。单价100万元（含）以上设备（不含车辆）0台（套）。</w:t>
      </w:r>
    </w:p>
    <w:p w14:paraId="03DBB1DE">
      <w:pPr>
        <w:spacing w:line="640" w:lineRule="exact"/>
        <w:ind w:firstLine="640"/>
        <w:jc w:val="both"/>
        <w:outlineLvl w:val="2"/>
      </w:pPr>
      <w:r>
        <w:rPr>
          <w:rFonts w:ascii="黑体" w:hAnsi="黑体" w:eastAsia="黑体"/>
          <w:sz w:val="32"/>
        </w:rPr>
        <w:t>十一、预算绩效的情况说明</w:t>
      </w:r>
    </w:p>
    <w:p w14:paraId="5DA8128C">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绩效自评表。发现的问题及原因：本单位本年无项目绩效自评表。下一步改进措施：本单位本年无项目绩效自评表。</w:t>
      </w:r>
    </w:p>
    <w:p w14:paraId="0E6A3898">
      <w:r>
        <w:br w:type="page"/>
      </w:r>
    </w:p>
    <w:p w14:paraId="6EBE7F8C">
      <w:pPr>
        <w:spacing w:line="640" w:lineRule="exact"/>
        <w:ind w:firstLine="640"/>
        <w:jc w:val="both"/>
        <w:outlineLvl w:val="2"/>
      </w:pPr>
      <w:r>
        <w:rPr>
          <w:rFonts w:ascii="黑体" w:hAnsi="黑体" w:eastAsia="黑体"/>
          <w:sz w:val="32"/>
        </w:rPr>
        <w:t>十二、其他需说明的事项</w:t>
      </w:r>
    </w:p>
    <w:p w14:paraId="0C8D0A58">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4967C02">
      <w:pPr>
        <w:spacing w:line="580" w:lineRule="exact"/>
        <w:ind w:firstLine="640"/>
        <w:jc w:val="both"/>
      </w:pPr>
      <w:r>
        <w:rPr>
          <w:rFonts w:ascii="仿宋_GB2312" w:hAnsi="仿宋_GB2312" w:eastAsia="仿宋_GB2312"/>
          <w:b w:val="0"/>
          <w:sz w:val="32"/>
        </w:rPr>
        <w:t>本年度本单位整体绩效自评表由卫生健康委员会编报并公开。</w:t>
      </w:r>
    </w:p>
    <w:p w14:paraId="73B4BEC7">
      <w:r>
        <w:br w:type="page"/>
      </w:r>
    </w:p>
    <w:p w14:paraId="32538D89">
      <w:pPr>
        <w:spacing w:line="240" w:lineRule="auto"/>
        <w:jc w:val="center"/>
        <w:outlineLvl w:val="1"/>
      </w:pPr>
      <w:r>
        <w:rPr>
          <w:rFonts w:ascii="黑体" w:hAnsi="黑体" w:eastAsia="黑体"/>
          <w:sz w:val="32"/>
        </w:rPr>
        <w:t>第三部分 专业名词解释</w:t>
      </w:r>
    </w:p>
    <w:p w14:paraId="34CB776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3EA4E0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C1BD4E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A3CC67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344951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08608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ED997B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EFFF90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697EAA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F848BA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D62D44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6D14D9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50D222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F0C93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37D768E">
      <w:r>
        <w:br w:type="page"/>
      </w:r>
    </w:p>
    <w:p w14:paraId="7DD9BFF9">
      <w:pPr>
        <w:spacing w:line="240" w:lineRule="auto"/>
        <w:jc w:val="center"/>
        <w:outlineLvl w:val="1"/>
      </w:pPr>
      <w:r>
        <w:rPr>
          <w:rFonts w:ascii="黑体" w:hAnsi="黑体" w:eastAsia="黑体"/>
          <w:sz w:val="32"/>
        </w:rPr>
        <w:t>第四部分 部门决算报表（见附表）</w:t>
      </w:r>
    </w:p>
    <w:p w14:paraId="40421BC5">
      <w:pPr>
        <w:spacing w:line="240" w:lineRule="auto"/>
        <w:ind w:firstLine="640"/>
        <w:jc w:val="both"/>
      </w:pPr>
      <w:r>
        <w:rPr>
          <w:rFonts w:ascii="仿宋_GB2312" w:hAnsi="仿宋_GB2312" w:eastAsia="仿宋_GB2312"/>
          <w:b w:val="0"/>
          <w:sz w:val="32"/>
        </w:rPr>
        <w:t>一、《收入支出决算总表》</w:t>
      </w:r>
    </w:p>
    <w:p w14:paraId="0BA8DB33">
      <w:pPr>
        <w:spacing w:line="240" w:lineRule="auto"/>
        <w:ind w:firstLine="640"/>
        <w:jc w:val="both"/>
      </w:pPr>
      <w:r>
        <w:rPr>
          <w:rFonts w:ascii="仿宋_GB2312" w:hAnsi="仿宋_GB2312" w:eastAsia="仿宋_GB2312"/>
          <w:b w:val="0"/>
          <w:sz w:val="32"/>
        </w:rPr>
        <w:t>二、《收入决算表》</w:t>
      </w:r>
    </w:p>
    <w:p w14:paraId="6F37F86C">
      <w:pPr>
        <w:spacing w:line="240" w:lineRule="auto"/>
        <w:ind w:firstLine="640"/>
        <w:jc w:val="both"/>
      </w:pPr>
      <w:r>
        <w:rPr>
          <w:rFonts w:ascii="仿宋_GB2312" w:hAnsi="仿宋_GB2312" w:eastAsia="仿宋_GB2312"/>
          <w:b w:val="0"/>
          <w:sz w:val="32"/>
        </w:rPr>
        <w:t>三、《支出决算表》</w:t>
      </w:r>
    </w:p>
    <w:p w14:paraId="5D919881">
      <w:pPr>
        <w:spacing w:line="240" w:lineRule="auto"/>
        <w:ind w:firstLine="640"/>
        <w:jc w:val="both"/>
      </w:pPr>
      <w:r>
        <w:rPr>
          <w:rFonts w:ascii="仿宋_GB2312" w:hAnsi="仿宋_GB2312" w:eastAsia="仿宋_GB2312"/>
          <w:b w:val="0"/>
          <w:sz w:val="32"/>
        </w:rPr>
        <w:t>四、《财政拨款收入支出决算总表》</w:t>
      </w:r>
    </w:p>
    <w:p w14:paraId="1FFC3979">
      <w:pPr>
        <w:spacing w:line="240" w:lineRule="auto"/>
        <w:ind w:firstLine="640"/>
        <w:jc w:val="both"/>
      </w:pPr>
      <w:r>
        <w:rPr>
          <w:rFonts w:ascii="仿宋_GB2312" w:hAnsi="仿宋_GB2312" w:eastAsia="仿宋_GB2312"/>
          <w:b w:val="0"/>
          <w:sz w:val="32"/>
        </w:rPr>
        <w:t>五、《一般公共预算财政拨款支出决算表》</w:t>
      </w:r>
    </w:p>
    <w:p w14:paraId="3D288C59">
      <w:pPr>
        <w:spacing w:line="240" w:lineRule="auto"/>
        <w:ind w:firstLine="640"/>
        <w:jc w:val="both"/>
      </w:pPr>
      <w:r>
        <w:rPr>
          <w:rFonts w:ascii="仿宋_GB2312" w:hAnsi="仿宋_GB2312" w:eastAsia="仿宋_GB2312"/>
          <w:b w:val="0"/>
          <w:sz w:val="32"/>
        </w:rPr>
        <w:t>六、《一般公共预算财政拨款基本支出决算表》</w:t>
      </w:r>
    </w:p>
    <w:p w14:paraId="3EA32C42">
      <w:pPr>
        <w:spacing w:line="240" w:lineRule="auto"/>
        <w:ind w:firstLine="640"/>
        <w:jc w:val="both"/>
      </w:pPr>
      <w:r>
        <w:rPr>
          <w:rFonts w:ascii="仿宋_GB2312" w:hAnsi="仿宋_GB2312" w:eastAsia="仿宋_GB2312"/>
          <w:b w:val="0"/>
          <w:sz w:val="32"/>
        </w:rPr>
        <w:t>七、《政府性基金预算财政拨款收入支出决算表》</w:t>
      </w:r>
    </w:p>
    <w:p w14:paraId="50EFBE3A">
      <w:pPr>
        <w:spacing w:line="240" w:lineRule="auto"/>
        <w:ind w:firstLine="640"/>
        <w:jc w:val="both"/>
      </w:pPr>
      <w:r>
        <w:rPr>
          <w:rFonts w:ascii="仿宋_GB2312" w:hAnsi="仿宋_GB2312" w:eastAsia="仿宋_GB2312"/>
          <w:b w:val="0"/>
          <w:sz w:val="32"/>
        </w:rPr>
        <w:t>八、《国有资本经营预算财政拨款收入支出决算表》</w:t>
      </w:r>
    </w:p>
    <w:p w14:paraId="2C356D00">
      <w:pPr>
        <w:spacing w:line="240" w:lineRule="auto"/>
        <w:ind w:firstLine="640"/>
        <w:jc w:val="both"/>
      </w:pPr>
      <w:r>
        <w:rPr>
          <w:rFonts w:ascii="仿宋_GB2312" w:hAnsi="仿宋_GB2312" w:eastAsia="仿宋_GB2312"/>
          <w:b w:val="0"/>
          <w:sz w:val="32"/>
        </w:rPr>
        <w:t>九、《财政拨款“三公”经费支出决算表》</w:t>
      </w:r>
    </w:p>
    <w:p w14:paraId="1B66A5B7">
      <w:pPr>
        <w:spacing w:line="240" w:lineRule="auto"/>
        <w:ind w:firstLine="640"/>
        <w:jc w:val="both"/>
      </w:pPr>
    </w:p>
    <w:p w14:paraId="00642774">
      <w:pPr>
        <w:spacing w:line="240" w:lineRule="auto"/>
        <w:ind w:firstLine="640"/>
        <w:jc w:val="both"/>
      </w:pPr>
    </w:p>
    <w:p w14:paraId="2FAD7763">
      <w:pPr>
        <w:spacing w:line="240" w:lineRule="auto"/>
        <w:ind w:firstLine="640"/>
        <w:jc w:val="both"/>
      </w:pPr>
    </w:p>
    <w:p w14:paraId="40683230">
      <w:pPr>
        <w:spacing w:line="240" w:lineRule="auto"/>
        <w:ind w:firstLine="640"/>
        <w:jc w:val="both"/>
      </w:pPr>
    </w:p>
    <w:p w14:paraId="37AAD3E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6C405CB-096D-49FD-8C94-75352FB15E0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0D134A2-7B33-4AEC-BFFE-EB02A604C0FF}"/>
  </w:font>
  <w:font w:name="仿宋_GB2312">
    <w:panose1 w:val="02010609030101010101"/>
    <w:charset w:val="86"/>
    <w:family w:val="modern"/>
    <w:pitch w:val="default"/>
    <w:sig w:usb0="00000001" w:usb1="080E0000" w:usb2="00000000" w:usb3="00000000" w:csb0="00040000" w:csb1="00000000"/>
    <w:embedRegular r:id="rId3" w:fontKey="{BBBCB8E9-DC1A-48E6-BEF2-A8A6D0C4C474}"/>
  </w:font>
  <w:font w:name="楷体_GB2312">
    <w:panose1 w:val="02010609030101010101"/>
    <w:charset w:val="86"/>
    <w:family w:val="auto"/>
    <w:pitch w:val="default"/>
    <w:sig w:usb0="00000001" w:usb1="080E0000" w:usb2="00000000" w:usb3="00000000" w:csb0="00040000" w:csb1="00000000"/>
    <w:embedRegular r:id="rId4" w:fontKey="{5EBF1D26-5F58-4F3A-88B3-E919B644D9C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C5F26E1"/>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40094E"/>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0D587E"/>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5493</Words>
  <Characters>6211</Characters>
  <Lines>0</Lines>
  <Paragraphs>0</Paragraphs>
  <TotalTime>6</TotalTime>
  <ScaleCrop>false</ScaleCrop>
  <LinksUpToDate>false</LinksUpToDate>
  <CharactersWithSpaces>6221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2025-09-29T10:03:35Z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