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508B10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叶城县军用饮食供应站</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9C7480E">
      <w:r>
        <w:br w:type="page"/>
      </w:r>
    </w:p>
    <w:p w14:paraId="46B649C1">
      <w:pPr>
        <w:spacing w:line="640" w:lineRule="exact"/>
        <w:jc w:val="center"/>
        <w:outlineLvl w:val="1"/>
      </w:pPr>
      <w:r>
        <w:rPr>
          <w:rFonts w:ascii="黑体" w:hAnsi="黑体" w:eastAsia="黑体"/>
          <w:sz w:val="32"/>
        </w:rPr>
        <w:t>第一部分 单位概况</w:t>
      </w:r>
    </w:p>
    <w:p w14:paraId="284CA7CD">
      <w:pPr>
        <w:spacing w:line="640" w:lineRule="exact"/>
        <w:ind w:firstLine="640"/>
        <w:jc w:val="both"/>
        <w:outlineLvl w:val="2"/>
      </w:pPr>
      <w:r>
        <w:rPr>
          <w:rFonts w:ascii="黑体" w:hAnsi="黑体" w:eastAsia="黑体"/>
          <w:sz w:val="32"/>
        </w:rPr>
        <w:t>一、主要职能</w:t>
      </w:r>
    </w:p>
    <w:p w14:paraId="3F0BB377">
      <w:pPr>
        <w:spacing w:line="580" w:lineRule="exact"/>
        <w:ind w:firstLine="640"/>
        <w:jc w:val="both"/>
      </w:pPr>
      <w:r>
        <w:rPr>
          <w:rFonts w:ascii="仿宋_GB2312" w:hAnsi="仿宋_GB2312" w:eastAsia="仿宋_GB2312"/>
          <w:sz w:val="32"/>
        </w:rPr>
        <w:t>本单位在</w:t>
      </w:r>
      <w:r>
        <w:rPr>
          <w:rFonts w:hint="eastAsia" w:ascii="仿宋_GB2312" w:hAnsi="仿宋_GB2312" w:eastAsia="仿宋_GB2312"/>
          <w:sz w:val="32"/>
          <w:lang w:eastAsia="zh-CN"/>
        </w:rPr>
        <w:t>县委、县政府</w:t>
      </w:r>
      <w:r>
        <w:rPr>
          <w:rFonts w:ascii="仿宋_GB2312" w:hAnsi="仿宋_GB2312" w:eastAsia="仿宋_GB2312"/>
          <w:sz w:val="32"/>
        </w:rPr>
        <w:t>安排下，对过往部队提供饮食饮水服务。</w:t>
      </w:r>
    </w:p>
    <w:p w14:paraId="2358BF08">
      <w:pPr>
        <w:spacing w:line="640" w:lineRule="exact"/>
        <w:ind w:firstLine="640"/>
        <w:jc w:val="both"/>
        <w:outlineLvl w:val="2"/>
      </w:pPr>
      <w:r>
        <w:rPr>
          <w:rFonts w:ascii="黑体" w:hAnsi="黑体" w:eastAsia="黑体"/>
          <w:sz w:val="32"/>
        </w:rPr>
        <w:t>二、机构设置及人员情况</w:t>
      </w:r>
    </w:p>
    <w:p w14:paraId="0152F87E">
      <w:pPr>
        <w:spacing w:line="580" w:lineRule="exact"/>
        <w:ind w:firstLine="640"/>
        <w:jc w:val="both"/>
      </w:pPr>
      <w:r>
        <w:rPr>
          <w:rFonts w:ascii="仿宋_GB2312" w:hAnsi="仿宋_GB2312" w:eastAsia="仿宋_GB2312"/>
          <w:sz w:val="32"/>
        </w:rPr>
        <w:t>叶城县军用饮食供应站2024年度，实有人数6人，其中：在职人员5人，减少1人；离休人员0人，增加0人；退休人员1人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13116E6C">
      <w:pPr>
        <w:spacing w:line="580" w:lineRule="exact"/>
        <w:ind w:firstLine="640"/>
        <w:jc w:val="both"/>
      </w:pPr>
      <w:r>
        <w:rPr>
          <w:rFonts w:ascii="仿宋_GB2312" w:hAnsi="仿宋_GB2312" w:eastAsia="仿宋_GB2312"/>
          <w:sz w:val="32"/>
        </w:rPr>
        <w:t>叶城县军用饮食供应站无下属预算单位，下设1个科室，分别是：综合办公室。</w:t>
      </w:r>
    </w:p>
    <w:p w14:paraId="4BD77D4E">
      <w:r>
        <w:br w:type="page"/>
      </w:r>
    </w:p>
    <w:p w14:paraId="206421B7">
      <w:pPr>
        <w:spacing w:line="240" w:lineRule="auto"/>
        <w:jc w:val="center"/>
        <w:outlineLvl w:val="1"/>
      </w:pPr>
      <w:r>
        <w:rPr>
          <w:rFonts w:ascii="黑体" w:hAnsi="黑体" w:eastAsia="黑体"/>
          <w:sz w:val="32"/>
        </w:rPr>
        <w:t>第二部分 部门决算情况说明</w:t>
      </w:r>
    </w:p>
    <w:p w14:paraId="73FA6FD0">
      <w:pPr>
        <w:spacing w:line="640" w:lineRule="exact"/>
        <w:ind w:firstLine="640"/>
        <w:jc w:val="both"/>
        <w:outlineLvl w:val="2"/>
      </w:pPr>
      <w:r>
        <w:rPr>
          <w:rFonts w:ascii="黑体" w:hAnsi="黑体" w:eastAsia="黑体"/>
          <w:sz w:val="32"/>
        </w:rPr>
        <w:t>一、收入支出决算总体情况说明</w:t>
      </w:r>
    </w:p>
    <w:p w14:paraId="1A1F188D">
      <w:pPr>
        <w:spacing w:line="580" w:lineRule="exact"/>
        <w:ind w:firstLine="640"/>
        <w:jc w:val="both"/>
      </w:pPr>
      <w:r>
        <w:rPr>
          <w:rFonts w:ascii="仿宋_GB2312" w:hAnsi="仿宋_GB2312" w:eastAsia="仿宋_GB2312"/>
          <w:b/>
          <w:sz w:val="32"/>
        </w:rPr>
        <w:t>2024年度收入总计388.90万元，</w:t>
      </w:r>
      <w:r>
        <w:rPr>
          <w:rFonts w:ascii="仿宋_GB2312" w:hAnsi="仿宋_GB2312" w:eastAsia="仿宋_GB2312"/>
          <w:b w:val="0"/>
          <w:sz w:val="32"/>
        </w:rPr>
        <w:t>其中：本年收入合计388.90万元，使用非财政拨款结余（含专用结余）0.00万元，年初结转和结余0.00万元。</w:t>
      </w:r>
    </w:p>
    <w:p w14:paraId="4FD2218C">
      <w:pPr>
        <w:spacing w:line="580" w:lineRule="exact"/>
        <w:ind w:firstLine="640"/>
        <w:jc w:val="both"/>
      </w:pPr>
      <w:r>
        <w:rPr>
          <w:rFonts w:ascii="仿宋_GB2312" w:hAnsi="仿宋_GB2312" w:eastAsia="仿宋_GB2312"/>
          <w:b/>
          <w:sz w:val="32"/>
        </w:rPr>
        <w:t>2024年度支出总计388.90万元，</w:t>
      </w:r>
      <w:r>
        <w:rPr>
          <w:rFonts w:ascii="仿宋_GB2312" w:hAnsi="仿宋_GB2312" w:eastAsia="仿宋_GB2312"/>
          <w:b w:val="0"/>
          <w:sz w:val="32"/>
        </w:rPr>
        <w:t>其中：本年支出合计388.90万元，结余分配0.00万元，年末结转和结余0.00万元。</w:t>
      </w:r>
    </w:p>
    <w:p w14:paraId="7FA6F5C6">
      <w:pPr>
        <w:spacing w:line="580" w:lineRule="exact"/>
        <w:ind w:firstLine="640"/>
        <w:jc w:val="both"/>
      </w:pPr>
      <w:r>
        <w:rPr>
          <w:rFonts w:ascii="仿宋_GB2312" w:hAnsi="仿宋_GB2312" w:eastAsia="仿宋_GB2312"/>
          <w:b w:val="0"/>
          <w:sz w:val="32"/>
        </w:rPr>
        <w:t>收入支出总体与上年相比，增加299.69万元，增长335.94%，主要原因是：本年在职人员工资调增，社保、公积金基数调增，人员经费增加，增加2024年中央优抚事业单位补助、叶城县军用饮食供应站运行经费等项目经费，导致相关经费增加。</w:t>
      </w:r>
    </w:p>
    <w:p w14:paraId="7E3E6804">
      <w:pPr>
        <w:spacing w:line="640" w:lineRule="exact"/>
        <w:ind w:firstLine="640"/>
        <w:jc w:val="both"/>
        <w:outlineLvl w:val="2"/>
      </w:pPr>
      <w:r>
        <w:rPr>
          <w:rFonts w:ascii="黑体" w:hAnsi="黑体" w:eastAsia="黑体"/>
          <w:sz w:val="32"/>
        </w:rPr>
        <w:t>二、收入决算情况说明</w:t>
      </w:r>
    </w:p>
    <w:p w14:paraId="7B961373">
      <w:pPr>
        <w:spacing w:line="580" w:lineRule="exact"/>
        <w:ind w:firstLine="640"/>
        <w:jc w:val="both"/>
      </w:pPr>
      <w:r>
        <w:rPr>
          <w:rFonts w:ascii="仿宋_GB2312" w:hAnsi="仿宋_GB2312" w:eastAsia="仿宋_GB2312"/>
          <w:b/>
          <w:sz w:val="32"/>
        </w:rPr>
        <w:t>本年收入388.90万元，</w:t>
      </w:r>
      <w:r>
        <w:rPr>
          <w:rFonts w:ascii="仿宋_GB2312" w:hAnsi="仿宋_GB2312" w:eastAsia="仿宋_GB2312"/>
          <w:b w:val="0"/>
          <w:sz w:val="32"/>
        </w:rPr>
        <w:t>其中：财政拨款收入385.40万元，占99.10%；上级补助收入0.00万元，占0.00%；事业收入0.00万元，占0.00%；经营收入0.00万元，占0.00%；附属单位上缴收入0.00万元，占0.00%；其他收入3.50万元，占0.90%。</w:t>
      </w:r>
    </w:p>
    <w:p w14:paraId="6B3FEA84">
      <w:pPr>
        <w:spacing w:line="640" w:lineRule="exact"/>
        <w:ind w:firstLine="640"/>
        <w:jc w:val="both"/>
        <w:outlineLvl w:val="2"/>
      </w:pPr>
      <w:r>
        <w:rPr>
          <w:rFonts w:ascii="黑体" w:hAnsi="黑体" w:eastAsia="黑体"/>
          <w:sz w:val="32"/>
        </w:rPr>
        <w:t>三、支出决算情况说明</w:t>
      </w:r>
    </w:p>
    <w:p w14:paraId="004CC616">
      <w:pPr>
        <w:spacing w:line="580" w:lineRule="exact"/>
        <w:ind w:firstLine="640"/>
        <w:jc w:val="both"/>
      </w:pPr>
      <w:r>
        <w:rPr>
          <w:rFonts w:ascii="仿宋_GB2312" w:hAnsi="仿宋_GB2312" w:eastAsia="仿宋_GB2312"/>
          <w:b/>
          <w:sz w:val="32"/>
        </w:rPr>
        <w:t>本年支出388.90万元，</w:t>
      </w:r>
      <w:r>
        <w:rPr>
          <w:rFonts w:ascii="仿宋_GB2312" w:hAnsi="仿宋_GB2312" w:eastAsia="仿宋_GB2312"/>
          <w:b w:val="0"/>
          <w:sz w:val="32"/>
        </w:rPr>
        <w:t>其中：基本支出101.41万元，占26.08%；项目支出287.49万元，占73.92%；上缴上级支出0.00万元，占0.00%；经营支出0.00万元，占0.00%；对附属单位补助支出0.00万元，占0.00%。</w:t>
      </w:r>
    </w:p>
    <w:p w14:paraId="067A3257">
      <w:pPr>
        <w:spacing w:line="640" w:lineRule="exact"/>
        <w:ind w:firstLine="640"/>
        <w:jc w:val="both"/>
        <w:outlineLvl w:val="2"/>
      </w:pPr>
      <w:r>
        <w:rPr>
          <w:rFonts w:ascii="黑体" w:hAnsi="黑体" w:eastAsia="黑体"/>
          <w:sz w:val="32"/>
        </w:rPr>
        <w:t>四、财政拨款收入支出决算总体情况说明</w:t>
      </w:r>
    </w:p>
    <w:p w14:paraId="09D12380">
      <w:pPr>
        <w:spacing w:line="580" w:lineRule="exact"/>
        <w:ind w:firstLine="640"/>
        <w:jc w:val="both"/>
      </w:pPr>
      <w:r>
        <w:rPr>
          <w:rFonts w:ascii="仿宋_GB2312" w:hAnsi="仿宋_GB2312" w:eastAsia="仿宋_GB2312"/>
          <w:b/>
          <w:sz w:val="32"/>
        </w:rPr>
        <w:t>2024年度财政拨款收入总计385.40万元，</w:t>
      </w:r>
      <w:r>
        <w:rPr>
          <w:rFonts w:ascii="仿宋_GB2312" w:hAnsi="仿宋_GB2312" w:eastAsia="仿宋_GB2312"/>
          <w:b w:val="0"/>
          <w:sz w:val="32"/>
        </w:rPr>
        <w:t>其中：年初财政拨款结转和结余0.00万元，本年财政拨款收入385.40万元。</w:t>
      </w:r>
      <w:r>
        <w:rPr>
          <w:rFonts w:ascii="仿宋_GB2312" w:hAnsi="仿宋_GB2312" w:eastAsia="仿宋_GB2312"/>
          <w:b/>
          <w:sz w:val="32"/>
        </w:rPr>
        <w:t>财政拨款支出总计385.40万元，</w:t>
      </w:r>
      <w:r>
        <w:rPr>
          <w:rFonts w:ascii="仿宋_GB2312" w:hAnsi="仿宋_GB2312" w:eastAsia="仿宋_GB2312"/>
          <w:b w:val="0"/>
          <w:sz w:val="32"/>
        </w:rPr>
        <w:t>其中：年末财政拨款结转和结余0.00万元，本年财政拨款支出385.40万元。</w:t>
      </w:r>
    </w:p>
    <w:p w14:paraId="234706D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增加296.19万元，增长332.01%，主要原因是：本年在职人员工资调增，社保、公积金基数调增，人员经费增加，增加2024年中央优抚事业单位补助、叶城县军用饮食供应站运行经费等项目经费，导致相关经费增加。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83.66万元，决算数385.40万元，预决算差异率360.67%，主要原因是：年中追加人员工资、社保、公积金基数调增部分资金，追加2024年中央优抚事业单位补助、叶城县军用饮食供应站运行经费等项目经费，导致预决算存在差异。</w:t>
      </w:r>
    </w:p>
    <w:p w14:paraId="7B29EFD6">
      <w:pPr>
        <w:spacing w:line="640" w:lineRule="exact"/>
        <w:ind w:firstLine="640"/>
        <w:jc w:val="both"/>
        <w:outlineLvl w:val="2"/>
      </w:pPr>
      <w:r>
        <w:rPr>
          <w:rFonts w:ascii="黑体" w:hAnsi="黑体" w:eastAsia="黑体"/>
          <w:sz w:val="32"/>
        </w:rPr>
        <w:t>五、一般公共预算财政拨款支出决算情况说明</w:t>
      </w:r>
    </w:p>
    <w:p w14:paraId="1CAF6EF9">
      <w:pPr>
        <w:spacing w:line="640" w:lineRule="exact"/>
        <w:ind w:firstLine="640"/>
        <w:jc w:val="both"/>
        <w:outlineLvl w:val="3"/>
      </w:pPr>
      <w:r>
        <w:rPr>
          <w:rFonts w:ascii="楷体_GB2312" w:hAnsi="楷体_GB2312" w:eastAsia="楷体_GB2312"/>
          <w:b/>
          <w:sz w:val="32"/>
        </w:rPr>
        <w:t>（一）一般公共预算财政拨款支出决算总体情况</w:t>
      </w:r>
    </w:p>
    <w:p w14:paraId="5FF6AC31">
      <w:pPr>
        <w:spacing w:line="580" w:lineRule="exact"/>
        <w:ind w:firstLine="640"/>
        <w:jc w:val="both"/>
      </w:pPr>
      <w:r>
        <w:rPr>
          <w:rFonts w:ascii="仿宋_GB2312" w:hAnsi="仿宋_GB2312" w:eastAsia="仿宋_GB2312"/>
          <w:b/>
          <w:sz w:val="32"/>
        </w:rPr>
        <w:t>2024年度一般公共预算财政拨款支出385.40万元，</w:t>
      </w:r>
      <w:r>
        <w:rPr>
          <w:rFonts w:ascii="仿宋_GB2312" w:hAnsi="仿宋_GB2312" w:eastAsia="仿宋_GB2312"/>
          <w:b w:val="0"/>
          <w:sz w:val="32"/>
        </w:rPr>
        <w:t>占本年支出合计的99.10%。</w:t>
      </w:r>
      <w:r>
        <w:rPr>
          <w:rFonts w:ascii="仿宋_GB2312" w:hAnsi="仿宋_GB2312" w:eastAsia="仿宋_GB2312"/>
          <w:b/>
          <w:sz w:val="32"/>
        </w:rPr>
        <w:t>与上年相比，</w:t>
      </w:r>
      <w:r>
        <w:rPr>
          <w:rFonts w:ascii="仿宋_GB2312" w:hAnsi="仿宋_GB2312" w:eastAsia="仿宋_GB2312"/>
          <w:b w:val="0"/>
          <w:sz w:val="32"/>
        </w:rPr>
        <w:t>增加296.19万元，增长332.01%，主要原因是：本年在职人员工资调增，社保、公积金基数调增，人员经费增加，增加2024年中央优抚事业单位补助、叶城县军用饮食供应站运行经费等项目经费，导致相关经费增加。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83.66万元，决算数385.40万元，预决算差异率360.67%，主要原因是：年中追加人员工资、社保、公积金基数调增部分资金，追加2024年中央优抚事业单位补助、叶城县军用饮食供应站运行经费等项目经费，导致预决算存在差异。</w:t>
      </w:r>
    </w:p>
    <w:p w14:paraId="3FCD0912">
      <w:pPr>
        <w:spacing w:line="640" w:lineRule="exact"/>
        <w:ind w:firstLine="640"/>
        <w:jc w:val="both"/>
        <w:outlineLvl w:val="3"/>
      </w:pPr>
      <w:r>
        <w:rPr>
          <w:rFonts w:ascii="楷体_GB2312" w:hAnsi="楷体_GB2312" w:eastAsia="楷体_GB2312"/>
          <w:b/>
          <w:sz w:val="32"/>
        </w:rPr>
        <w:t>（二）一般公共预算财政拨款支出决算结构情况</w:t>
      </w:r>
    </w:p>
    <w:p w14:paraId="31AAA191">
      <w:pPr>
        <w:spacing w:line="580" w:lineRule="exact"/>
        <w:ind w:firstLine="640"/>
        <w:jc w:val="both"/>
      </w:pPr>
      <w:r>
        <w:rPr>
          <w:rFonts w:ascii="仿宋_GB2312" w:hAnsi="仿宋_GB2312" w:eastAsia="仿宋_GB2312"/>
          <w:b w:val="0"/>
          <w:sz w:val="32"/>
        </w:rPr>
        <w:t>1.社会保障和就业支出(类)372.28万元,占96.60%。</w:t>
      </w:r>
    </w:p>
    <w:p w14:paraId="2DD846F9">
      <w:pPr>
        <w:spacing w:line="580" w:lineRule="exact"/>
        <w:ind w:firstLine="640"/>
        <w:jc w:val="both"/>
      </w:pPr>
      <w:r>
        <w:rPr>
          <w:rFonts w:ascii="仿宋_GB2312" w:hAnsi="仿宋_GB2312" w:eastAsia="仿宋_GB2312"/>
          <w:b w:val="0"/>
          <w:sz w:val="32"/>
        </w:rPr>
        <w:t>2.卫生健康支出(类)4.46万元,占1.16%。</w:t>
      </w:r>
    </w:p>
    <w:p w14:paraId="3FCB8E26">
      <w:pPr>
        <w:spacing w:line="580" w:lineRule="exact"/>
        <w:ind w:firstLine="640"/>
        <w:jc w:val="both"/>
      </w:pPr>
      <w:r>
        <w:rPr>
          <w:rFonts w:ascii="仿宋_GB2312" w:hAnsi="仿宋_GB2312" w:eastAsia="仿宋_GB2312"/>
          <w:b w:val="0"/>
          <w:sz w:val="32"/>
        </w:rPr>
        <w:t>3.住房保障支出(类)8.67万元,占2.25%。</w:t>
      </w:r>
    </w:p>
    <w:p w14:paraId="58A7F7D0">
      <w:pPr>
        <w:spacing w:line="640" w:lineRule="exact"/>
        <w:ind w:firstLine="640"/>
        <w:jc w:val="both"/>
        <w:outlineLvl w:val="3"/>
      </w:pPr>
      <w:r>
        <w:rPr>
          <w:rFonts w:ascii="楷体_GB2312" w:hAnsi="楷体_GB2312" w:eastAsia="楷体_GB2312"/>
          <w:b/>
          <w:sz w:val="32"/>
        </w:rPr>
        <w:t>（三）一般公共预算财政拨款支出决算具体情况</w:t>
      </w:r>
    </w:p>
    <w:p w14:paraId="47E1B800">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1.社会保障和就业支出(类)行政事业单位养老支出(款)事业单位离退休(项):支出决算数为1.16万元，比上年决算增加0.24万元，增长26.09%,主要原因是：本年增加退休人员基础绩效奖，退休费支出增加。</w:t>
      </w:r>
    </w:p>
    <w:p w14:paraId="79794F05">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10.48万元，比上年决算增加3.82万元，增长57.36%,主要原因是：本年在职人员工资基数调增，养老缴费基数上涨，相应支出增加。</w:t>
      </w:r>
    </w:p>
    <w:p w14:paraId="285DF104">
      <w:pPr>
        <w:spacing w:line="580" w:lineRule="exact"/>
        <w:ind w:firstLine="640"/>
        <w:jc w:val="both"/>
      </w:pPr>
      <w:r>
        <w:rPr>
          <w:rFonts w:ascii="仿宋_GB2312" w:hAnsi="仿宋_GB2312" w:eastAsia="仿宋_GB2312"/>
          <w:b w:val="0"/>
          <w:sz w:val="32"/>
        </w:rPr>
        <w:t>3.社会保障和就业支出(类)退役军人管理事务(款)军供保障(项):支出决算数为360.63万元，比上年决算增加286.83万元，增长388.66%,主要原因是：本年增加2024年中央优抚事业单位补助、叶城县军用饮食供应站运行经费等项目经费，导致相关经费增加。</w:t>
      </w:r>
    </w:p>
    <w:p w14:paraId="6D9290F1">
      <w:pPr>
        <w:spacing w:line="580" w:lineRule="exact"/>
        <w:ind w:firstLine="640"/>
        <w:jc w:val="both"/>
      </w:pPr>
      <w:r>
        <w:rPr>
          <w:rFonts w:ascii="仿宋_GB2312" w:hAnsi="仿宋_GB2312" w:eastAsia="仿宋_GB2312"/>
          <w:b w:val="0"/>
          <w:sz w:val="32"/>
        </w:rPr>
        <w:t>4.卫生健康支出(类)行政事业单位医疗(款)事业单位医疗(项):支出决算数为4.46万元，比上年决算增加1.63万元，增长57.60%,主要原因是：本年在职人员工资基数调增，医疗缴费基数上涨，相应支出增加。</w:t>
      </w:r>
    </w:p>
    <w:p w14:paraId="4DCB8930">
      <w:pPr>
        <w:spacing w:line="580" w:lineRule="exact"/>
        <w:ind w:firstLine="640"/>
        <w:jc w:val="both"/>
      </w:pPr>
      <w:r>
        <w:rPr>
          <w:rFonts w:ascii="仿宋_GB2312" w:hAnsi="仿宋_GB2312" w:eastAsia="仿宋_GB2312"/>
          <w:b w:val="0"/>
          <w:sz w:val="32"/>
        </w:rPr>
        <w:t>5.住房保障支出(类)住房改革支出(款)住房公积金(项):支出决算数为8.67万元，比上年决算增加3.67万元，增长73.40%,主要原因是：本年在职人员工资基数调增，公积金缴费基数上涨，相应支出增加。</w:t>
      </w:r>
    </w:p>
    <w:p w14:paraId="280D4666">
      <w:pPr>
        <w:spacing w:line="640" w:lineRule="exact"/>
        <w:ind w:firstLine="640"/>
        <w:jc w:val="both"/>
        <w:outlineLvl w:val="2"/>
      </w:pPr>
      <w:r>
        <w:rPr>
          <w:rFonts w:ascii="黑体" w:hAnsi="黑体" w:eastAsia="黑体"/>
          <w:sz w:val="32"/>
        </w:rPr>
        <w:t>六、一般公共预算财政拨款基本支出决算情况说明</w:t>
      </w:r>
    </w:p>
    <w:p w14:paraId="72B4CD51">
      <w:pPr>
        <w:spacing w:line="580" w:lineRule="exact"/>
        <w:ind w:firstLine="640"/>
        <w:jc w:val="both"/>
      </w:pPr>
      <w:r>
        <w:rPr>
          <w:rFonts w:ascii="仿宋_GB2312" w:hAnsi="仿宋_GB2312" w:eastAsia="仿宋_GB2312"/>
          <w:b w:val="0"/>
          <w:sz w:val="32"/>
        </w:rPr>
        <w:t>2024年度一般公共预算财政拨款基本支出101.41万元，其中：</w:t>
      </w:r>
      <w:r>
        <w:rPr>
          <w:rFonts w:ascii="仿宋_GB2312" w:hAnsi="仿宋_GB2312" w:eastAsia="仿宋_GB2312"/>
          <w:b/>
          <w:sz w:val="32"/>
        </w:rPr>
        <w:t>人员经费99.34万元，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14:paraId="28A598A2">
      <w:pPr>
        <w:spacing w:line="580" w:lineRule="exact"/>
        <w:ind w:firstLine="640"/>
        <w:jc w:val="both"/>
      </w:pPr>
      <w:r>
        <w:rPr>
          <w:rFonts w:ascii="仿宋_GB2312" w:hAnsi="仿宋_GB2312" w:eastAsia="仿宋_GB2312"/>
          <w:b/>
          <w:sz w:val="32"/>
        </w:rPr>
        <w:t>公用经费2.07万元，</w:t>
      </w:r>
      <w:r>
        <w:rPr>
          <w:rFonts w:ascii="仿宋_GB2312" w:hAnsi="仿宋_GB2312" w:eastAsia="仿宋_GB2312"/>
          <w:b w:val="0"/>
          <w:sz w:val="32"/>
        </w:rPr>
        <w:t>包括：办公费、邮电费、差旅费、公务用车运行维护费。</w:t>
      </w:r>
    </w:p>
    <w:p w14:paraId="5AC87D19">
      <w:pPr>
        <w:spacing w:line="640" w:lineRule="exact"/>
        <w:ind w:firstLine="640"/>
        <w:jc w:val="both"/>
        <w:outlineLvl w:val="2"/>
      </w:pPr>
      <w:r>
        <w:rPr>
          <w:rFonts w:ascii="黑体" w:hAnsi="黑体" w:eastAsia="黑体"/>
          <w:sz w:val="32"/>
        </w:rPr>
        <w:t>七、政府性基金预算财政拨款收入支出决算情况说明</w:t>
      </w:r>
    </w:p>
    <w:p w14:paraId="75F59B2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04A7614">
      <w:pPr>
        <w:spacing w:line="640" w:lineRule="exact"/>
        <w:ind w:firstLine="640"/>
        <w:jc w:val="both"/>
        <w:outlineLvl w:val="2"/>
      </w:pPr>
      <w:r>
        <w:rPr>
          <w:rFonts w:ascii="黑体" w:hAnsi="黑体" w:eastAsia="黑体"/>
          <w:sz w:val="32"/>
        </w:rPr>
        <w:t>八、国有资本经营预算财政拨款收入支出决算情况说明</w:t>
      </w:r>
    </w:p>
    <w:p w14:paraId="0CFA81D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739660B">
      <w:pPr>
        <w:spacing w:line="640" w:lineRule="exact"/>
        <w:ind w:firstLine="640"/>
        <w:jc w:val="both"/>
        <w:outlineLvl w:val="2"/>
      </w:pPr>
      <w:r>
        <w:rPr>
          <w:rFonts w:ascii="黑体" w:hAnsi="黑体" w:eastAsia="黑体"/>
          <w:sz w:val="32"/>
        </w:rPr>
        <w:t>九、财政拨款“三公”经费支出决算情况说明</w:t>
      </w:r>
    </w:p>
    <w:p w14:paraId="58E0F84C">
      <w:pPr>
        <w:spacing w:line="580" w:lineRule="exact"/>
        <w:ind w:firstLine="640"/>
        <w:jc w:val="both"/>
      </w:pPr>
      <w:r>
        <w:rPr>
          <w:rFonts w:ascii="仿宋_GB2312" w:hAnsi="仿宋_GB2312" w:eastAsia="仿宋_GB2312"/>
          <w:b/>
          <w:sz w:val="32"/>
        </w:rPr>
        <w:t>2024年度财政拨款“三公”经费支出0.34万元，</w:t>
      </w:r>
      <w:r>
        <w:rPr>
          <w:rFonts w:ascii="仿宋_GB2312" w:hAnsi="仿宋_GB2312" w:eastAsia="仿宋_GB2312"/>
          <w:b w:val="0"/>
          <w:sz w:val="32"/>
        </w:rPr>
        <w:t>比上年减少0.11万元，下降24.44%，主要原因是：严格执行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接待费。其中：因公出国（境）费支出0.00万元，占0.00%，比上年增加0.00万元，增长0.00%，主要原因是：2023年与2024年均未安排因公出国（境）费支出。公务用车购置及运行维护费支出0.34万元，占100.00%，比上年减少0.11万元，下降24.44%，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54644105">
      <w:pPr>
        <w:spacing w:line="580" w:lineRule="exact"/>
        <w:ind w:firstLine="640"/>
        <w:jc w:val="both"/>
      </w:pPr>
      <w:r>
        <w:rPr>
          <w:rFonts w:ascii="仿宋_GB2312" w:hAnsi="仿宋_GB2312" w:eastAsia="仿宋_GB2312"/>
          <w:b/>
          <w:sz w:val="32"/>
        </w:rPr>
        <w:t>具体情况如下：</w:t>
      </w:r>
    </w:p>
    <w:p w14:paraId="683472E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6EE8DD8">
      <w:pPr>
        <w:spacing w:line="580" w:lineRule="exact"/>
        <w:ind w:firstLine="640"/>
        <w:jc w:val="both"/>
      </w:pPr>
      <w:r>
        <w:rPr>
          <w:rFonts w:ascii="仿宋_GB2312" w:hAnsi="仿宋_GB2312" w:eastAsia="仿宋_GB2312"/>
          <w:b w:val="0"/>
          <w:sz w:val="32"/>
        </w:rPr>
        <w:t>公务用车购置及运行维护费0.34万元，其中：公务用车购置费0.00万元，公务用车运行维护费0.34万元。公务用车运行维护费开支内容包括车辆保险费、审验费。公务用车购置数0辆，公务用车保有量1辆。国有资产占用情况中固定资产车辆1辆，与公务用车保有量差异原因是：本单位固定资产车辆与公务用车保有量一致无差异。</w:t>
      </w:r>
    </w:p>
    <w:p w14:paraId="4059332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241CC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0.34万元，决算数0.34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0.34万元，决算数0.34万元，预决算差异率0.00%，主要原因是：严格按照预算执行，预决算无差异。公务接待费全年预算数0.00万元，决算数0.00万元，预决算差异率0.00%，主要原因是：本单位无公务接待费。</w:t>
      </w:r>
    </w:p>
    <w:p w14:paraId="569836CA">
      <w:pPr>
        <w:spacing w:line="640" w:lineRule="exact"/>
        <w:ind w:firstLine="640"/>
        <w:jc w:val="both"/>
        <w:outlineLvl w:val="2"/>
      </w:pPr>
      <w:r>
        <w:rPr>
          <w:rFonts w:ascii="黑体" w:hAnsi="黑体" w:eastAsia="黑体"/>
          <w:sz w:val="32"/>
        </w:rPr>
        <w:t>十、其他重要事项的情况说明</w:t>
      </w:r>
    </w:p>
    <w:p w14:paraId="57C20A50">
      <w:pPr>
        <w:spacing w:line="640" w:lineRule="exact"/>
        <w:ind w:firstLine="640"/>
        <w:jc w:val="both"/>
        <w:outlineLvl w:val="3"/>
      </w:pPr>
      <w:r>
        <w:rPr>
          <w:rFonts w:ascii="楷体_GB2312" w:hAnsi="楷体_GB2312" w:eastAsia="楷体_GB2312"/>
          <w:b/>
          <w:sz w:val="32"/>
        </w:rPr>
        <w:t>（一）机关运行经费及公用经费支出情况</w:t>
      </w:r>
    </w:p>
    <w:p w14:paraId="5C5261A3">
      <w:pPr>
        <w:spacing w:line="580" w:lineRule="exact"/>
        <w:ind w:firstLine="640"/>
        <w:jc w:val="both"/>
      </w:pPr>
      <w:r>
        <w:rPr>
          <w:rFonts w:ascii="仿宋_GB2312" w:hAnsi="仿宋_GB2312" w:eastAsia="仿宋_GB2312"/>
          <w:b w:val="0"/>
          <w:sz w:val="32"/>
        </w:rPr>
        <w:t>2024年度叶城县军用饮食供应站（事业单位）公用经费支出2.07万元，比上年增加0.42万元，增长25.45%，主要原因是：本年</w:t>
      </w:r>
      <w:r>
        <w:rPr>
          <w:rFonts w:hint="eastAsia" w:ascii="仿宋_GB2312" w:hAnsi="仿宋_GB2312" w:eastAsia="仿宋_GB2312"/>
          <w:b w:val="0"/>
          <w:sz w:val="32"/>
          <w:lang w:val="en-US" w:eastAsia="zh-CN"/>
        </w:rPr>
        <w:t>业务量增加</w:t>
      </w:r>
      <w:r>
        <w:rPr>
          <w:rFonts w:ascii="仿宋_GB2312" w:hAnsi="仿宋_GB2312" w:eastAsia="仿宋_GB2312"/>
          <w:b w:val="0"/>
          <w:sz w:val="32"/>
        </w:rPr>
        <w:t>，导致</w:t>
      </w:r>
      <w:r>
        <w:rPr>
          <w:rFonts w:hint="eastAsia" w:ascii="仿宋_GB2312" w:hAnsi="仿宋_GB2312" w:eastAsia="仿宋_GB2312"/>
          <w:b w:val="0"/>
          <w:sz w:val="32"/>
          <w:lang w:val="en-US" w:eastAsia="zh-CN"/>
        </w:rPr>
        <w:t>办公费等公用经费</w:t>
      </w:r>
      <w:r>
        <w:rPr>
          <w:rFonts w:ascii="仿宋_GB2312" w:hAnsi="仿宋_GB2312" w:eastAsia="仿宋_GB2312"/>
          <w:b w:val="0"/>
          <w:sz w:val="32"/>
        </w:rPr>
        <w:t>较上年增加。</w:t>
      </w:r>
    </w:p>
    <w:p w14:paraId="6CF387BF">
      <w:pPr>
        <w:spacing w:line="640" w:lineRule="exact"/>
        <w:ind w:firstLine="640"/>
        <w:jc w:val="both"/>
        <w:outlineLvl w:val="3"/>
      </w:pPr>
      <w:r>
        <w:rPr>
          <w:rFonts w:ascii="楷体_GB2312" w:hAnsi="楷体_GB2312" w:eastAsia="楷体_GB2312"/>
          <w:b/>
          <w:sz w:val="32"/>
        </w:rPr>
        <w:t>（二）政府采购情况</w:t>
      </w:r>
    </w:p>
    <w:p w14:paraId="5AA0595B">
      <w:pPr>
        <w:spacing w:line="580" w:lineRule="exact"/>
        <w:ind w:firstLine="640"/>
        <w:jc w:val="both"/>
      </w:pPr>
      <w:r>
        <w:rPr>
          <w:rFonts w:ascii="仿宋_GB2312" w:hAnsi="仿宋_GB2312" w:eastAsia="仿宋_GB2312"/>
          <w:b w:val="0"/>
          <w:sz w:val="32"/>
        </w:rPr>
        <w:t>2024年度政府采购支出总额4.79万元，其中：政府采购货物支出4.17万元、政府采购工程支出0.00万元、政府采购服务支出0.62万元。</w:t>
      </w:r>
    </w:p>
    <w:p w14:paraId="68B13331">
      <w:pPr>
        <w:spacing w:line="580" w:lineRule="exact"/>
        <w:ind w:firstLine="640"/>
        <w:jc w:val="both"/>
      </w:pPr>
      <w:r>
        <w:rPr>
          <w:rFonts w:ascii="仿宋_GB2312" w:hAnsi="仿宋_GB2312" w:eastAsia="仿宋_GB2312"/>
          <w:b w:val="0"/>
          <w:sz w:val="32"/>
        </w:rPr>
        <w:t>授予中小企业合同金额4.45万元，占政府采购支出总额的92.90%，其中：授予小微企业合同金额4.45万元，占政府采购支出总额的92.90%。</w:t>
      </w:r>
    </w:p>
    <w:p w14:paraId="13DA92FB">
      <w:pPr>
        <w:spacing w:line="640" w:lineRule="exact"/>
        <w:ind w:firstLine="640"/>
        <w:jc w:val="both"/>
        <w:outlineLvl w:val="3"/>
      </w:pPr>
      <w:r>
        <w:rPr>
          <w:rFonts w:ascii="楷体_GB2312" w:hAnsi="楷体_GB2312" w:eastAsia="楷体_GB2312"/>
          <w:b/>
          <w:sz w:val="32"/>
        </w:rPr>
        <w:t>（三）国有资产占用情况说明</w:t>
      </w:r>
    </w:p>
    <w:p w14:paraId="1A00423E">
      <w:pPr>
        <w:spacing w:line="580" w:lineRule="exact"/>
        <w:ind w:firstLine="640"/>
        <w:jc w:val="both"/>
      </w:pPr>
      <w:r>
        <w:rPr>
          <w:rFonts w:ascii="仿宋_GB2312" w:hAnsi="仿宋_GB2312" w:eastAsia="仿宋_GB2312"/>
          <w:b w:val="0"/>
          <w:sz w:val="32"/>
        </w:rPr>
        <w:t>截至2024年12月31日，房屋0.00平方米，价值0.00万元。车辆1辆，价值16.50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74D8BA5">
      <w:pPr>
        <w:spacing w:line="640" w:lineRule="exact"/>
        <w:ind w:firstLine="640"/>
        <w:jc w:val="both"/>
        <w:outlineLvl w:val="2"/>
      </w:pPr>
      <w:r>
        <w:rPr>
          <w:rFonts w:ascii="黑体" w:hAnsi="黑体" w:eastAsia="黑体"/>
          <w:sz w:val="32"/>
        </w:rPr>
        <w:t>十一、预算绩效的情况说明</w:t>
      </w:r>
    </w:p>
    <w:p w14:paraId="6ADA461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388.90万元，实际执行总额388.90万元；预算绩效评价项目1个，全年预算数300万元，全年执行数277.41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预算绩效管理有待提升。预算绩效管理水平不够，目标约束力不够强，绩效理念树立尚不牢固，项目绩效目标确定后指标值的设置缺乏弹性，项目相关受益群体的满意度指标设置不够科学，自评报告质量有待提高。下一步改进措施：一是在以后年度，</w:t>
      </w:r>
      <w:r>
        <w:rPr>
          <w:rFonts w:hint="eastAsia" w:ascii="仿宋_GB2312" w:hAnsi="仿宋_GB2312" w:eastAsia="仿宋_GB2312"/>
          <w:b w:val="0"/>
          <w:sz w:val="32"/>
          <w:lang w:eastAsia="zh-CN"/>
        </w:rPr>
        <w:t>本单位</w:t>
      </w:r>
      <w:r>
        <w:rPr>
          <w:rFonts w:ascii="仿宋_GB2312" w:hAnsi="仿宋_GB2312" w:eastAsia="仿宋_GB2312"/>
          <w:b w:val="0"/>
          <w:sz w:val="32"/>
        </w:rPr>
        <w:t>会充分考虑、预测实际情况来进行预算的填报，提高预算数据的准确度；二是加强对以前年度资金使用情况的分析和总结，加强预算编制科学化、精细化管理，增强预算编制的严肃性和权威性。具体附整体支出绩效自评表。</w:t>
      </w:r>
    </w:p>
    <w:p w14:paraId="44F47E1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99F0C1">
        <w:tblPrEx>
          <w:tblCellMar>
            <w:top w:w="0" w:type="dxa"/>
            <w:left w:w="108" w:type="dxa"/>
            <w:bottom w:w="0" w:type="dxa"/>
            <w:right w:w="108" w:type="dxa"/>
          </w:tblCellMar>
        </w:tblPrEx>
        <w:tc>
          <w:tcPr>
            <w:tcW w:w="8847" w:type="dxa"/>
            <w:gridSpan w:val="9"/>
            <w:vAlign w:val="center"/>
          </w:tcPr>
          <w:p w14:paraId="282804C6">
            <w:pPr>
              <w:jc w:val="center"/>
            </w:pPr>
            <w:r>
              <w:rPr>
                <w:rFonts w:ascii="宋体" w:hAnsi="宋体" w:eastAsia="宋体"/>
                <w:sz w:val="24"/>
              </w:rPr>
              <w:t>单位整体支出绩效自评表</w:t>
            </w:r>
          </w:p>
        </w:tc>
      </w:tr>
      <w:tr w14:paraId="6EEA7F87">
        <w:tblPrEx>
          <w:tblCellMar>
            <w:top w:w="0" w:type="dxa"/>
            <w:left w:w="108" w:type="dxa"/>
            <w:bottom w:w="0" w:type="dxa"/>
            <w:right w:w="108" w:type="dxa"/>
          </w:tblCellMar>
        </w:tblPrEx>
        <w:tc>
          <w:tcPr>
            <w:tcW w:w="8847" w:type="dxa"/>
            <w:gridSpan w:val="9"/>
            <w:vAlign w:val="center"/>
          </w:tcPr>
          <w:p w14:paraId="5DCC457E">
            <w:pPr>
              <w:jc w:val="center"/>
            </w:pPr>
            <w:r>
              <w:rPr>
                <w:rFonts w:ascii="宋体" w:hAnsi="宋体" w:eastAsia="宋体"/>
                <w:sz w:val="24"/>
              </w:rPr>
              <w:t>（2024年度）</w:t>
            </w:r>
          </w:p>
        </w:tc>
      </w:tr>
      <w:tr w14:paraId="3DAE4DB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240B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3EF238">
            <w:pPr>
              <w:jc w:val="center"/>
            </w:pPr>
            <w:r>
              <w:rPr>
                <w:rFonts w:ascii="宋体" w:hAnsi="宋体" w:eastAsia="宋体"/>
                <w:sz w:val="16"/>
              </w:rPr>
              <w:t>叶城县军用饮食供应站</w:t>
            </w:r>
          </w:p>
        </w:tc>
      </w:tr>
      <w:tr w14:paraId="351B46F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7FA3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47A3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68E0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B9FB7">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45E2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1953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F92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C149">
            <w:pPr>
              <w:jc w:val="center"/>
            </w:pPr>
            <w:r>
              <w:rPr>
                <w:rFonts w:ascii="宋体" w:hAnsi="宋体" w:eastAsia="宋体"/>
                <w:sz w:val="16"/>
              </w:rPr>
              <w:t>得分</w:t>
            </w:r>
          </w:p>
        </w:tc>
      </w:tr>
      <w:tr w14:paraId="6AD842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B3F9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DBA31">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074E8">
            <w:pPr>
              <w:jc w:val="center"/>
            </w:pPr>
            <w:r>
              <w:rPr>
                <w:rFonts w:ascii="宋体" w:hAnsi="宋体" w:eastAsia="宋体"/>
                <w:sz w:val="16"/>
              </w:rPr>
              <w:t>83.66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783B5">
            <w:pPr>
              <w:jc w:val="center"/>
            </w:pPr>
            <w:r>
              <w:rPr>
                <w:rFonts w:ascii="宋体" w:hAnsi="宋体" w:eastAsia="宋体"/>
                <w:sz w:val="16"/>
              </w:rPr>
              <w:t>388.90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8B081">
            <w:pPr>
              <w:jc w:val="center"/>
            </w:pPr>
            <w:r>
              <w:rPr>
                <w:rFonts w:ascii="宋体" w:hAnsi="宋体" w:eastAsia="宋体"/>
                <w:sz w:val="16"/>
              </w:rPr>
              <w:t>388.90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C02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A75C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B2AD3">
            <w:pPr>
              <w:jc w:val="center"/>
            </w:pPr>
            <w:r>
              <w:rPr>
                <w:rFonts w:ascii="宋体" w:hAnsi="宋体" w:eastAsia="宋体"/>
                <w:sz w:val="16"/>
              </w:rPr>
              <w:t>10</w:t>
            </w:r>
          </w:p>
        </w:tc>
      </w:tr>
      <w:tr w14:paraId="703D97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70B44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B0AA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A16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31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0EA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A80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1006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5787A">
            <w:pPr>
              <w:jc w:val="center"/>
            </w:pPr>
            <w:r>
              <w:rPr>
                <w:rFonts w:ascii="宋体" w:hAnsi="宋体" w:eastAsia="宋体"/>
                <w:sz w:val="16"/>
              </w:rPr>
              <w:t>—</w:t>
            </w:r>
          </w:p>
        </w:tc>
      </w:tr>
      <w:tr w14:paraId="7034FA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F844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86C3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7F8DF">
            <w:pPr>
              <w:jc w:val="center"/>
            </w:pPr>
            <w:r>
              <w:rPr>
                <w:rFonts w:ascii="宋体" w:hAnsi="宋体" w:eastAsia="宋体"/>
                <w:sz w:val="16"/>
              </w:rPr>
              <w:t>83.66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5AD2B">
            <w:pPr>
              <w:jc w:val="center"/>
            </w:pPr>
            <w:r>
              <w:rPr>
                <w:rFonts w:ascii="宋体" w:hAnsi="宋体" w:eastAsia="宋体"/>
                <w:sz w:val="16"/>
              </w:rPr>
              <w:t>388.90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E18EA">
            <w:pPr>
              <w:jc w:val="center"/>
            </w:pPr>
            <w:r>
              <w:rPr>
                <w:rFonts w:ascii="宋体" w:hAnsi="宋体" w:eastAsia="宋体"/>
                <w:sz w:val="16"/>
              </w:rPr>
              <w:t>388.90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2FE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F6A2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FC5C8">
            <w:pPr>
              <w:jc w:val="center"/>
            </w:pPr>
            <w:r>
              <w:rPr>
                <w:rFonts w:ascii="宋体" w:hAnsi="宋体" w:eastAsia="宋体"/>
                <w:sz w:val="16"/>
              </w:rPr>
              <w:t>—</w:t>
            </w:r>
          </w:p>
        </w:tc>
      </w:tr>
      <w:tr w14:paraId="6B0859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B5B78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A7CC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FC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7A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D48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06B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A44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208D4">
            <w:pPr>
              <w:jc w:val="center"/>
            </w:pPr>
            <w:r>
              <w:rPr>
                <w:rFonts w:ascii="宋体" w:hAnsi="宋体" w:eastAsia="宋体"/>
                <w:sz w:val="16"/>
              </w:rPr>
              <w:t>—</w:t>
            </w:r>
          </w:p>
        </w:tc>
      </w:tr>
      <w:tr w14:paraId="02A7FD1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CA513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B1CF18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560378">
            <w:pPr>
              <w:jc w:val="center"/>
            </w:pPr>
            <w:r>
              <w:rPr>
                <w:rFonts w:ascii="宋体" w:hAnsi="宋体" w:eastAsia="宋体"/>
                <w:sz w:val="16"/>
              </w:rPr>
              <w:t>实际完成情况</w:t>
            </w:r>
          </w:p>
        </w:tc>
      </w:tr>
      <w:tr w14:paraId="788F6F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1BE2E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78BB61">
            <w:pPr>
              <w:jc w:val="both"/>
            </w:pPr>
            <w:r>
              <w:rPr>
                <w:rFonts w:ascii="宋体" w:hAnsi="宋体" w:eastAsia="宋体"/>
                <w:sz w:val="16"/>
              </w:rPr>
              <w:t>主要为过往部队提供饮食饮水和住宿保障服务，认真做好本职工作，保障职工工资按时发放，保障工作正常运转。</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97D465">
            <w:pPr>
              <w:jc w:val="both"/>
            </w:pPr>
            <w:r>
              <w:rPr>
                <w:rFonts w:hint="eastAsia" w:ascii="宋体" w:hAnsi="宋体"/>
                <w:sz w:val="16"/>
                <w:lang w:eastAsia="zh-CN"/>
              </w:rPr>
              <w:t>截至</w:t>
            </w:r>
            <w:r>
              <w:rPr>
                <w:rFonts w:ascii="宋体" w:hAnsi="宋体" w:eastAsia="宋体"/>
                <w:sz w:val="16"/>
              </w:rPr>
              <w:t>2024年12月31日，本站在</w:t>
            </w:r>
            <w:r>
              <w:rPr>
                <w:rFonts w:hint="eastAsia" w:ascii="宋体" w:hAnsi="宋体"/>
                <w:sz w:val="16"/>
                <w:lang w:eastAsia="zh-CN"/>
              </w:rPr>
              <w:t>县委、县政府</w:t>
            </w:r>
            <w:r>
              <w:rPr>
                <w:rFonts w:ascii="宋体" w:hAnsi="宋体" w:eastAsia="宋体"/>
                <w:sz w:val="16"/>
              </w:rPr>
              <w:t>的领导下，在县退役军人事务局领导的关怀支持下开展好站内各项工作，提供住宿、生活用水、用电的后勤保障服务。站内职工按时完成</w:t>
            </w:r>
            <w:r>
              <w:rPr>
                <w:rFonts w:hint="eastAsia" w:ascii="宋体" w:hAnsi="宋体"/>
                <w:sz w:val="16"/>
                <w:lang w:eastAsia="zh-CN"/>
              </w:rPr>
              <w:t>县委、县政府</w:t>
            </w:r>
            <w:r>
              <w:rPr>
                <w:rFonts w:ascii="宋体" w:hAnsi="宋体" w:eastAsia="宋体"/>
                <w:sz w:val="16"/>
              </w:rPr>
              <w:t>安排的各项工作，在县退役军人事务局领导指导下，站内职工做好值班备勤工作，确保站内工作有序进行。</w:t>
            </w:r>
          </w:p>
        </w:tc>
      </w:tr>
      <w:tr w14:paraId="738041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43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13EC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1A8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968A2">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5E21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6314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60ED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FD7F6">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8D6D3">
            <w:pPr>
              <w:jc w:val="center"/>
            </w:pPr>
            <w:r>
              <w:rPr>
                <w:rFonts w:ascii="宋体" w:hAnsi="宋体" w:eastAsia="宋体"/>
                <w:sz w:val="16"/>
              </w:rPr>
              <w:t>得分</w:t>
            </w:r>
          </w:p>
        </w:tc>
      </w:tr>
      <w:tr w14:paraId="2E0F65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1EC81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99DA7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5C9B0">
            <w:pPr>
              <w:jc w:val="center"/>
            </w:pPr>
            <w:r>
              <w:rPr>
                <w:rFonts w:ascii="宋体" w:hAnsi="宋体" w:eastAsia="宋体"/>
                <w:sz w:val="16"/>
              </w:rPr>
              <w:t>保障过往部队住宿次数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14D35">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FC8F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E632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1CF2F">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61C9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E20B3">
            <w:pPr>
              <w:jc w:val="center"/>
            </w:pPr>
            <w:r>
              <w:rPr>
                <w:rFonts w:ascii="宋体" w:hAnsi="宋体" w:eastAsia="宋体"/>
                <w:sz w:val="16"/>
              </w:rPr>
              <w:t>18</w:t>
            </w:r>
          </w:p>
        </w:tc>
      </w:tr>
      <w:tr w14:paraId="5B92F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17111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E73FC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157BB">
            <w:pPr>
              <w:jc w:val="center"/>
            </w:pPr>
            <w:r>
              <w:rPr>
                <w:rFonts w:ascii="宋体" w:hAnsi="宋体" w:eastAsia="宋体"/>
                <w:sz w:val="16"/>
              </w:rPr>
              <w:t>保障在职人员数量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B3D3F">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57EC4">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C75C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8BB27">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BBA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712BD">
            <w:pPr>
              <w:jc w:val="center"/>
            </w:pPr>
            <w:r>
              <w:rPr>
                <w:rFonts w:ascii="宋体" w:hAnsi="宋体" w:eastAsia="宋体"/>
                <w:sz w:val="16"/>
              </w:rPr>
              <w:t>18</w:t>
            </w:r>
          </w:p>
        </w:tc>
      </w:tr>
      <w:tr w14:paraId="4EAA4D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B58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2D27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44AB9">
            <w:pPr>
              <w:jc w:val="center"/>
            </w:pPr>
            <w:r>
              <w:rPr>
                <w:rFonts w:ascii="宋体" w:hAnsi="宋体" w:eastAsia="宋体"/>
                <w:sz w:val="16"/>
              </w:rPr>
              <w:t>保障公用车辆数量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C3692">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F9DD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5D33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ADA2">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B8F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609C8">
            <w:pPr>
              <w:jc w:val="center"/>
            </w:pPr>
            <w:r>
              <w:rPr>
                <w:rFonts w:ascii="宋体" w:hAnsi="宋体" w:eastAsia="宋体"/>
                <w:sz w:val="16"/>
              </w:rPr>
              <w:t>18</w:t>
            </w:r>
          </w:p>
        </w:tc>
      </w:tr>
      <w:tr w14:paraId="509B05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C218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14C68">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AA827">
            <w:pPr>
              <w:jc w:val="center"/>
            </w:pPr>
            <w:r>
              <w:rPr>
                <w:rFonts w:ascii="宋体" w:hAnsi="宋体" w:eastAsia="宋体"/>
                <w:sz w:val="16"/>
              </w:rPr>
              <w:t>为过往部队提供饮食饮水和住宿保障服务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C16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C343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0E86A">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8B25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031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AEFA2">
            <w:pPr>
              <w:jc w:val="center"/>
            </w:pPr>
            <w:r>
              <w:rPr>
                <w:rFonts w:ascii="宋体" w:hAnsi="宋体" w:eastAsia="宋体"/>
                <w:sz w:val="16"/>
              </w:rPr>
              <w:t>18</w:t>
            </w:r>
          </w:p>
        </w:tc>
      </w:tr>
      <w:tr w14:paraId="3543DD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5C4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2BDE0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5CF52">
            <w:pPr>
              <w:jc w:val="center"/>
            </w:pPr>
            <w:r>
              <w:rPr>
                <w:rFonts w:ascii="宋体" w:hAnsi="宋体" w:eastAsia="宋体"/>
                <w:sz w:val="16"/>
              </w:rPr>
              <w:t>保障军队饮食安全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892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68F7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81278">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3BA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16E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9E498">
            <w:pPr>
              <w:jc w:val="center"/>
            </w:pPr>
            <w:r>
              <w:rPr>
                <w:rFonts w:ascii="宋体" w:hAnsi="宋体" w:eastAsia="宋体"/>
                <w:sz w:val="16"/>
              </w:rPr>
              <w:t>18</w:t>
            </w:r>
          </w:p>
        </w:tc>
      </w:tr>
    </w:tbl>
    <w:p w14:paraId="180094B8">
      <w:r>
        <w:br w:type="page"/>
      </w:r>
    </w:p>
    <w:p w14:paraId="78C90DBE">
      <w:pPr>
        <w:spacing w:line="640" w:lineRule="exact"/>
        <w:ind w:firstLine="640"/>
        <w:jc w:val="both"/>
        <w:outlineLvl w:val="2"/>
      </w:pPr>
      <w:r>
        <w:rPr>
          <w:rFonts w:ascii="黑体" w:hAnsi="黑体" w:eastAsia="黑体"/>
          <w:sz w:val="32"/>
        </w:rPr>
        <w:t>十二、其他需说明的事项</w:t>
      </w:r>
    </w:p>
    <w:p w14:paraId="07658DC0">
      <w:pPr>
        <w:spacing w:line="580" w:lineRule="exact"/>
        <w:ind w:firstLine="640"/>
        <w:jc w:val="both"/>
      </w:pPr>
      <w:r>
        <w:rPr>
          <w:rFonts w:ascii="仿宋_GB2312" w:hAnsi="仿宋_GB2312" w:eastAsia="仿宋_GB2312"/>
          <w:b w:val="0"/>
          <w:sz w:val="32"/>
        </w:rPr>
        <w:t>本年本单位SM项目1个，全年预算数300万元，全年执行数277.41万元。</w:t>
      </w:r>
    </w:p>
    <w:p w14:paraId="7383C1D5">
      <w:r>
        <w:br w:type="page"/>
      </w:r>
    </w:p>
    <w:p w14:paraId="0F35FBB2">
      <w:pPr>
        <w:spacing w:line="240" w:lineRule="auto"/>
        <w:jc w:val="center"/>
        <w:outlineLvl w:val="1"/>
      </w:pPr>
      <w:r>
        <w:rPr>
          <w:rFonts w:ascii="黑体" w:hAnsi="黑体" w:eastAsia="黑体"/>
          <w:sz w:val="32"/>
        </w:rPr>
        <w:t>第三部分 专业名词解释</w:t>
      </w:r>
    </w:p>
    <w:p w14:paraId="11928BA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630B1D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0D8154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DD87F0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D96690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FE0F10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7D7099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47C6A6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7E1E2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097B07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3D8B0E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BB47E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44D16C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8B217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9F7C190">
      <w:r>
        <w:br w:type="page"/>
      </w:r>
    </w:p>
    <w:p w14:paraId="2F7F27EA">
      <w:pPr>
        <w:spacing w:line="240" w:lineRule="auto"/>
        <w:jc w:val="center"/>
        <w:outlineLvl w:val="1"/>
      </w:pPr>
      <w:r>
        <w:rPr>
          <w:rFonts w:ascii="黑体" w:hAnsi="黑体" w:eastAsia="黑体"/>
          <w:sz w:val="32"/>
        </w:rPr>
        <w:t>第四部分 部门决算报表（见附表）</w:t>
      </w:r>
    </w:p>
    <w:p w14:paraId="6A0A5D21">
      <w:pPr>
        <w:spacing w:line="240" w:lineRule="auto"/>
        <w:ind w:firstLine="640"/>
        <w:jc w:val="both"/>
      </w:pPr>
      <w:r>
        <w:rPr>
          <w:rFonts w:ascii="仿宋_GB2312" w:hAnsi="仿宋_GB2312" w:eastAsia="仿宋_GB2312"/>
          <w:b w:val="0"/>
          <w:sz w:val="32"/>
        </w:rPr>
        <w:t>一、《收入支出决算总表》</w:t>
      </w:r>
    </w:p>
    <w:p w14:paraId="43C11F29">
      <w:pPr>
        <w:spacing w:line="240" w:lineRule="auto"/>
        <w:ind w:firstLine="640"/>
        <w:jc w:val="both"/>
      </w:pPr>
      <w:r>
        <w:rPr>
          <w:rFonts w:ascii="仿宋_GB2312" w:hAnsi="仿宋_GB2312" w:eastAsia="仿宋_GB2312"/>
          <w:b w:val="0"/>
          <w:sz w:val="32"/>
        </w:rPr>
        <w:t>二、《收入决算表》</w:t>
      </w:r>
    </w:p>
    <w:p w14:paraId="39676768">
      <w:pPr>
        <w:spacing w:line="240" w:lineRule="auto"/>
        <w:ind w:firstLine="640"/>
        <w:jc w:val="both"/>
      </w:pPr>
      <w:r>
        <w:rPr>
          <w:rFonts w:ascii="仿宋_GB2312" w:hAnsi="仿宋_GB2312" w:eastAsia="仿宋_GB2312"/>
          <w:b w:val="0"/>
          <w:sz w:val="32"/>
        </w:rPr>
        <w:t>三、《支出决算表》</w:t>
      </w:r>
    </w:p>
    <w:p w14:paraId="3D43AAC8">
      <w:pPr>
        <w:spacing w:line="240" w:lineRule="auto"/>
        <w:ind w:firstLine="640"/>
        <w:jc w:val="both"/>
      </w:pPr>
      <w:r>
        <w:rPr>
          <w:rFonts w:ascii="仿宋_GB2312" w:hAnsi="仿宋_GB2312" w:eastAsia="仿宋_GB2312"/>
          <w:b w:val="0"/>
          <w:sz w:val="32"/>
        </w:rPr>
        <w:t>四、《财政拨款收入支出决算总表》</w:t>
      </w:r>
    </w:p>
    <w:p w14:paraId="0EDB0EE4">
      <w:pPr>
        <w:spacing w:line="240" w:lineRule="auto"/>
        <w:ind w:firstLine="640"/>
        <w:jc w:val="both"/>
      </w:pPr>
      <w:r>
        <w:rPr>
          <w:rFonts w:ascii="仿宋_GB2312" w:hAnsi="仿宋_GB2312" w:eastAsia="仿宋_GB2312"/>
          <w:b w:val="0"/>
          <w:sz w:val="32"/>
        </w:rPr>
        <w:t>五、《一般公共预算财政拨款支出决算表》</w:t>
      </w:r>
    </w:p>
    <w:p w14:paraId="63151CCE">
      <w:pPr>
        <w:spacing w:line="240" w:lineRule="auto"/>
        <w:ind w:firstLine="640"/>
        <w:jc w:val="both"/>
      </w:pPr>
      <w:r>
        <w:rPr>
          <w:rFonts w:ascii="仿宋_GB2312" w:hAnsi="仿宋_GB2312" w:eastAsia="仿宋_GB2312"/>
          <w:b w:val="0"/>
          <w:sz w:val="32"/>
        </w:rPr>
        <w:t>六、《一般公共预算财政拨款基本支出决算表》</w:t>
      </w:r>
    </w:p>
    <w:p w14:paraId="64F8D778">
      <w:pPr>
        <w:spacing w:line="240" w:lineRule="auto"/>
        <w:ind w:firstLine="640"/>
        <w:jc w:val="both"/>
      </w:pPr>
      <w:r>
        <w:rPr>
          <w:rFonts w:ascii="仿宋_GB2312" w:hAnsi="仿宋_GB2312" w:eastAsia="仿宋_GB2312"/>
          <w:b w:val="0"/>
          <w:sz w:val="32"/>
        </w:rPr>
        <w:t>七、《政府性基金预算财政拨款收入支出决算表》</w:t>
      </w:r>
    </w:p>
    <w:p w14:paraId="354FCECF">
      <w:pPr>
        <w:spacing w:line="240" w:lineRule="auto"/>
        <w:ind w:firstLine="640"/>
        <w:jc w:val="both"/>
      </w:pPr>
      <w:r>
        <w:rPr>
          <w:rFonts w:ascii="仿宋_GB2312" w:hAnsi="仿宋_GB2312" w:eastAsia="仿宋_GB2312"/>
          <w:b w:val="0"/>
          <w:sz w:val="32"/>
        </w:rPr>
        <w:t>八、《国有资本经营预算财政拨款收入支出决算表》</w:t>
      </w:r>
    </w:p>
    <w:p w14:paraId="2A116DA7">
      <w:pPr>
        <w:spacing w:line="240" w:lineRule="auto"/>
        <w:ind w:firstLine="640"/>
        <w:jc w:val="both"/>
      </w:pPr>
      <w:r>
        <w:rPr>
          <w:rFonts w:ascii="仿宋_GB2312" w:hAnsi="仿宋_GB2312" w:eastAsia="仿宋_GB2312"/>
          <w:b w:val="0"/>
          <w:sz w:val="32"/>
        </w:rPr>
        <w:t>九、《财政拨款“三公”经费支出决算表》</w:t>
      </w:r>
    </w:p>
    <w:p w14:paraId="6EA54C89">
      <w:pPr>
        <w:spacing w:line="240" w:lineRule="auto"/>
        <w:ind w:firstLine="640"/>
        <w:jc w:val="both"/>
      </w:pPr>
    </w:p>
    <w:p w14:paraId="50C1C858">
      <w:pPr>
        <w:spacing w:line="240" w:lineRule="auto"/>
        <w:ind w:firstLine="640"/>
        <w:jc w:val="both"/>
      </w:pPr>
    </w:p>
    <w:p w14:paraId="1DC294D4">
      <w:pPr>
        <w:spacing w:line="240" w:lineRule="auto"/>
        <w:ind w:firstLine="640"/>
        <w:jc w:val="both"/>
      </w:pPr>
    </w:p>
    <w:p w14:paraId="62E7F5A5">
      <w:pPr>
        <w:spacing w:line="240" w:lineRule="auto"/>
        <w:ind w:firstLine="640"/>
        <w:jc w:val="both"/>
      </w:pPr>
    </w:p>
    <w:p w14:paraId="53AA68C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A636F94-74C9-4D8A-9B14-1F61C925B48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79BDC61-3774-42B5-9FA8-13557E35D1C8}"/>
  </w:font>
  <w:font w:name="仿宋_GB2312">
    <w:panose1 w:val="02010609030101010101"/>
    <w:charset w:val="86"/>
    <w:family w:val="modern"/>
    <w:pitch w:val="default"/>
    <w:sig w:usb0="00000001" w:usb1="080E0000" w:usb2="00000000" w:usb3="00000000" w:csb0="00040000" w:csb1="00000000"/>
    <w:embedRegular r:id="rId3" w:fontKey="{3BD99248-BA96-4F58-895D-E627C3F0F235}"/>
  </w:font>
  <w:font w:name="楷体_GB2312">
    <w:panose1 w:val="02010609030101010101"/>
    <w:charset w:val="86"/>
    <w:family w:val="auto"/>
    <w:pitch w:val="default"/>
    <w:sig w:usb0="00000001" w:usb1="080E0000" w:usb2="00000000" w:usb3="00000000" w:csb0="00040000" w:csb1="00000000"/>
    <w:embedRegular r:id="rId4" w:fontKey="{1C1B8BED-CA98-42B5-AEEA-F59E9B8805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4BF110E"/>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5E2A0A"/>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5649</Words>
  <Characters>6361</Characters>
  <Lines>0</Lines>
  <Paragraphs>0</Paragraphs>
  <TotalTime>4</TotalTime>
  <ScaleCrop>false</ScaleCrop>
  <LinksUpToDate>false</LinksUpToDate>
  <CharactersWithSpaces>6371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2025-09-29T10:59:22Z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