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C1421D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叶城县医疗保障局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524815">
      <w:r>
        <w:br w:type="page"/>
      </w:r>
    </w:p>
    <w:p w14:paraId="3A0E11F3">
      <w:pPr>
        <w:spacing w:line="640" w:lineRule="exact"/>
        <w:jc w:val="center"/>
        <w:outlineLvl w:val="1"/>
      </w:pPr>
      <w:r>
        <w:rPr>
          <w:rFonts w:ascii="黑体" w:hAnsi="黑体" w:eastAsia="黑体"/>
          <w:sz w:val="32"/>
        </w:rPr>
        <w:t>第一部分 单位概况</w:t>
      </w:r>
    </w:p>
    <w:p w14:paraId="1EAC7C39">
      <w:pPr>
        <w:spacing w:line="640" w:lineRule="exact"/>
        <w:ind w:firstLine="640"/>
        <w:jc w:val="both"/>
        <w:outlineLvl w:val="2"/>
      </w:pPr>
      <w:r>
        <w:rPr>
          <w:rFonts w:ascii="黑体" w:hAnsi="黑体" w:eastAsia="黑体"/>
          <w:sz w:val="32"/>
        </w:rPr>
        <w:t>一、主要职能</w:t>
      </w:r>
    </w:p>
    <w:p w14:paraId="58660546">
      <w:pPr>
        <w:spacing w:line="580" w:lineRule="exact"/>
        <w:ind w:firstLine="640"/>
        <w:jc w:val="both"/>
      </w:pPr>
      <w:r>
        <w:rPr>
          <w:rFonts w:ascii="仿宋_GB2312" w:hAnsi="仿宋_GB2312" w:eastAsia="仿宋_GB2312"/>
          <w:sz w:val="32"/>
        </w:rPr>
        <w:t>（1）贯彻落实国家和自治区医疗保险、生育保险、人身意外伤害保险等医疗保障制度;提出叶城县医疗保障制度的政策、</w:t>
      </w:r>
      <w:bookmarkStart w:id="0" w:name="_GoBack"/>
      <w:bookmarkEnd w:id="0"/>
      <w:r>
        <w:rPr>
          <w:rFonts w:ascii="仿宋_GB2312" w:hAnsi="仿宋_GB2312" w:eastAsia="仿宋_GB2312"/>
          <w:sz w:val="32"/>
        </w:rPr>
        <w:t>规划和标准并组织实施;组织实施叶城县医疗保险、生育保险、大病保险、大额医疗补助、公务员医疗补助、企事业单位补充医疗保险、长期护理保险、离休人员和优抚对象医疗保障等政策、管理办法并组织实施。</w:t>
      </w:r>
    </w:p>
    <w:p w14:paraId="7E62A5F0">
      <w:pPr>
        <w:spacing w:line="580" w:lineRule="exact"/>
        <w:ind w:firstLine="640"/>
        <w:jc w:val="both"/>
      </w:pPr>
      <w:r>
        <w:rPr>
          <w:rFonts w:ascii="仿宋_GB2312" w:hAnsi="仿宋_GB2312" w:eastAsia="仿宋_GB2312"/>
          <w:sz w:val="32"/>
        </w:rPr>
        <w:t>（2）实施医疗保障基金监督管理办法，建立健全医疗保障安全防控机制，承担推进医疗保障基金支付方式改革工作，编制叶城县医疗保障基金预决算草案。</w:t>
      </w:r>
    </w:p>
    <w:p w14:paraId="059C029C">
      <w:pPr>
        <w:spacing w:line="580" w:lineRule="exact"/>
        <w:ind w:firstLine="640"/>
        <w:jc w:val="both"/>
      </w:pPr>
      <w:r>
        <w:rPr>
          <w:rFonts w:ascii="仿宋_GB2312" w:hAnsi="仿宋_GB2312" w:eastAsia="仿宋_GB2312"/>
          <w:sz w:val="32"/>
        </w:rPr>
        <w:t>（3）贯彻落实叶城县医疗保障筹资和待遇政策，完善动态调整和区域调剂平衡机制，统筹城乡医疗保障待遇标准，建立健全与筹资水平相适应的待遇调整机制。组织实施长期护理保险制度改革方案。</w:t>
      </w:r>
    </w:p>
    <w:p w14:paraId="21BDAE0E">
      <w:pPr>
        <w:spacing w:line="580" w:lineRule="exact"/>
        <w:ind w:firstLine="640"/>
        <w:jc w:val="both"/>
      </w:pPr>
      <w:r>
        <w:rPr>
          <w:rFonts w:ascii="仿宋_GB2312" w:hAnsi="仿宋_GB2312" w:eastAsia="仿宋_GB2312"/>
          <w:sz w:val="32"/>
        </w:rPr>
        <w:t>（4）贯彻落实国家、自治区药品、医用耗材价格和医疗服务项目、医疗服务设施收费等政策并监督实施，执行自治区制定的药品、医用耗材的招标采购政策并监督实施，建立健全医保支付医药服务价格合理确定和动态调整机制，建立市场主导的社会医药服务价格形成机制，建立医药服务价格信息监测和信息发布制度。</w:t>
      </w:r>
    </w:p>
    <w:p w14:paraId="115D4F68">
      <w:pPr>
        <w:spacing w:line="580" w:lineRule="exact"/>
        <w:ind w:firstLine="640"/>
        <w:jc w:val="both"/>
      </w:pPr>
      <w:r>
        <w:rPr>
          <w:rFonts w:ascii="仿宋_GB2312" w:hAnsi="仿宋_GB2312" w:eastAsia="仿宋_GB2312"/>
          <w:sz w:val="32"/>
        </w:rPr>
        <w:t>（5）贯彻落实国家、自治区药品、医用耗材、医疗服务项目、医疗服务设施等医保目录和支付标准，建立动态调整机制。</w:t>
      </w:r>
    </w:p>
    <w:p w14:paraId="41C27E12">
      <w:pPr>
        <w:spacing w:line="580" w:lineRule="exact"/>
        <w:ind w:firstLine="640"/>
        <w:jc w:val="both"/>
      </w:pPr>
      <w:r>
        <w:rPr>
          <w:rFonts w:ascii="仿宋_GB2312" w:hAnsi="仿宋_GB2312" w:eastAsia="仿宋_GB2312"/>
          <w:sz w:val="32"/>
        </w:rPr>
        <w:t>（6）组织实施定点医药机构协议和支付管理办法，建立健全医疗保障信用评价体系和信息披露制度，监督管理纳入医保范围内的医疗服务行为和医疗费用，依法查处医疗保障、生育保险领域违法违规行为。</w:t>
      </w:r>
    </w:p>
    <w:p w14:paraId="44223487">
      <w:pPr>
        <w:spacing w:line="580" w:lineRule="exact"/>
        <w:ind w:firstLine="640"/>
        <w:jc w:val="both"/>
      </w:pPr>
      <w:r>
        <w:rPr>
          <w:rFonts w:ascii="仿宋_GB2312" w:hAnsi="仿宋_GB2312" w:eastAsia="仿宋_GB2312"/>
          <w:sz w:val="32"/>
        </w:rPr>
        <w:t>（7）负责县医疗保障经办管理、公共服务体系和信息化建设。贯彻落实国家和自治区跨省异地就医管理和费用结算政策。组织实施叶城县异地就医和费用结算政策。建立健全医疗保障关系转移接续制度。监督指导医疗保障经办机构开展业务工作。</w:t>
      </w:r>
    </w:p>
    <w:p w14:paraId="6577BEE4">
      <w:pPr>
        <w:spacing w:line="580" w:lineRule="exact"/>
        <w:ind w:firstLine="640"/>
        <w:jc w:val="both"/>
      </w:pPr>
      <w:r>
        <w:rPr>
          <w:rFonts w:ascii="仿宋_GB2312" w:hAnsi="仿宋_GB2312" w:eastAsia="仿宋_GB2312"/>
          <w:sz w:val="32"/>
        </w:rPr>
        <w:t>（8）完成县委、县政府交办的其他任务。</w:t>
      </w:r>
    </w:p>
    <w:p w14:paraId="4D5DD836">
      <w:pPr>
        <w:spacing w:line="640" w:lineRule="exact"/>
        <w:ind w:firstLine="640"/>
        <w:jc w:val="both"/>
        <w:outlineLvl w:val="2"/>
      </w:pPr>
      <w:r>
        <w:rPr>
          <w:rFonts w:ascii="黑体" w:hAnsi="黑体" w:eastAsia="黑体"/>
          <w:sz w:val="32"/>
        </w:rPr>
        <w:t>二、机构设置及人员情况</w:t>
      </w:r>
    </w:p>
    <w:p w14:paraId="461C1594">
      <w:pPr>
        <w:spacing w:line="580" w:lineRule="exact"/>
        <w:ind w:firstLine="640"/>
        <w:jc w:val="both"/>
      </w:pPr>
      <w:r>
        <w:rPr>
          <w:rFonts w:ascii="仿宋_GB2312" w:hAnsi="仿宋_GB2312" w:eastAsia="仿宋_GB2312"/>
          <w:sz w:val="32"/>
        </w:rPr>
        <w:t>叶城县医疗保障局2024年度，实有人数17人，其中：在职人员15人，增加1人；离休人员0人，增加0人；退休人员2人,增加0人。</w:t>
      </w:r>
    </w:p>
    <w:p w14:paraId="2EC0C53B">
      <w:pPr>
        <w:spacing w:line="580" w:lineRule="exact"/>
        <w:ind w:firstLine="640"/>
        <w:jc w:val="both"/>
      </w:pPr>
      <w:r>
        <w:rPr>
          <w:rFonts w:ascii="仿宋_GB2312" w:hAnsi="仿宋_GB2312" w:eastAsia="仿宋_GB2312"/>
          <w:sz w:val="32"/>
        </w:rPr>
        <w:t>叶城县医疗保障局无下属预算单位，下设6个科室，分别是：财务室、行政办公室、信息股、基金监管股、招采股、待遇经办股。</w:t>
      </w:r>
    </w:p>
    <w:p w14:paraId="369311E0">
      <w:r>
        <w:br w:type="page"/>
      </w:r>
    </w:p>
    <w:p w14:paraId="037BD13E">
      <w:pPr>
        <w:spacing w:line="240" w:lineRule="auto"/>
        <w:jc w:val="center"/>
        <w:outlineLvl w:val="1"/>
      </w:pPr>
      <w:r>
        <w:rPr>
          <w:rFonts w:ascii="黑体" w:hAnsi="黑体" w:eastAsia="黑体"/>
          <w:sz w:val="32"/>
        </w:rPr>
        <w:t>第二部分 部门决算情况说明</w:t>
      </w:r>
    </w:p>
    <w:p w14:paraId="5340C383">
      <w:pPr>
        <w:spacing w:line="640" w:lineRule="exact"/>
        <w:ind w:firstLine="640"/>
        <w:jc w:val="both"/>
        <w:outlineLvl w:val="2"/>
      </w:pPr>
      <w:r>
        <w:rPr>
          <w:rFonts w:ascii="黑体" w:hAnsi="黑体" w:eastAsia="黑体"/>
          <w:sz w:val="32"/>
        </w:rPr>
        <w:t>一、收入支出决算总体情况说明</w:t>
      </w:r>
    </w:p>
    <w:p w14:paraId="41A439C4">
      <w:pPr>
        <w:spacing w:line="580" w:lineRule="exact"/>
        <w:ind w:firstLine="640"/>
        <w:jc w:val="both"/>
      </w:pPr>
      <w:r>
        <w:rPr>
          <w:rFonts w:ascii="仿宋_GB2312" w:hAnsi="仿宋_GB2312" w:eastAsia="仿宋_GB2312"/>
          <w:b/>
          <w:sz w:val="32"/>
        </w:rPr>
        <w:t>2024年度收入总计337.19万元，</w:t>
      </w:r>
      <w:r>
        <w:rPr>
          <w:rFonts w:ascii="仿宋_GB2312" w:hAnsi="仿宋_GB2312" w:eastAsia="仿宋_GB2312"/>
          <w:b w:val="0"/>
          <w:sz w:val="32"/>
        </w:rPr>
        <w:t>其中：本年收入合计337.19万元，使用非财政拨款结余（含专用结余）0.00万元，年初结转和结余0.00万元。</w:t>
      </w:r>
    </w:p>
    <w:p w14:paraId="2C513264">
      <w:pPr>
        <w:spacing w:line="580" w:lineRule="exact"/>
        <w:ind w:firstLine="640"/>
        <w:jc w:val="both"/>
      </w:pPr>
      <w:r>
        <w:rPr>
          <w:rFonts w:ascii="仿宋_GB2312" w:hAnsi="仿宋_GB2312" w:eastAsia="仿宋_GB2312"/>
          <w:b/>
          <w:sz w:val="32"/>
        </w:rPr>
        <w:t>2024年度支出总计337.19万元，</w:t>
      </w:r>
      <w:r>
        <w:rPr>
          <w:rFonts w:ascii="仿宋_GB2312" w:hAnsi="仿宋_GB2312" w:eastAsia="仿宋_GB2312"/>
          <w:b w:val="0"/>
          <w:sz w:val="32"/>
        </w:rPr>
        <w:t>其中：本年支出合计337.19万元，结余分配0.00万元，年末结转和结余0.00万元。</w:t>
      </w:r>
    </w:p>
    <w:p w14:paraId="0E881A2E">
      <w:pPr>
        <w:spacing w:line="580" w:lineRule="exact"/>
        <w:ind w:firstLine="640"/>
        <w:jc w:val="both"/>
      </w:pPr>
      <w:r>
        <w:rPr>
          <w:rFonts w:ascii="仿宋_GB2312" w:hAnsi="仿宋_GB2312" w:eastAsia="仿宋_GB2312"/>
          <w:b w:val="0"/>
          <w:sz w:val="32"/>
        </w:rPr>
        <w:t>收入支出总体与上年相比，减少37.17万元，下降9.93%，主要原因是：本年人员调入调出，调出人员工资基数较高，调入人员工资基数较低，总体相关人员经费较上年减少；本年减少中央财政医疗服务与保障能力提升补助资金项目经费，减少退休人员职业年金。</w:t>
      </w:r>
    </w:p>
    <w:p w14:paraId="55942B7B">
      <w:pPr>
        <w:spacing w:line="640" w:lineRule="exact"/>
        <w:ind w:firstLine="640"/>
        <w:jc w:val="both"/>
        <w:outlineLvl w:val="2"/>
      </w:pPr>
      <w:r>
        <w:rPr>
          <w:rFonts w:ascii="黑体" w:hAnsi="黑体" w:eastAsia="黑体"/>
          <w:sz w:val="32"/>
        </w:rPr>
        <w:t>二、收入决算情况说明</w:t>
      </w:r>
    </w:p>
    <w:p w14:paraId="4003F049">
      <w:pPr>
        <w:spacing w:line="580" w:lineRule="exact"/>
        <w:ind w:firstLine="640"/>
        <w:jc w:val="both"/>
      </w:pPr>
      <w:r>
        <w:rPr>
          <w:rFonts w:ascii="仿宋_GB2312" w:hAnsi="仿宋_GB2312" w:eastAsia="仿宋_GB2312"/>
          <w:b/>
          <w:sz w:val="32"/>
        </w:rPr>
        <w:t>本年收入337.19万元，</w:t>
      </w:r>
      <w:r>
        <w:rPr>
          <w:rFonts w:ascii="仿宋_GB2312" w:hAnsi="仿宋_GB2312" w:eastAsia="仿宋_GB2312"/>
          <w:b w:val="0"/>
          <w:sz w:val="32"/>
        </w:rPr>
        <w:t>其中：财政拨款收入337.19万元，占100.00%；上级补助收入0.00万元，占0.00%；事业收入0.00万元，占0.00%；经营收入0.00万元，占0.00%；附属单位上缴收入0.00万元，占0.00%；其他收入0.00万元，占0.00%。</w:t>
      </w:r>
    </w:p>
    <w:p w14:paraId="08FFDC23">
      <w:pPr>
        <w:spacing w:line="640" w:lineRule="exact"/>
        <w:ind w:firstLine="640"/>
        <w:jc w:val="both"/>
        <w:outlineLvl w:val="2"/>
      </w:pPr>
      <w:r>
        <w:rPr>
          <w:rFonts w:ascii="黑体" w:hAnsi="黑体" w:eastAsia="黑体"/>
          <w:sz w:val="32"/>
        </w:rPr>
        <w:t>三、支出决算情况说明</w:t>
      </w:r>
    </w:p>
    <w:p w14:paraId="5F3F34CB">
      <w:pPr>
        <w:spacing w:line="580" w:lineRule="exact"/>
        <w:ind w:firstLine="640"/>
        <w:jc w:val="both"/>
      </w:pPr>
      <w:r>
        <w:rPr>
          <w:rFonts w:ascii="仿宋_GB2312" w:hAnsi="仿宋_GB2312" w:eastAsia="仿宋_GB2312"/>
          <w:b/>
          <w:sz w:val="32"/>
        </w:rPr>
        <w:t>本年支出337.19万元，</w:t>
      </w:r>
      <w:r>
        <w:rPr>
          <w:rFonts w:ascii="仿宋_GB2312" w:hAnsi="仿宋_GB2312" w:eastAsia="仿宋_GB2312"/>
          <w:b w:val="0"/>
          <w:sz w:val="32"/>
        </w:rPr>
        <w:t>其中：基本支出327.87万元，占97.24%；项目支出9.32万元，占2.76%；上缴上级支出0.00万元，占0.00%；经营支出0.00万元，占0.00%；对附属单位补助支出0.00万元，占0.00%。</w:t>
      </w:r>
    </w:p>
    <w:p w14:paraId="6C009813">
      <w:pPr>
        <w:spacing w:line="640" w:lineRule="exact"/>
        <w:ind w:firstLine="640"/>
        <w:jc w:val="both"/>
        <w:outlineLvl w:val="2"/>
      </w:pPr>
      <w:r>
        <w:rPr>
          <w:rFonts w:ascii="黑体" w:hAnsi="黑体" w:eastAsia="黑体"/>
          <w:sz w:val="32"/>
        </w:rPr>
        <w:t>四、财政拨款收入支出决算总体情况说明</w:t>
      </w:r>
    </w:p>
    <w:p w14:paraId="593B2567">
      <w:pPr>
        <w:spacing w:line="580" w:lineRule="exact"/>
        <w:ind w:firstLine="640"/>
        <w:jc w:val="both"/>
      </w:pPr>
      <w:r>
        <w:rPr>
          <w:rFonts w:ascii="仿宋_GB2312" w:hAnsi="仿宋_GB2312" w:eastAsia="仿宋_GB2312"/>
          <w:b/>
          <w:sz w:val="32"/>
        </w:rPr>
        <w:t>2024年度财政拨款收入总计337.19万元，</w:t>
      </w:r>
      <w:r>
        <w:rPr>
          <w:rFonts w:ascii="仿宋_GB2312" w:hAnsi="仿宋_GB2312" w:eastAsia="仿宋_GB2312"/>
          <w:b w:val="0"/>
          <w:sz w:val="32"/>
        </w:rPr>
        <w:t>其中：年初财政拨款结转和结余0.00万元，本年财政拨款收入337.19万元。</w:t>
      </w:r>
      <w:r>
        <w:rPr>
          <w:rFonts w:ascii="仿宋_GB2312" w:hAnsi="仿宋_GB2312" w:eastAsia="仿宋_GB2312"/>
          <w:b/>
          <w:sz w:val="32"/>
        </w:rPr>
        <w:t>财政拨款支出总计337.19万元，</w:t>
      </w:r>
      <w:r>
        <w:rPr>
          <w:rFonts w:ascii="仿宋_GB2312" w:hAnsi="仿宋_GB2312" w:eastAsia="仿宋_GB2312"/>
          <w:b w:val="0"/>
          <w:sz w:val="32"/>
        </w:rPr>
        <w:t>其中：年末财政拨款结转和结余0.00万元，本年财政拨款支出337.19万元。</w:t>
      </w:r>
    </w:p>
    <w:p w14:paraId="577928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37.17万元，下降9.93%，主要原因是：本年人员调入调出，调出人员工资基数较高，调入人员工资基数较低，总体相关人员经费较上年减少；本年减少中央财政医疗服务与保障能力提升补助资金项目经费，减少退休人员职业年金。</w:t>
      </w:r>
      <w:r>
        <w:rPr>
          <w:rFonts w:ascii="仿宋_GB2312" w:hAnsi="仿宋_GB2312" w:eastAsia="仿宋_GB2312"/>
          <w:b/>
          <w:sz w:val="32"/>
        </w:rPr>
        <w:t>与年初预算相比，</w:t>
      </w:r>
      <w:r>
        <w:rPr>
          <w:rFonts w:ascii="仿宋_GB2312" w:hAnsi="仿宋_GB2312" w:eastAsia="仿宋_GB2312"/>
          <w:b w:val="0"/>
          <w:sz w:val="32"/>
        </w:rPr>
        <w:t>年初预算数383.35万元，决算数337.19万元，预决算差异率-12.04%，主要原因是：本年在职人员调整频繁，调出人员工资基数较高，年中调减相应经费。</w:t>
      </w:r>
    </w:p>
    <w:p w14:paraId="508C2D38">
      <w:pPr>
        <w:spacing w:line="640" w:lineRule="exact"/>
        <w:ind w:firstLine="640"/>
        <w:jc w:val="both"/>
        <w:outlineLvl w:val="2"/>
      </w:pPr>
      <w:r>
        <w:rPr>
          <w:rFonts w:ascii="黑体" w:hAnsi="黑体" w:eastAsia="黑体"/>
          <w:sz w:val="32"/>
        </w:rPr>
        <w:t>五、一般公共预算财政拨款支出决算情况说明</w:t>
      </w:r>
    </w:p>
    <w:p w14:paraId="407C50C9">
      <w:pPr>
        <w:spacing w:line="640" w:lineRule="exact"/>
        <w:ind w:firstLine="640"/>
        <w:jc w:val="both"/>
        <w:outlineLvl w:val="3"/>
      </w:pPr>
      <w:r>
        <w:rPr>
          <w:rFonts w:ascii="楷体_GB2312" w:hAnsi="楷体_GB2312" w:eastAsia="楷体_GB2312"/>
          <w:b/>
          <w:sz w:val="32"/>
        </w:rPr>
        <w:t>（一）一般公共预算财政拨款支出决算总体情况</w:t>
      </w:r>
    </w:p>
    <w:p w14:paraId="3EAA2142">
      <w:pPr>
        <w:spacing w:line="580" w:lineRule="exact"/>
        <w:ind w:firstLine="640"/>
        <w:jc w:val="both"/>
      </w:pPr>
      <w:r>
        <w:rPr>
          <w:rFonts w:ascii="仿宋_GB2312" w:hAnsi="仿宋_GB2312" w:eastAsia="仿宋_GB2312"/>
          <w:b/>
          <w:sz w:val="32"/>
        </w:rPr>
        <w:t>2024年度一般公共预算财政拨款支出337.19万元，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37.17万元，下降9.93%，主要原因是：本年人员调入调出，调出人员工资基数较高，调入人员工资基数较低，总体相关人员经费较上年减少；本年减少中央财政医疗服务与保障能力提升补助资金项目经费，减少退休人员职业年金。</w:t>
      </w:r>
      <w:r>
        <w:rPr>
          <w:rFonts w:ascii="仿宋_GB2312" w:hAnsi="仿宋_GB2312" w:eastAsia="仿宋_GB2312"/>
          <w:b/>
          <w:sz w:val="32"/>
        </w:rPr>
        <w:t>与年初预算相比,</w:t>
      </w:r>
      <w:r>
        <w:rPr>
          <w:rFonts w:ascii="仿宋_GB2312" w:hAnsi="仿宋_GB2312" w:eastAsia="仿宋_GB2312"/>
          <w:b w:val="0"/>
          <w:sz w:val="32"/>
        </w:rPr>
        <w:t>年初预算数383.35万元，决算数337.19万元，预决算差异率-12.04%，主要原因是：本年在职人员调整频繁，调出人员工资基数较高，年中调减相应经费。</w:t>
      </w:r>
    </w:p>
    <w:p w14:paraId="3897C902">
      <w:pPr>
        <w:spacing w:line="640" w:lineRule="exact"/>
        <w:ind w:firstLine="640"/>
        <w:jc w:val="both"/>
        <w:outlineLvl w:val="3"/>
      </w:pPr>
      <w:r>
        <w:rPr>
          <w:rFonts w:ascii="楷体_GB2312" w:hAnsi="楷体_GB2312" w:eastAsia="楷体_GB2312"/>
          <w:b/>
          <w:sz w:val="32"/>
        </w:rPr>
        <w:t>（二）一般公共预算财政拨款支出决算结构情况</w:t>
      </w:r>
    </w:p>
    <w:p w14:paraId="304DF157">
      <w:pPr>
        <w:spacing w:line="580" w:lineRule="exact"/>
        <w:ind w:firstLine="640"/>
        <w:jc w:val="both"/>
      </w:pPr>
      <w:r>
        <w:rPr>
          <w:rFonts w:ascii="仿宋_GB2312" w:hAnsi="仿宋_GB2312" w:eastAsia="仿宋_GB2312"/>
          <w:b w:val="0"/>
          <w:sz w:val="32"/>
        </w:rPr>
        <w:t>1.社会保障和就业支出(类)36.32万元,占10.77%。</w:t>
      </w:r>
    </w:p>
    <w:p w14:paraId="617B36F9">
      <w:pPr>
        <w:spacing w:line="580" w:lineRule="exact"/>
        <w:ind w:firstLine="640"/>
        <w:jc w:val="both"/>
      </w:pPr>
      <w:r>
        <w:rPr>
          <w:rFonts w:ascii="仿宋_GB2312" w:hAnsi="仿宋_GB2312" w:eastAsia="仿宋_GB2312"/>
          <w:b w:val="0"/>
          <w:sz w:val="32"/>
        </w:rPr>
        <w:t>2.卫生健康支出(类)271.99万元,占80.66%。</w:t>
      </w:r>
    </w:p>
    <w:p w14:paraId="3488D1A9">
      <w:pPr>
        <w:spacing w:line="580" w:lineRule="exact"/>
        <w:ind w:firstLine="640"/>
        <w:jc w:val="both"/>
      </w:pPr>
      <w:r>
        <w:rPr>
          <w:rFonts w:ascii="仿宋_GB2312" w:hAnsi="仿宋_GB2312" w:eastAsia="仿宋_GB2312"/>
          <w:b w:val="0"/>
          <w:sz w:val="32"/>
        </w:rPr>
        <w:t>3.住房保障支出(类)28.88万元,占8.56%。</w:t>
      </w:r>
    </w:p>
    <w:p w14:paraId="7026F188">
      <w:pPr>
        <w:spacing w:line="640" w:lineRule="exact"/>
        <w:ind w:firstLine="640"/>
        <w:jc w:val="both"/>
        <w:outlineLvl w:val="3"/>
      </w:pPr>
      <w:r>
        <w:rPr>
          <w:rFonts w:ascii="楷体_GB2312" w:hAnsi="楷体_GB2312" w:eastAsia="楷体_GB2312"/>
          <w:b/>
          <w:sz w:val="32"/>
        </w:rPr>
        <w:t>（三）一般公共预算财政拨款支出决算具体情况</w:t>
      </w:r>
    </w:p>
    <w:p w14:paraId="70F95EE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1.社会保障和就业支出(类)行政事业单位养老支出(款)行政单位离退休(项):支出决算数为1.84万元，比上年决算增加1.35万元，增长275.51%,主要原因是：本年度发放</w:t>
      </w:r>
      <w:r>
        <w:rPr>
          <w:rFonts w:hint="eastAsia" w:ascii="仿宋_GB2312" w:hAnsi="仿宋_GB2312" w:eastAsia="仿宋_GB2312"/>
          <w:b w:val="0"/>
          <w:sz w:val="32"/>
          <w:lang w:eastAsia="zh-CN"/>
        </w:rPr>
        <w:t>本单位</w:t>
      </w:r>
      <w:r>
        <w:rPr>
          <w:rFonts w:ascii="仿宋_GB2312" w:hAnsi="仿宋_GB2312" w:eastAsia="仿宋_GB2312"/>
          <w:b w:val="0"/>
          <w:sz w:val="32"/>
        </w:rPr>
        <w:t>2名行政退休干部补贴，行政单位离退休费用增加。</w:t>
      </w:r>
    </w:p>
    <w:p w14:paraId="7E0E6B8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34.48万元，比上年决算增加9.10万元，增长35.86%,主要原因是：本年在职人员工资基数调增，养老缴费基数上涨，相应支出增加。</w:t>
      </w:r>
    </w:p>
    <w:p w14:paraId="5463A10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18.92万元，下降100.00%,主要原因是：上年度退休2人，一次性补缴单位应缴职业年金，本年度无一次性补缴单位应缴职业年金。</w:t>
      </w:r>
    </w:p>
    <w:p w14:paraId="0ED56136">
      <w:pPr>
        <w:spacing w:line="580" w:lineRule="exact"/>
        <w:ind w:firstLine="640"/>
        <w:jc w:val="both"/>
      </w:pPr>
      <w:r>
        <w:rPr>
          <w:rFonts w:ascii="仿宋_GB2312" w:hAnsi="仿宋_GB2312" w:eastAsia="仿宋_GB2312"/>
          <w:b w:val="0"/>
          <w:sz w:val="32"/>
        </w:rPr>
        <w:t>4.卫生健康支出(类)行政事业单位医疗(款)行政单位医疗(项):支出决算数为14.65万元，比上年决算增加3.63万元，增长32.94%,主要原因是：本年在职人员工资基数调增，医疗缴费基数上涨，相应支出增加。</w:t>
      </w:r>
    </w:p>
    <w:p w14:paraId="66D08CE7">
      <w:pPr>
        <w:spacing w:line="580" w:lineRule="exact"/>
        <w:ind w:firstLine="640"/>
        <w:jc w:val="both"/>
      </w:pPr>
      <w:r>
        <w:rPr>
          <w:rFonts w:ascii="仿宋_GB2312" w:hAnsi="仿宋_GB2312" w:eastAsia="仿宋_GB2312"/>
          <w:b w:val="0"/>
          <w:sz w:val="32"/>
        </w:rPr>
        <w:t>5.卫生健康支出(类)行政事业单位医疗(款)公务员医疗补助(项):支出决算数为0.84万元，比上年决算减少0.25万元，下降22.94%,主要原因是：本年度</w:t>
      </w:r>
      <w:r>
        <w:rPr>
          <w:rFonts w:hint="eastAsia" w:ascii="仿宋_GB2312" w:hAnsi="仿宋_GB2312" w:eastAsia="仿宋_GB2312"/>
          <w:b w:val="0"/>
          <w:sz w:val="32"/>
          <w:lang w:eastAsia="zh-CN"/>
        </w:rPr>
        <w:t>本单位</w:t>
      </w:r>
      <w:r>
        <w:rPr>
          <w:rFonts w:ascii="仿宋_GB2312" w:hAnsi="仿宋_GB2312" w:eastAsia="仿宋_GB2312"/>
          <w:b w:val="0"/>
          <w:sz w:val="32"/>
        </w:rPr>
        <w:t>调出2名行政人员，且调出人员缴费基数高，公务员医疗补助支出减少。</w:t>
      </w:r>
    </w:p>
    <w:p w14:paraId="7F8B0D54">
      <w:pPr>
        <w:spacing w:line="580" w:lineRule="exact"/>
        <w:ind w:firstLine="640"/>
        <w:jc w:val="both"/>
      </w:pPr>
      <w:r>
        <w:rPr>
          <w:rFonts w:ascii="仿宋_GB2312" w:hAnsi="仿宋_GB2312" w:eastAsia="仿宋_GB2312"/>
          <w:b w:val="0"/>
          <w:sz w:val="32"/>
        </w:rPr>
        <w:t>6.卫生健康支出(类)医疗保障管理事务(款)行政运行(项):支出决算数为247.18万元，比上年决算减少31.42万元，下降11.28%,主要原因是：本年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人员调入调出，调出人员缴费基数较高，调入人员工资基数较低，总体相关人员经费较上年减少。</w:t>
      </w:r>
    </w:p>
    <w:p w14:paraId="4134CE89">
      <w:pPr>
        <w:spacing w:line="580" w:lineRule="exact"/>
        <w:ind w:firstLine="640"/>
        <w:jc w:val="both"/>
      </w:pPr>
      <w:r>
        <w:rPr>
          <w:rFonts w:ascii="仿宋_GB2312" w:hAnsi="仿宋_GB2312" w:eastAsia="仿宋_GB2312"/>
          <w:b w:val="0"/>
          <w:sz w:val="32"/>
        </w:rPr>
        <w:t>7.卫生健康支出(类)医疗保障管理事务(款)信息化建设(项):支出决算数为0.00万元，比上年决算减少10.00万元，下降100.00%,主要原因是：本年度</w:t>
      </w:r>
      <w:r>
        <w:rPr>
          <w:rFonts w:hint="eastAsia" w:ascii="仿宋_GB2312" w:hAnsi="仿宋_GB2312" w:eastAsia="仿宋_GB2312"/>
          <w:b w:val="0"/>
          <w:sz w:val="32"/>
          <w:lang w:eastAsia="zh-CN"/>
        </w:rPr>
        <w:t>本单位</w:t>
      </w:r>
      <w:r>
        <w:rPr>
          <w:rFonts w:ascii="仿宋_GB2312" w:hAnsi="仿宋_GB2312" w:eastAsia="仿宋_GB2312"/>
          <w:b w:val="0"/>
          <w:sz w:val="32"/>
        </w:rPr>
        <w:t>减少中央财政医疗服务与保障能力提升项目经费。</w:t>
      </w:r>
    </w:p>
    <w:p w14:paraId="1E7025FF">
      <w:pPr>
        <w:spacing w:line="580" w:lineRule="exact"/>
        <w:ind w:firstLine="640"/>
        <w:jc w:val="both"/>
      </w:pPr>
      <w:r>
        <w:rPr>
          <w:rFonts w:ascii="仿宋_GB2312" w:hAnsi="仿宋_GB2312" w:eastAsia="仿宋_GB2312"/>
          <w:b w:val="0"/>
          <w:sz w:val="32"/>
        </w:rPr>
        <w:t>8.卫生健康支出(类)医疗保障管理事务(款)医疗保障经办事务(项):支出决算数为0.00万元，比上年决算减少9.85万元，下降100.00%,主要原因是：本年减少上年结余全民参保经费。</w:t>
      </w:r>
    </w:p>
    <w:p w14:paraId="62D4FEB4">
      <w:pPr>
        <w:spacing w:line="580" w:lineRule="exact"/>
        <w:ind w:firstLine="640"/>
        <w:jc w:val="both"/>
      </w:pPr>
      <w:r>
        <w:rPr>
          <w:rFonts w:ascii="仿宋_GB2312" w:hAnsi="仿宋_GB2312" w:eastAsia="仿宋_GB2312"/>
          <w:b w:val="0"/>
          <w:sz w:val="32"/>
        </w:rPr>
        <w:t>9.卫生健康支出(类)医疗保障管理事务(款)其他医疗保障管理事务支出(项):支出决算数为9.32万元，比上年决算增加9.32万元，增长100.00%,主要原因是：本年新增全民参保项目经费。</w:t>
      </w:r>
    </w:p>
    <w:p w14:paraId="15FD6903">
      <w:pPr>
        <w:spacing w:line="580" w:lineRule="exact"/>
        <w:ind w:firstLine="640"/>
        <w:jc w:val="both"/>
      </w:pPr>
      <w:r>
        <w:rPr>
          <w:rFonts w:ascii="仿宋_GB2312" w:hAnsi="仿宋_GB2312" w:eastAsia="仿宋_GB2312"/>
          <w:b w:val="0"/>
          <w:sz w:val="32"/>
        </w:rPr>
        <w:t>10.住房保障支出(类)住房改革支出(款)住房公积金(项):支出决算数为28.88万元，比上年决算增加9.86万元，增长51.84%,主要原因是：本年在职人员工资基数调增，公积金缴费基数上涨，相应支出增加。</w:t>
      </w:r>
    </w:p>
    <w:p w14:paraId="586442D7">
      <w:pPr>
        <w:spacing w:line="640" w:lineRule="exact"/>
        <w:ind w:firstLine="640"/>
        <w:jc w:val="both"/>
        <w:outlineLvl w:val="2"/>
      </w:pPr>
      <w:r>
        <w:rPr>
          <w:rFonts w:ascii="黑体" w:hAnsi="黑体" w:eastAsia="黑体"/>
          <w:sz w:val="32"/>
        </w:rPr>
        <w:t>六、一般公共预算财政拨款基本支出决算情况说明</w:t>
      </w:r>
    </w:p>
    <w:p w14:paraId="45C56963">
      <w:pPr>
        <w:spacing w:line="580" w:lineRule="exact"/>
        <w:ind w:firstLine="640"/>
        <w:jc w:val="both"/>
      </w:pPr>
      <w:r>
        <w:rPr>
          <w:rFonts w:ascii="仿宋_GB2312" w:hAnsi="仿宋_GB2312" w:eastAsia="仿宋_GB2312"/>
          <w:b w:val="0"/>
          <w:sz w:val="32"/>
        </w:rPr>
        <w:t>2024年度一般公共预算财政拨款基本支出327.87万元，其中：</w:t>
      </w:r>
      <w:r>
        <w:rPr>
          <w:rFonts w:ascii="仿宋_GB2312" w:hAnsi="仿宋_GB2312" w:eastAsia="仿宋_GB2312"/>
          <w:b/>
          <w:sz w:val="32"/>
        </w:rPr>
        <w:t>人员经费322.66万元，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5D21BDBC">
      <w:pPr>
        <w:spacing w:line="580" w:lineRule="exact"/>
        <w:ind w:firstLine="640"/>
        <w:jc w:val="both"/>
      </w:pPr>
      <w:r>
        <w:rPr>
          <w:rFonts w:ascii="仿宋_GB2312" w:hAnsi="仿宋_GB2312" w:eastAsia="仿宋_GB2312"/>
          <w:b/>
          <w:sz w:val="32"/>
        </w:rPr>
        <w:t>公用经费5.21万元，</w:t>
      </w:r>
      <w:r>
        <w:rPr>
          <w:rFonts w:ascii="仿宋_GB2312" w:hAnsi="仿宋_GB2312" w:eastAsia="仿宋_GB2312"/>
          <w:b w:val="0"/>
          <w:sz w:val="32"/>
        </w:rPr>
        <w:t>包括：办公费、印刷费、水费、邮电费、差旅费、劳务费、委托业务费、其他交通费用。</w:t>
      </w:r>
    </w:p>
    <w:p w14:paraId="242F74B5">
      <w:pPr>
        <w:spacing w:line="640" w:lineRule="exact"/>
        <w:ind w:firstLine="640"/>
        <w:jc w:val="both"/>
        <w:outlineLvl w:val="2"/>
      </w:pPr>
      <w:r>
        <w:rPr>
          <w:rFonts w:ascii="黑体" w:hAnsi="黑体" w:eastAsia="黑体"/>
          <w:sz w:val="32"/>
        </w:rPr>
        <w:t>七、政府性基金预算财政拨款收入支出决算情况说明</w:t>
      </w:r>
    </w:p>
    <w:p w14:paraId="0DDC56B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78BBC6">
      <w:pPr>
        <w:spacing w:line="640" w:lineRule="exact"/>
        <w:ind w:firstLine="640"/>
        <w:jc w:val="both"/>
        <w:outlineLvl w:val="2"/>
      </w:pPr>
      <w:r>
        <w:rPr>
          <w:rFonts w:ascii="黑体" w:hAnsi="黑体" w:eastAsia="黑体"/>
          <w:sz w:val="32"/>
        </w:rPr>
        <w:t>八、国有资本经营预算财政拨款收入支出决算情况说明</w:t>
      </w:r>
    </w:p>
    <w:p w14:paraId="26281F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17BCCA">
      <w:pPr>
        <w:spacing w:line="640" w:lineRule="exact"/>
        <w:ind w:firstLine="640"/>
        <w:jc w:val="both"/>
        <w:outlineLvl w:val="2"/>
      </w:pPr>
      <w:r>
        <w:rPr>
          <w:rFonts w:ascii="黑体" w:hAnsi="黑体" w:eastAsia="黑体"/>
          <w:sz w:val="32"/>
        </w:rPr>
        <w:t>九、财政拨款“三公”经费支出决算情况说明</w:t>
      </w:r>
    </w:p>
    <w:p w14:paraId="2531458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CE6C701">
      <w:pPr>
        <w:spacing w:line="580" w:lineRule="exact"/>
        <w:ind w:firstLine="640"/>
        <w:jc w:val="both"/>
      </w:pPr>
      <w:r>
        <w:rPr>
          <w:rFonts w:ascii="仿宋_GB2312" w:hAnsi="仿宋_GB2312" w:eastAsia="仿宋_GB2312"/>
          <w:b/>
          <w:sz w:val="32"/>
        </w:rPr>
        <w:t>具体情况如下：</w:t>
      </w:r>
    </w:p>
    <w:p w14:paraId="660FADE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B6A8A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2024年度8月份调拨给</w:t>
      </w:r>
      <w:r>
        <w:rPr>
          <w:rFonts w:hint="eastAsia" w:ascii="仿宋_GB2312" w:hAnsi="仿宋_GB2312" w:eastAsia="仿宋_GB2312"/>
          <w:b w:val="0"/>
          <w:sz w:val="32"/>
          <w:lang w:eastAsia="zh-CN"/>
        </w:rPr>
        <w:t>本单位</w:t>
      </w:r>
      <w:r>
        <w:rPr>
          <w:rFonts w:ascii="仿宋_GB2312" w:hAnsi="仿宋_GB2312" w:eastAsia="仿宋_GB2312"/>
          <w:b w:val="0"/>
          <w:sz w:val="32"/>
        </w:rPr>
        <w:t>1辆业务用车，未安排公务用车运行维护费预算。</w:t>
      </w:r>
    </w:p>
    <w:p w14:paraId="6237A70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3BC2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7B745F6">
      <w:pPr>
        <w:spacing w:line="640" w:lineRule="exact"/>
        <w:ind w:firstLine="640"/>
        <w:jc w:val="both"/>
        <w:outlineLvl w:val="2"/>
      </w:pPr>
      <w:r>
        <w:rPr>
          <w:rFonts w:ascii="黑体" w:hAnsi="黑体" w:eastAsia="黑体"/>
          <w:sz w:val="32"/>
        </w:rPr>
        <w:t>十、其他重要事项的情况说明</w:t>
      </w:r>
    </w:p>
    <w:p w14:paraId="6CEE758D">
      <w:pPr>
        <w:spacing w:line="640" w:lineRule="exact"/>
        <w:ind w:firstLine="640"/>
        <w:jc w:val="both"/>
        <w:outlineLvl w:val="3"/>
      </w:pPr>
      <w:r>
        <w:rPr>
          <w:rFonts w:ascii="楷体_GB2312" w:hAnsi="楷体_GB2312" w:eastAsia="楷体_GB2312"/>
          <w:b/>
          <w:sz w:val="32"/>
        </w:rPr>
        <w:t>（一）机关运行经费及公用经费支出情况</w:t>
      </w:r>
    </w:p>
    <w:p w14:paraId="3A0FEBB0">
      <w:pPr>
        <w:spacing w:line="580" w:lineRule="exact"/>
        <w:ind w:firstLine="640"/>
        <w:jc w:val="both"/>
      </w:pPr>
      <w:r>
        <w:rPr>
          <w:rFonts w:ascii="仿宋_GB2312" w:hAnsi="仿宋_GB2312" w:eastAsia="仿宋_GB2312"/>
          <w:b w:val="0"/>
          <w:sz w:val="32"/>
        </w:rPr>
        <w:t>2024年度叶城县医疗保障局（行政单位和参照公务员法管理事业单位）机关运行经费支出5.21万元，比上年增加2.26万元，增长76.61%，主要原因是：本年度业务量增加，办公等经费增加。</w:t>
      </w:r>
    </w:p>
    <w:p w14:paraId="760D05A1">
      <w:pPr>
        <w:spacing w:line="640" w:lineRule="exact"/>
        <w:ind w:firstLine="640"/>
        <w:jc w:val="both"/>
        <w:outlineLvl w:val="3"/>
      </w:pPr>
      <w:r>
        <w:rPr>
          <w:rFonts w:ascii="楷体_GB2312" w:hAnsi="楷体_GB2312" w:eastAsia="楷体_GB2312"/>
          <w:b/>
          <w:sz w:val="32"/>
        </w:rPr>
        <w:t>（二）政府采购情况</w:t>
      </w:r>
    </w:p>
    <w:p w14:paraId="4E057466">
      <w:pPr>
        <w:spacing w:line="580" w:lineRule="exact"/>
        <w:ind w:firstLine="640"/>
        <w:jc w:val="both"/>
      </w:pPr>
      <w:r>
        <w:rPr>
          <w:rFonts w:ascii="仿宋_GB2312" w:hAnsi="仿宋_GB2312" w:eastAsia="仿宋_GB2312"/>
          <w:b w:val="0"/>
          <w:sz w:val="32"/>
        </w:rPr>
        <w:t>2024年度政府采购支出总额13.13万元，其中：政府采购货物支出9.71万元、政府采购工程支出0.00万元、政府采购服务支出3.42万元。</w:t>
      </w:r>
    </w:p>
    <w:p w14:paraId="21D0E183">
      <w:pPr>
        <w:spacing w:line="580" w:lineRule="exact"/>
        <w:ind w:firstLine="640"/>
        <w:jc w:val="both"/>
      </w:pPr>
      <w:r>
        <w:rPr>
          <w:rFonts w:ascii="仿宋_GB2312" w:hAnsi="仿宋_GB2312" w:eastAsia="仿宋_GB2312"/>
          <w:b w:val="0"/>
          <w:sz w:val="32"/>
        </w:rPr>
        <w:t>授予中小企业合同金额12.46万元，占政府采购支出总额的94.90%，其中：授予小微企业合同金额12.46万元，占政府采购支出总额的94.90%。</w:t>
      </w:r>
    </w:p>
    <w:p w14:paraId="7550714F">
      <w:pPr>
        <w:spacing w:line="640" w:lineRule="exact"/>
        <w:ind w:firstLine="640"/>
        <w:jc w:val="both"/>
        <w:outlineLvl w:val="3"/>
      </w:pPr>
      <w:r>
        <w:rPr>
          <w:rFonts w:ascii="楷体_GB2312" w:hAnsi="楷体_GB2312" w:eastAsia="楷体_GB2312"/>
          <w:b/>
          <w:sz w:val="32"/>
        </w:rPr>
        <w:t>（三）国有资产占用情况说明</w:t>
      </w:r>
    </w:p>
    <w:p w14:paraId="22C549DD">
      <w:pPr>
        <w:spacing w:line="580" w:lineRule="exact"/>
        <w:ind w:firstLine="640"/>
        <w:jc w:val="both"/>
      </w:pPr>
      <w:r>
        <w:rPr>
          <w:rFonts w:ascii="仿宋_GB2312" w:hAnsi="仿宋_GB2312" w:eastAsia="仿宋_GB2312"/>
          <w:b w:val="0"/>
          <w:sz w:val="32"/>
        </w:rPr>
        <w:t>截至2024年12月31日，房屋0.00平方米，价值0.00万元。车辆1辆，价值19.35万元，其中：副部（省）级及以上领导用车0辆、主要负责人用车0辆、机要通信用车0辆、应急保障用车0辆、执法执勤用车0辆、特种专业技术用车0辆、离退休干部服务用车0辆、其他用车1辆，其他用车主要是：1辆业务车。单价100万元（含）以上设备（不含车辆）0台（套）。</w:t>
      </w:r>
    </w:p>
    <w:p w14:paraId="204470D3">
      <w:pPr>
        <w:spacing w:line="640" w:lineRule="exact"/>
        <w:ind w:firstLine="640"/>
        <w:jc w:val="both"/>
        <w:outlineLvl w:val="2"/>
      </w:pPr>
      <w:r>
        <w:rPr>
          <w:rFonts w:ascii="黑体" w:hAnsi="黑体" w:eastAsia="黑体"/>
          <w:sz w:val="32"/>
        </w:rPr>
        <w:t>十一、预算绩效的情况说明</w:t>
      </w:r>
    </w:p>
    <w:p w14:paraId="5AB55C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337.18万元，实际执行总额337.18万元；预算绩效评价项目2个，全年预算数19.32万元，全年执行数19.27万元。预算绩效管理取得的成效：一是组织公立医疗机构药采负责人系统操作培训，有效提高我县公立医疗机构药采负责人的职业技能；二是开展医疗保障基金安全宣传，有效提高我县群众医疗保险政策知晓情况。发现的问题及原因：医保资金支出压力逐年加大，随着老龄化以及慢性病人逐年增加，住院费用明显增加，基本医疗保险统筹基金支出逐年递增，医保费用支出也较去年明显增大，医保资金支付存在较大压力，政策宣传仍然存在死角，部分群众不知道、不了解政策，导致群众不能及时享受应有待遇保障。下一步改进措施：一是建立可持续的医保基金筹资机制，认真执行筹资相关政策，积极完成上级下达的筹资目标任务；二是深化改革试点，不断完善医保总额预算复合管理模式，强化总额预算管理约束作用，积极推动按病组、病种分值付费等多元复合支付改革衔接融合，建立家庭医生签约服务费标准调整机制，完善评价指标体系，加强签约服务质量管理。具体附整体支出绩效自评表，项目支出绩效自评表和评价报告。</w:t>
      </w:r>
    </w:p>
    <w:p w14:paraId="547098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24A85E">
        <w:tblPrEx>
          <w:tblCellMar>
            <w:top w:w="0" w:type="dxa"/>
            <w:left w:w="108" w:type="dxa"/>
            <w:bottom w:w="0" w:type="dxa"/>
            <w:right w:w="108" w:type="dxa"/>
          </w:tblCellMar>
        </w:tblPrEx>
        <w:tc>
          <w:tcPr>
            <w:tcW w:w="8847" w:type="dxa"/>
            <w:gridSpan w:val="9"/>
            <w:vAlign w:val="center"/>
          </w:tcPr>
          <w:p w14:paraId="68D80976">
            <w:pPr>
              <w:jc w:val="center"/>
            </w:pPr>
            <w:r>
              <w:rPr>
                <w:rFonts w:ascii="宋体" w:hAnsi="宋体" w:eastAsia="宋体"/>
                <w:sz w:val="24"/>
              </w:rPr>
              <w:t>单位整体支出绩效自评表</w:t>
            </w:r>
          </w:p>
        </w:tc>
      </w:tr>
      <w:tr w14:paraId="37930AE1">
        <w:tblPrEx>
          <w:tblCellMar>
            <w:top w:w="0" w:type="dxa"/>
            <w:left w:w="108" w:type="dxa"/>
            <w:bottom w:w="0" w:type="dxa"/>
            <w:right w:w="108" w:type="dxa"/>
          </w:tblCellMar>
        </w:tblPrEx>
        <w:tc>
          <w:tcPr>
            <w:tcW w:w="8847" w:type="dxa"/>
            <w:gridSpan w:val="9"/>
            <w:vAlign w:val="center"/>
          </w:tcPr>
          <w:p w14:paraId="7663815D">
            <w:pPr>
              <w:jc w:val="center"/>
            </w:pPr>
            <w:r>
              <w:rPr>
                <w:rFonts w:ascii="宋体" w:hAnsi="宋体" w:eastAsia="宋体"/>
                <w:sz w:val="24"/>
              </w:rPr>
              <w:t>（2024年度）</w:t>
            </w:r>
          </w:p>
        </w:tc>
      </w:tr>
      <w:tr w14:paraId="5B8166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F43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43ABB6">
            <w:pPr>
              <w:jc w:val="center"/>
            </w:pPr>
            <w:r>
              <w:rPr>
                <w:rFonts w:ascii="宋体" w:hAnsi="宋体" w:eastAsia="宋体"/>
                <w:sz w:val="16"/>
              </w:rPr>
              <w:t>叶城县医疗保障局</w:t>
            </w:r>
          </w:p>
        </w:tc>
      </w:tr>
      <w:tr w14:paraId="0EDB5F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0F05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84F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397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7CD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19D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E82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5EFC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2782">
            <w:pPr>
              <w:jc w:val="center"/>
            </w:pPr>
            <w:r>
              <w:rPr>
                <w:rFonts w:ascii="宋体" w:hAnsi="宋体" w:eastAsia="宋体"/>
                <w:sz w:val="16"/>
              </w:rPr>
              <w:t>得分</w:t>
            </w:r>
          </w:p>
        </w:tc>
      </w:tr>
      <w:tr w14:paraId="4DE78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609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A5F8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E6691">
            <w:pPr>
              <w:jc w:val="center"/>
            </w:pPr>
            <w:r>
              <w:rPr>
                <w:rFonts w:ascii="宋体" w:hAnsi="宋体" w:eastAsia="宋体"/>
                <w:sz w:val="16"/>
              </w:rPr>
              <w:t>383.35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283B">
            <w:pPr>
              <w:jc w:val="center"/>
            </w:pPr>
            <w:r>
              <w:rPr>
                <w:rFonts w:ascii="宋体" w:hAnsi="宋体" w:eastAsia="宋体"/>
                <w:sz w:val="16"/>
              </w:rPr>
              <w:t>337.18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3CA3">
            <w:pPr>
              <w:jc w:val="center"/>
            </w:pPr>
            <w:r>
              <w:rPr>
                <w:rFonts w:ascii="宋体" w:hAnsi="宋体" w:eastAsia="宋体"/>
                <w:sz w:val="16"/>
              </w:rPr>
              <w:t>337.18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BE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BBE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AF2D">
            <w:pPr>
              <w:jc w:val="center"/>
            </w:pPr>
            <w:r>
              <w:rPr>
                <w:rFonts w:ascii="宋体" w:hAnsi="宋体" w:eastAsia="宋体"/>
                <w:sz w:val="16"/>
              </w:rPr>
              <w:t>10</w:t>
            </w:r>
          </w:p>
        </w:tc>
      </w:tr>
      <w:tr w14:paraId="47A2C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399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35E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3E0F">
            <w:pPr>
              <w:jc w:val="center"/>
            </w:pPr>
            <w:r>
              <w:rPr>
                <w:rFonts w:ascii="宋体" w:hAnsi="宋体" w:eastAsia="宋体"/>
                <w:sz w:val="16"/>
              </w:rPr>
              <w:t>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C0CF">
            <w:pPr>
              <w:jc w:val="center"/>
            </w:pPr>
            <w:r>
              <w:rPr>
                <w:rFonts w:ascii="宋体" w:hAnsi="宋体" w:eastAsia="宋体"/>
                <w:sz w:val="16"/>
              </w:rPr>
              <w:t>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5CD0">
            <w:pPr>
              <w:jc w:val="center"/>
            </w:pPr>
            <w:r>
              <w:rPr>
                <w:rFonts w:ascii="宋体" w:hAnsi="宋体" w:eastAsia="宋体"/>
                <w:sz w:val="16"/>
              </w:rPr>
              <w:t>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EB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EC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08013">
            <w:pPr>
              <w:jc w:val="center"/>
            </w:pPr>
            <w:r>
              <w:rPr>
                <w:rFonts w:ascii="宋体" w:hAnsi="宋体" w:eastAsia="宋体"/>
                <w:sz w:val="16"/>
              </w:rPr>
              <w:t>—</w:t>
            </w:r>
          </w:p>
        </w:tc>
      </w:tr>
      <w:tr w14:paraId="220D3A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7CD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CCB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43D97">
            <w:pPr>
              <w:jc w:val="center"/>
            </w:pPr>
            <w:r>
              <w:rPr>
                <w:rFonts w:ascii="宋体" w:hAnsi="宋体" w:eastAsia="宋体"/>
                <w:sz w:val="16"/>
              </w:rPr>
              <w:t>374.03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3007">
            <w:pPr>
              <w:jc w:val="center"/>
            </w:pPr>
            <w:r>
              <w:rPr>
                <w:rFonts w:ascii="宋体" w:hAnsi="宋体" w:eastAsia="宋体"/>
                <w:sz w:val="16"/>
              </w:rPr>
              <w:t>327.86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CFF6">
            <w:pPr>
              <w:jc w:val="center"/>
            </w:pPr>
            <w:r>
              <w:rPr>
                <w:rFonts w:ascii="宋体" w:hAnsi="宋体" w:eastAsia="宋体"/>
                <w:sz w:val="16"/>
              </w:rPr>
              <w:t>327.86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AB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A24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5F4AD">
            <w:pPr>
              <w:jc w:val="center"/>
            </w:pPr>
            <w:r>
              <w:rPr>
                <w:rFonts w:ascii="宋体" w:hAnsi="宋体" w:eastAsia="宋体"/>
                <w:sz w:val="16"/>
              </w:rPr>
              <w:t>—</w:t>
            </w:r>
          </w:p>
        </w:tc>
      </w:tr>
      <w:tr w14:paraId="7AF516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B5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5FE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C6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2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9A3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51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14D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1962">
            <w:pPr>
              <w:jc w:val="center"/>
            </w:pPr>
            <w:r>
              <w:rPr>
                <w:rFonts w:ascii="宋体" w:hAnsi="宋体" w:eastAsia="宋体"/>
                <w:sz w:val="16"/>
              </w:rPr>
              <w:t>—</w:t>
            </w:r>
          </w:p>
        </w:tc>
      </w:tr>
      <w:tr w14:paraId="3067FD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5AF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0B6EE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0ACB5">
            <w:pPr>
              <w:jc w:val="center"/>
            </w:pPr>
            <w:r>
              <w:rPr>
                <w:rFonts w:ascii="宋体" w:hAnsi="宋体" w:eastAsia="宋体"/>
                <w:sz w:val="16"/>
              </w:rPr>
              <w:t>实际完成情况</w:t>
            </w:r>
          </w:p>
        </w:tc>
      </w:tr>
      <w:tr w14:paraId="1C812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C6A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7D8448">
            <w:pPr>
              <w:jc w:val="both"/>
            </w:pPr>
            <w:r>
              <w:rPr>
                <w:rFonts w:ascii="宋体" w:hAnsi="宋体" w:eastAsia="宋体"/>
                <w:sz w:val="16"/>
              </w:rPr>
              <w:t>全面实施全民参保计划，扎实开展</w:t>
            </w:r>
            <w:r>
              <w:rPr>
                <w:rFonts w:hint="eastAsia" w:ascii="宋体" w:hAnsi="宋体"/>
                <w:sz w:val="16"/>
                <w:lang w:eastAsia="zh-CN"/>
              </w:rPr>
              <w:t>医保</w:t>
            </w:r>
            <w:r>
              <w:rPr>
                <w:rFonts w:ascii="宋体" w:hAnsi="宋体" w:eastAsia="宋体"/>
                <w:sz w:val="16"/>
              </w:rPr>
              <w:t>民生工程，加强医保基金安全宣传培训；深入开展医药领域</w:t>
            </w:r>
            <w:r>
              <w:rPr>
                <w:rFonts w:hint="eastAsia" w:ascii="宋体" w:hAnsi="宋体"/>
                <w:sz w:val="16"/>
                <w:lang w:eastAsia="zh-CN"/>
              </w:rPr>
              <w:t>腐败问题专项整治</w:t>
            </w:r>
            <w:r>
              <w:rPr>
                <w:rFonts w:ascii="宋体" w:hAnsi="宋体" w:eastAsia="宋体"/>
                <w:sz w:val="16"/>
              </w:rPr>
              <w:t>工作；</w:t>
            </w:r>
            <w:r>
              <w:rPr>
                <w:rFonts w:hint="eastAsia" w:ascii="宋体" w:hAnsi="宋体"/>
                <w:sz w:val="16"/>
                <w:lang w:eastAsia="zh-CN"/>
              </w:rPr>
              <w:t>集中带量采购</w:t>
            </w:r>
            <w:r>
              <w:rPr>
                <w:rFonts w:ascii="宋体" w:hAnsi="宋体" w:eastAsia="宋体"/>
                <w:sz w:val="16"/>
              </w:rPr>
              <w:t>，着力推动</w:t>
            </w:r>
            <w:r>
              <w:rPr>
                <w:rFonts w:hint="eastAsia" w:ascii="宋体" w:hAnsi="宋体"/>
                <w:sz w:val="16"/>
                <w:lang w:eastAsia="zh-CN"/>
              </w:rPr>
              <w:t>医保支付方式改革</w:t>
            </w:r>
            <w:r>
              <w:rPr>
                <w:rFonts w:ascii="宋体" w:hAnsi="宋体" w:eastAsia="宋体"/>
                <w:sz w:val="16"/>
              </w:rPr>
              <w:t>，推进医保电子凭证应用；进一步提高医疗保障系统工作人员政策掌握水平和经办业务能力。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8F642">
            <w:pPr>
              <w:jc w:val="both"/>
            </w:pPr>
            <w:r>
              <w:rPr>
                <w:rFonts w:ascii="宋体" w:hAnsi="宋体" w:eastAsia="宋体"/>
                <w:sz w:val="16"/>
              </w:rPr>
              <w:t>本单位2024年扎实推进全民参保工作。截至目前，2024年全县</w:t>
            </w:r>
            <w:r>
              <w:rPr>
                <w:rFonts w:hint="eastAsia" w:ascii="宋体" w:hAnsi="宋体"/>
                <w:sz w:val="16"/>
                <w:lang w:eastAsia="zh-CN"/>
              </w:rPr>
              <w:t>城乡居民基本医疗保险</w:t>
            </w:r>
            <w:r>
              <w:rPr>
                <w:rFonts w:ascii="宋体" w:hAnsi="宋体" w:eastAsia="宋体"/>
                <w:sz w:val="16"/>
              </w:rPr>
              <w:t>参保人数55.31万人。二是持续做好医保基金收支。截至目前，医保基金收入42110.65万元支出50906.99万元。三是全面落实医保待遇。全面实施全民参保计划，扎实开展</w:t>
            </w:r>
            <w:r>
              <w:rPr>
                <w:rFonts w:hint="eastAsia" w:ascii="宋体" w:hAnsi="宋体"/>
                <w:sz w:val="16"/>
                <w:lang w:eastAsia="zh-CN"/>
              </w:rPr>
              <w:t>医保</w:t>
            </w:r>
            <w:r>
              <w:rPr>
                <w:rFonts w:ascii="宋体" w:hAnsi="宋体" w:eastAsia="宋体"/>
                <w:sz w:val="16"/>
              </w:rPr>
              <w:t>民生工程，加强医保基金安全宣传培训；深入开展医药领域</w:t>
            </w:r>
            <w:r>
              <w:rPr>
                <w:rFonts w:hint="eastAsia" w:ascii="宋体" w:hAnsi="宋体"/>
                <w:sz w:val="16"/>
                <w:lang w:eastAsia="zh-CN"/>
              </w:rPr>
              <w:t>腐败问题专项整治</w:t>
            </w:r>
            <w:r>
              <w:rPr>
                <w:rFonts w:ascii="宋体" w:hAnsi="宋体" w:eastAsia="宋体"/>
                <w:sz w:val="16"/>
              </w:rPr>
              <w:t>工作；</w:t>
            </w:r>
            <w:r>
              <w:rPr>
                <w:rFonts w:hint="eastAsia" w:ascii="宋体" w:hAnsi="宋体"/>
                <w:sz w:val="16"/>
                <w:lang w:eastAsia="zh-CN"/>
              </w:rPr>
              <w:t>集中带量采购</w:t>
            </w:r>
            <w:r>
              <w:rPr>
                <w:rFonts w:ascii="宋体" w:hAnsi="宋体" w:eastAsia="宋体"/>
                <w:sz w:val="16"/>
              </w:rPr>
              <w:t>，着力推动</w:t>
            </w:r>
            <w:r>
              <w:rPr>
                <w:rFonts w:hint="eastAsia" w:ascii="宋体" w:hAnsi="宋体"/>
                <w:sz w:val="16"/>
                <w:lang w:eastAsia="zh-CN"/>
              </w:rPr>
              <w:t>医保支付方式改革</w:t>
            </w:r>
            <w:r>
              <w:rPr>
                <w:rFonts w:ascii="宋体" w:hAnsi="宋体" w:eastAsia="宋体"/>
                <w:sz w:val="16"/>
              </w:rPr>
              <w:t>，医保信息化建设稳步推进；扩大集采覆盖范围，监督医药机构合法合规履职;进一步提高医疗保障系统工作人员政策掌握水平和经办业务能力。</w:t>
            </w:r>
          </w:p>
        </w:tc>
      </w:tr>
      <w:tr w14:paraId="0784EB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CB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FB7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EE6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A95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85A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D31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E63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A75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73849">
            <w:pPr>
              <w:jc w:val="center"/>
            </w:pPr>
            <w:r>
              <w:rPr>
                <w:rFonts w:ascii="宋体" w:hAnsi="宋体" w:eastAsia="宋体"/>
                <w:sz w:val="16"/>
              </w:rPr>
              <w:t>得分</w:t>
            </w:r>
          </w:p>
        </w:tc>
      </w:tr>
      <w:tr w14:paraId="335F5D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94FB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2954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337A">
            <w:pPr>
              <w:jc w:val="center"/>
            </w:pPr>
            <w:r>
              <w:rPr>
                <w:rFonts w:ascii="宋体" w:hAnsi="宋体" w:eastAsia="宋体"/>
                <w:sz w:val="16"/>
              </w:rPr>
              <w:t>我县基本医疗保险参保人数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0A007">
            <w:pPr>
              <w:jc w:val="center"/>
            </w:pPr>
            <w:r>
              <w:rPr>
                <w:rFonts w:ascii="宋体" w:hAnsi="宋体" w:eastAsia="宋体"/>
                <w:sz w:val="16"/>
              </w:rPr>
              <w:t>&gt;=55.31万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373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AC12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CC447">
            <w:pPr>
              <w:jc w:val="center"/>
            </w:pPr>
            <w:r>
              <w:rPr>
                <w:rFonts w:ascii="宋体" w:hAnsi="宋体" w:eastAsia="宋体"/>
                <w:sz w:val="16"/>
              </w:rPr>
              <w:t>55.31万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B17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D71E">
            <w:pPr>
              <w:jc w:val="center"/>
            </w:pPr>
            <w:r>
              <w:rPr>
                <w:rFonts w:ascii="宋体" w:hAnsi="宋体" w:eastAsia="宋体"/>
                <w:sz w:val="16"/>
              </w:rPr>
              <w:t>18</w:t>
            </w:r>
          </w:p>
        </w:tc>
      </w:tr>
      <w:tr w14:paraId="706B39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B80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C31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14978">
            <w:pPr>
              <w:jc w:val="center"/>
            </w:pPr>
            <w:r>
              <w:rPr>
                <w:rFonts w:ascii="宋体" w:hAnsi="宋体" w:eastAsia="宋体"/>
                <w:sz w:val="16"/>
              </w:rPr>
              <w:t>组织公立医疗机构药采负责人系统操作培训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41DAA">
            <w:pPr>
              <w:jc w:val="center"/>
            </w:pPr>
            <w:r>
              <w:rPr>
                <w:rFonts w:ascii="宋体" w:hAnsi="宋体" w:eastAsia="宋体"/>
                <w:sz w:val="16"/>
              </w:rPr>
              <w:t>&gt;=7次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E28B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A62E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2828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2B53">
            <w:pPr>
              <w:jc w:val="center"/>
            </w:pPr>
            <w:r>
              <w:rPr>
                <w:rFonts w:ascii="宋体" w:hAnsi="宋体" w:eastAsia="宋体"/>
                <w:sz w:val="16"/>
              </w:rPr>
              <w:t>57.14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5B6D">
            <w:pPr>
              <w:jc w:val="center"/>
            </w:pPr>
            <w:r>
              <w:rPr>
                <w:rFonts w:ascii="宋体" w:hAnsi="宋体" w:eastAsia="宋体"/>
                <w:sz w:val="16"/>
              </w:rPr>
              <w:t>10.29</w:t>
            </w:r>
          </w:p>
        </w:tc>
      </w:tr>
      <w:tr w14:paraId="06E2D6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1F7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854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8DB60">
            <w:pPr>
              <w:jc w:val="center"/>
            </w:pPr>
            <w:r>
              <w:rPr>
                <w:rFonts w:ascii="宋体" w:hAnsi="宋体" w:eastAsia="宋体"/>
                <w:sz w:val="16"/>
              </w:rPr>
              <w:t>医疗保障基金安全宣传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D28EC">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F5E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BBFB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16890">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D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588A4">
            <w:pPr>
              <w:jc w:val="center"/>
            </w:pPr>
            <w:r>
              <w:rPr>
                <w:rFonts w:ascii="宋体" w:hAnsi="宋体" w:eastAsia="宋体"/>
                <w:sz w:val="16"/>
              </w:rPr>
              <w:t>18</w:t>
            </w:r>
          </w:p>
        </w:tc>
      </w:tr>
      <w:tr w14:paraId="375FFF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C5B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30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63F65">
            <w:pPr>
              <w:jc w:val="center"/>
            </w:pPr>
            <w:r>
              <w:rPr>
                <w:rFonts w:ascii="宋体" w:hAnsi="宋体" w:eastAsia="宋体"/>
                <w:sz w:val="16"/>
              </w:rPr>
              <w:t>医保经办人员培训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6520">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98B0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A39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8672C">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73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BD59">
            <w:pPr>
              <w:jc w:val="center"/>
            </w:pPr>
            <w:r>
              <w:rPr>
                <w:rFonts w:ascii="宋体" w:hAnsi="宋体" w:eastAsia="宋体"/>
                <w:sz w:val="16"/>
              </w:rPr>
              <w:t>18</w:t>
            </w:r>
          </w:p>
        </w:tc>
      </w:tr>
      <w:tr w14:paraId="44AD66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58D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C21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4233">
            <w:pPr>
              <w:jc w:val="center"/>
            </w:pPr>
            <w:r>
              <w:rPr>
                <w:rFonts w:ascii="宋体" w:hAnsi="宋体" w:eastAsia="宋体"/>
                <w:sz w:val="16"/>
              </w:rPr>
              <w:t>通过医疗救助资金救助低收入人员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91A5">
            <w:pPr>
              <w:jc w:val="center"/>
            </w:pPr>
            <w:r>
              <w:rPr>
                <w:rFonts w:ascii="宋体" w:hAnsi="宋体" w:eastAsia="宋体"/>
                <w:sz w:val="16"/>
              </w:rPr>
              <w:t>&gt;=540人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608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44A2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30A7">
            <w:pPr>
              <w:jc w:val="center"/>
            </w:pPr>
            <w:r>
              <w:rPr>
                <w:rFonts w:ascii="宋体" w:hAnsi="宋体" w:eastAsia="宋体"/>
                <w:sz w:val="16"/>
              </w:rPr>
              <w:t>540人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F5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9C5CA">
            <w:pPr>
              <w:jc w:val="center"/>
            </w:pPr>
            <w:r>
              <w:rPr>
                <w:rFonts w:ascii="宋体" w:hAnsi="宋体" w:eastAsia="宋体"/>
                <w:sz w:val="16"/>
              </w:rPr>
              <w:t>18</w:t>
            </w:r>
          </w:p>
        </w:tc>
      </w:tr>
    </w:tbl>
    <w:p w14:paraId="524B9E5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2096A98F">
        <w:tblPrEx>
          <w:tblCellMar>
            <w:top w:w="0" w:type="dxa"/>
            <w:left w:w="108" w:type="dxa"/>
            <w:bottom w:w="0" w:type="dxa"/>
            <w:right w:w="108" w:type="dxa"/>
          </w:tblCellMar>
        </w:tblPrEx>
        <w:tc>
          <w:tcPr>
            <w:tcW w:w="8848" w:type="dxa"/>
            <w:gridSpan w:val="14"/>
            <w:vAlign w:val="center"/>
          </w:tcPr>
          <w:p w14:paraId="0F3F5988">
            <w:pPr>
              <w:jc w:val="center"/>
            </w:pPr>
            <w:r>
              <w:rPr>
                <w:rFonts w:ascii="宋体" w:hAnsi="宋体" w:eastAsia="宋体"/>
                <w:sz w:val="24"/>
              </w:rPr>
              <w:t>项目支出绩效自评表</w:t>
            </w:r>
          </w:p>
        </w:tc>
      </w:tr>
      <w:tr w14:paraId="2B8A9FF8">
        <w:tblPrEx>
          <w:tblCellMar>
            <w:top w:w="0" w:type="dxa"/>
            <w:left w:w="108" w:type="dxa"/>
            <w:bottom w:w="0" w:type="dxa"/>
            <w:right w:w="108" w:type="dxa"/>
          </w:tblCellMar>
        </w:tblPrEx>
        <w:tc>
          <w:tcPr>
            <w:tcW w:w="8848" w:type="dxa"/>
            <w:gridSpan w:val="14"/>
            <w:vAlign w:val="center"/>
          </w:tcPr>
          <w:p w14:paraId="235BD138">
            <w:pPr>
              <w:jc w:val="center"/>
            </w:pPr>
            <w:r>
              <w:rPr>
                <w:rFonts w:ascii="宋体" w:hAnsi="宋体" w:eastAsia="宋体"/>
                <w:sz w:val="24"/>
              </w:rPr>
              <w:t>(2024年度)</w:t>
            </w:r>
          </w:p>
        </w:tc>
      </w:tr>
      <w:tr w14:paraId="07BD4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7C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D1518D">
            <w:pPr>
              <w:jc w:val="center"/>
            </w:pPr>
            <w:r>
              <w:rPr>
                <w:rFonts w:ascii="宋体" w:hAnsi="宋体" w:eastAsia="宋体"/>
                <w:sz w:val="16"/>
              </w:rPr>
              <w:t>2024年医保工作经费项目</w:t>
            </w:r>
          </w:p>
        </w:tc>
      </w:tr>
      <w:tr w14:paraId="0A1E95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69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5F8BE">
            <w:pPr>
              <w:jc w:val="center"/>
            </w:pPr>
            <w:r>
              <w:rPr>
                <w:rFonts w:ascii="宋体" w:hAnsi="宋体" w:eastAsia="宋体"/>
                <w:sz w:val="16"/>
              </w:rPr>
              <w:t>喀什地区医疗保障局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B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F4EF0">
            <w:pPr>
              <w:jc w:val="center"/>
            </w:pPr>
            <w:r>
              <w:rPr>
                <w:rFonts w:ascii="宋体" w:hAnsi="宋体" w:eastAsia="宋体"/>
                <w:sz w:val="16"/>
              </w:rPr>
              <w:t>叶城县医疗保障局</w:t>
            </w:r>
          </w:p>
        </w:tc>
      </w:tr>
      <w:tr w14:paraId="36A89B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DEC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AF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B09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89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B5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CB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4F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108F">
            <w:pPr>
              <w:jc w:val="center"/>
            </w:pPr>
            <w:r>
              <w:rPr>
                <w:rFonts w:ascii="宋体" w:hAnsi="宋体" w:eastAsia="宋体"/>
                <w:sz w:val="16"/>
              </w:rPr>
              <w:t>得分</w:t>
            </w:r>
          </w:p>
        </w:tc>
      </w:tr>
      <w:tr w14:paraId="24B74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91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B06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CC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014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0EE7">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D2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54BC">
            <w:pPr>
              <w:jc w:val="center"/>
            </w:pPr>
            <w:r>
              <w:rPr>
                <w:rFonts w:ascii="宋体" w:hAnsi="宋体" w:eastAsia="宋体"/>
                <w:sz w:val="16"/>
              </w:rPr>
              <w:t>99.50%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F05F">
            <w:pPr>
              <w:jc w:val="center"/>
            </w:pPr>
            <w:r>
              <w:rPr>
                <w:rFonts w:ascii="宋体" w:hAnsi="宋体" w:eastAsia="宋体"/>
                <w:sz w:val="16"/>
              </w:rPr>
              <w:t>9.88分</w:t>
            </w:r>
          </w:p>
        </w:tc>
      </w:tr>
      <w:tr w14:paraId="022CC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0A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C5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AF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EAC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2DAA1">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920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00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A3B3">
            <w:pPr>
              <w:jc w:val="center"/>
            </w:pPr>
            <w:r>
              <w:rPr>
                <w:rFonts w:ascii="宋体" w:hAnsi="宋体" w:eastAsia="宋体"/>
                <w:sz w:val="16"/>
              </w:rPr>
              <w:t>—</w:t>
            </w:r>
          </w:p>
        </w:tc>
      </w:tr>
      <w:tr w14:paraId="1495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A4A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F20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E2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5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86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B5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2A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7247">
            <w:pPr>
              <w:jc w:val="center"/>
            </w:pPr>
            <w:r>
              <w:rPr>
                <w:rFonts w:ascii="宋体" w:hAnsi="宋体" w:eastAsia="宋体"/>
                <w:sz w:val="16"/>
              </w:rPr>
              <w:t>—</w:t>
            </w:r>
          </w:p>
        </w:tc>
      </w:tr>
      <w:tr w14:paraId="3C5E09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9AE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7C2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E6FFE">
            <w:pPr>
              <w:jc w:val="center"/>
            </w:pPr>
            <w:r>
              <w:rPr>
                <w:rFonts w:ascii="宋体" w:hAnsi="宋体" w:eastAsia="宋体"/>
                <w:sz w:val="16"/>
              </w:rPr>
              <w:t>实际完成情况</w:t>
            </w:r>
          </w:p>
        </w:tc>
      </w:tr>
      <w:tr w14:paraId="1A6FA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D3D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1190F">
            <w:pPr>
              <w:jc w:val="both"/>
            </w:pPr>
            <w:r>
              <w:rPr>
                <w:rFonts w:ascii="宋体" w:hAnsi="宋体" w:eastAsia="宋体"/>
                <w:sz w:val="16"/>
              </w:rPr>
              <w:t>该项目预算资金10万元，资金主要用于支付3名</w:t>
            </w:r>
            <w:r>
              <w:rPr>
                <w:rFonts w:hint="eastAsia" w:ascii="宋体" w:hAnsi="宋体"/>
                <w:sz w:val="16"/>
                <w:lang w:eastAsia="zh-CN"/>
              </w:rPr>
              <w:t>“三支一扶”</w:t>
            </w:r>
            <w:r>
              <w:rPr>
                <w:rFonts w:ascii="宋体" w:hAnsi="宋体" w:eastAsia="宋体"/>
                <w:sz w:val="16"/>
              </w:rPr>
              <w:t>人员8-12月生活补助费 8500 元，差旅费5000元，办公设备购置费22360元（会议室空调14400元、会议室音响设备3760元、黑白打印机1800元、扫描仪2400元），办公耗材和办公用品费5800元，车辆保险费3000元，车辆维修费7000元，车辆用油费2000元，政务服务中心水电暖气费12179.48 元，2024 年元宵节花灯制作费 10000 元，暖气维修费13707.46元，剩余10453.06元用计划以支付年底报刊费及其他费用支出，项目的实施有效保障工作人员办公</w:t>
            </w:r>
            <w:r>
              <w:rPr>
                <w:rFonts w:ascii="宋体" w:hAnsi="宋体" w:eastAsia="宋体"/>
                <w:sz w:val="16"/>
              </w:rPr>
              <w:br w:type="textWrapping"/>
            </w:r>
            <w:r>
              <w:rPr>
                <w:rFonts w:ascii="宋体" w:hAnsi="宋体" w:eastAsia="宋体"/>
                <w:sz w:val="16"/>
              </w:rPr>
              <w:t>环境舒适、维持单位与其他单位及小微企业的良好关系的效果。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89A623">
            <w:pPr>
              <w:jc w:val="both"/>
            </w:pPr>
            <w:r>
              <w:rPr>
                <w:rFonts w:ascii="宋体" w:hAnsi="宋体" w:eastAsia="宋体"/>
                <w:sz w:val="16"/>
              </w:rPr>
              <w:t>截至2024年12月31日，该项目实际支出9.95万元，资金执行率99.5%。主要用于支付3名</w:t>
            </w:r>
            <w:r>
              <w:rPr>
                <w:rFonts w:hint="eastAsia" w:ascii="宋体" w:hAnsi="宋体"/>
                <w:sz w:val="16"/>
                <w:lang w:eastAsia="zh-CN"/>
              </w:rPr>
              <w:t>“三支一扶”</w:t>
            </w:r>
            <w:r>
              <w:rPr>
                <w:rFonts w:ascii="宋体" w:hAnsi="宋体" w:eastAsia="宋体"/>
                <w:sz w:val="16"/>
              </w:rPr>
              <w:t>人员8-12月生活补助费 8500 元，差旅费5000元，办公设备购置费22360元（会议室空调14400元、会议室音响设备3760元、黑白打印机1800元、扫描仪2400元），办公耗材和办公用品费5800元，车辆保险费3000元，车辆维修费7000元，车辆用油费2000元，政务服务中心水电暖气费12179.48 元，2024 年元宵节花灯制作费 10000 元，暖气维修费13707.46元，剩余9953.06元用计划以支付年底报刊费及其他费用支出，项目的实施有效保障工作人员办公 环境舒适、维持单位与其他单位及小微企业的良好关系的效果。</w:t>
            </w:r>
          </w:p>
        </w:tc>
      </w:tr>
      <w:tr w14:paraId="39F392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109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30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EF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61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4F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C1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4A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AB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B7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5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BE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E4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455F">
            <w:pPr>
              <w:jc w:val="center"/>
            </w:pPr>
            <w:r>
              <w:rPr>
                <w:rFonts w:ascii="宋体" w:hAnsi="宋体" w:eastAsia="宋体"/>
                <w:sz w:val="16"/>
              </w:rPr>
              <w:t>偏差原因分析及改进措施</w:t>
            </w:r>
          </w:p>
        </w:tc>
      </w:tr>
      <w:tr w14:paraId="0B400F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E12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C3B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2CA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FD22">
            <w:pPr>
              <w:jc w:val="center"/>
            </w:pPr>
            <w:r>
              <w:rPr>
                <w:rFonts w:hint="eastAsia" w:ascii="宋体" w:hAnsi="宋体"/>
                <w:sz w:val="16"/>
                <w:lang w:eastAsia="zh-CN"/>
              </w:rPr>
              <w:t>“三支一扶”</w:t>
            </w:r>
            <w:r>
              <w:rPr>
                <w:rFonts w:ascii="宋体" w:hAnsi="宋体" w:eastAsia="宋体"/>
                <w:sz w:val="16"/>
              </w:rPr>
              <w:t>人员数量（名）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6370">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E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4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70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C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2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743F">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FE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F6B7">
            <w:pPr>
              <w:jc w:val="center"/>
            </w:pPr>
          </w:p>
        </w:tc>
      </w:tr>
      <w:tr w14:paraId="04563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B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01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7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FC79">
            <w:pPr>
              <w:jc w:val="center"/>
            </w:pPr>
            <w:r>
              <w:rPr>
                <w:rFonts w:ascii="宋体" w:hAnsi="宋体" w:eastAsia="宋体"/>
                <w:sz w:val="16"/>
              </w:rPr>
              <w:t>购买办公设备数量（批）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04F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D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21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9E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1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7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916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6D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D769">
            <w:pPr>
              <w:jc w:val="center"/>
            </w:pPr>
          </w:p>
        </w:tc>
      </w:tr>
      <w:tr w14:paraId="253C5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9D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B5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5E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3805">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3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5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4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2E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D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9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10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DD8B">
            <w:pPr>
              <w:jc w:val="center"/>
            </w:pPr>
          </w:p>
        </w:tc>
      </w:tr>
      <w:tr w14:paraId="495C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22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E4E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6DB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B53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8B5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C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30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6B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9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8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38C4">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23DF">
            <w:pPr>
              <w:jc w:val="center"/>
            </w:pPr>
            <w:r>
              <w:rPr>
                <w:rFonts w:ascii="宋体" w:hAnsi="宋体" w:eastAsia="宋体"/>
                <w:sz w:val="16"/>
              </w:rPr>
              <w:t>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7F3E7">
            <w:pPr>
              <w:jc w:val="center"/>
            </w:pPr>
            <w:r>
              <w:rPr>
                <w:rFonts w:ascii="宋体" w:hAnsi="宋体" w:eastAsia="宋体"/>
                <w:sz w:val="16"/>
              </w:rPr>
              <w:t>偏差原因：项目拨付资金手续提交较晚，剩余资金未支付；改进措施：加快资金支付进度</w:t>
            </w:r>
          </w:p>
        </w:tc>
      </w:tr>
      <w:tr w14:paraId="0D125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7B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D7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A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7E7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B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9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6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78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6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9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1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98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311F">
            <w:pPr>
              <w:jc w:val="center"/>
            </w:pPr>
          </w:p>
        </w:tc>
      </w:tr>
      <w:tr w14:paraId="2E7880F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45C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933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C63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26AA">
            <w:pPr>
              <w:jc w:val="center"/>
            </w:pPr>
            <w:r>
              <w:rPr>
                <w:rFonts w:ascii="宋体" w:hAnsi="宋体" w:eastAsia="宋体"/>
                <w:sz w:val="16"/>
              </w:rPr>
              <w:t>资金主要用于支付3名</w:t>
            </w:r>
            <w:r>
              <w:rPr>
                <w:rFonts w:hint="eastAsia" w:ascii="宋体" w:hAnsi="宋体"/>
                <w:sz w:val="16"/>
                <w:lang w:eastAsia="zh-CN"/>
              </w:rPr>
              <w:t>“三支一扶”</w:t>
            </w:r>
            <w:r>
              <w:rPr>
                <w:rFonts w:ascii="宋体" w:hAnsi="宋体" w:eastAsia="宋体"/>
                <w:sz w:val="16"/>
              </w:rPr>
              <w:t>人员8-12月生活补助费、差旅费（万元）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F31F">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8C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6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79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7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37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65DD">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2B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C76DA">
            <w:pPr>
              <w:jc w:val="center"/>
            </w:pPr>
          </w:p>
        </w:tc>
      </w:tr>
      <w:tr w14:paraId="5908B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B8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78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70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7249">
            <w:pPr>
              <w:jc w:val="center"/>
            </w:pPr>
            <w:r>
              <w:rPr>
                <w:rFonts w:ascii="宋体" w:hAnsi="宋体" w:eastAsia="宋体"/>
                <w:sz w:val="16"/>
              </w:rPr>
              <w:t>办公设备购置费用（万元）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D66A">
            <w:pPr>
              <w:jc w:val="center"/>
            </w:pPr>
            <w:r>
              <w:rPr>
                <w:rFonts w:ascii="宋体" w:hAnsi="宋体" w:eastAsia="宋体"/>
                <w:sz w:val="16"/>
              </w:rPr>
              <w:t>&lt;=2.236万元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42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B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E1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0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5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EB0F">
            <w:pPr>
              <w:jc w:val="center"/>
            </w:pPr>
            <w:r>
              <w:rPr>
                <w:rFonts w:ascii="宋体" w:hAnsi="宋体" w:eastAsia="宋体"/>
                <w:sz w:val="16"/>
              </w:rPr>
              <w:t>=2.236万元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5DA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24E5">
            <w:pPr>
              <w:jc w:val="center"/>
            </w:pPr>
          </w:p>
        </w:tc>
      </w:tr>
      <w:tr w14:paraId="62BA8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24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E6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55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1B69">
            <w:pPr>
              <w:jc w:val="center"/>
            </w:pPr>
            <w:r>
              <w:rPr>
                <w:rFonts w:ascii="宋体" w:hAnsi="宋体" w:eastAsia="宋体"/>
                <w:sz w:val="16"/>
              </w:rPr>
              <w:t>其他办公费用（万元）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1ABD">
            <w:pPr>
              <w:jc w:val="center"/>
            </w:pPr>
            <w:r>
              <w:rPr>
                <w:rFonts w:ascii="宋体" w:hAnsi="宋体" w:eastAsia="宋体"/>
                <w:sz w:val="16"/>
              </w:rPr>
              <w:t>&lt;=6.414万元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CD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5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49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8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58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B358">
            <w:pPr>
              <w:jc w:val="center"/>
            </w:pPr>
            <w:r>
              <w:rPr>
                <w:rFonts w:ascii="宋体" w:hAnsi="宋体" w:eastAsia="宋体"/>
                <w:sz w:val="16"/>
              </w:rPr>
              <w: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3F1F">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B4EA">
            <w:pPr>
              <w:jc w:val="center"/>
            </w:pPr>
            <w:r>
              <w:rPr>
                <w:rFonts w:ascii="宋体" w:hAnsi="宋体" w:eastAsia="宋体"/>
                <w:sz w:val="16"/>
              </w:rPr>
              <w:t>偏差原因：项目拨付资金手续提交较晚，剩余资金未支付；改进措施：加快资金支付进度</w:t>
            </w:r>
          </w:p>
        </w:tc>
      </w:tr>
      <w:tr w14:paraId="6D8FE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7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79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C3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1BEB">
            <w:pPr>
              <w:jc w:val="center"/>
            </w:pPr>
            <w:r>
              <w:rPr>
                <w:rFonts w:ascii="宋体" w:hAnsi="宋体" w:eastAsia="宋体"/>
                <w:sz w:val="16"/>
              </w:rPr>
              <w:t>有效保障工作人员办公环境舒适，提高办公人员工作积极性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EA9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7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9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0E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22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0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947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ED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CEB7F">
            <w:pPr>
              <w:jc w:val="center"/>
            </w:pPr>
          </w:p>
        </w:tc>
      </w:tr>
      <w:tr w14:paraId="712A2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9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94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E2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DEF">
            <w:pPr>
              <w:jc w:val="center"/>
            </w:pPr>
            <w:r>
              <w:rPr>
                <w:rFonts w:ascii="宋体" w:hAnsi="宋体" w:eastAsia="宋体"/>
                <w:sz w:val="16"/>
              </w:rPr>
              <w:t>受益办公人员满意度（%）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FD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2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19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4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72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C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58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C7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A0FA">
            <w:pPr>
              <w:jc w:val="center"/>
            </w:pPr>
          </w:p>
        </w:tc>
      </w:tr>
      <w:tr w14:paraId="28E739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A30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22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81D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CD4A">
            <w:pPr>
              <w:jc w:val="center"/>
            </w:pPr>
            <w:r>
              <w:rPr>
                <w:rFonts w:ascii="宋体" w:hAnsi="宋体" w:eastAsia="宋体"/>
                <w:sz w:val="16"/>
              </w:rPr>
              <w:t>99.71分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9DDE0D"/>
        </w:tc>
      </w:tr>
    </w:tbl>
    <w:p w14:paraId="68D598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1DBD6A4">
        <w:tblPrEx>
          <w:tblCellMar>
            <w:top w:w="0" w:type="dxa"/>
            <w:left w:w="108" w:type="dxa"/>
            <w:bottom w:w="0" w:type="dxa"/>
            <w:right w:w="108" w:type="dxa"/>
          </w:tblCellMar>
        </w:tblPrEx>
        <w:tc>
          <w:tcPr>
            <w:tcW w:w="8848" w:type="dxa"/>
            <w:gridSpan w:val="14"/>
            <w:vAlign w:val="center"/>
          </w:tcPr>
          <w:p w14:paraId="2C5D986C">
            <w:pPr>
              <w:jc w:val="center"/>
            </w:pPr>
            <w:r>
              <w:rPr>
                <w:rFonts w:ascii="宋体" w:hAnsi="宋体" w:eastAsia="宋体"/>
                <w:sz w:val="24"/>
              </w:rPr>
              <w:t>项目支出绩效自评表</w:t>
            </w:r>
          </w:p>
        </w:tc>
      </w:tr>
      <w:tr w14:paraId="03CDD8FE">
        <w:tblPrEx>
          <w:tblCellMar>
            <w:top w:w="0" w:type="dxa"/>
            <w:left w:w="108" w:type="dxa"/>
            <w:bottom w:w="0" w:type="dxa"/>
            <w:right w:w="108" w:type="dxa"/>
          </w:tblCellMar>
        </w:tblPrEx>
        <w:tc>
          <w:tcPr>
            <w:tcW w:w="8848" w:type="dxa"/>
            <w:gridSpan w:val="14"/>
            <w:vAlign w:val="center"/>
          </w:tcPr>
          <w:p w14:paraId="15EF11C0">
            <w:pPr>
              <w:jc w:val="center"/>
            </w:pPr>
            <w:r>
              <w:rPr>
                <w:rFonts w:ascii="宋体" w:hAnsi="宋体" w:eastAsia="宋体"/>
                <w:sz w:val="24"/>
              </w:rPr>
              <w:t>(2024年度)</w:t>
            </w:r>
          </w:p>
        </w:tc>
      </w:tr>
      <w:tr w14:paraId="149E7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B6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DC61E4">
            <w:pPr>
              <w:jc w:val="center"/>
            </w:pPr>
            <w:r>
              <w:rPr>
                <w:rFonts w:ascii="宋体" w:hAnsi="宋体" w:eastAsia="宋体"/>
                <w:sz w:val="16"/>
              </w:rPr>
              <w:t>2024年自治区财政全民参保及医疗服务经费补助资金项目</w:t>
            </w:r>
          </w:p>
        </w:tc>
      </w:tr>
      <w:tr w14:paraId="7B3DAD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82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A4D6E">
            <w:pPr>
              <w:jc w:val="center"/>
            </w:pPr>
            <w:r>
              <w:rPr>
                <w:rFonts w:ascii="宋体" w:hAnsi="宋体" w:eastAsia="宋体"/>
                <w:sz w:val="16"/>
              </w:rPr>
              <w:t>喀什地区医疗保障局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86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BD3AB">
            <w:pPr>
              <w:jc w:val="center"/>
            </w:pPr>
            <w:r>
              <w:rPr>
                <w:rFonts w:ascii="宋体" w:hAnsi="宋体" w:eastAsia="宋体"/>
                <w:sz w:val="16"/>
              </w:rPr>
              <w:t>叶城县医疗保障局</w:t>
            </w:r>
          </w:p>
        </w:tc>
      </w:tr>
      <w:tr w14:paraId="3CEE5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80A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68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4B8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D7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702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4E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A4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5934">
            <w:pPr>
              <w:jc w:val="center"/>
            </w:pPr>
            <w:r>
              <w:rPr>
                <w:rFonts w:ascii="宋体" w:hAnsi="宋体" w:eastAsia="宋体"/>
                <w:sz w:val="16"/>
              </w:rPr>
              <w:t>得分</w:t>
            </w:r>
          </w:p>
        </w:tc>
      </w:tr>
      <w:tr w14:paraId="5E233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37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A3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9E5F3">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C13A">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DBA0">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4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C5C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28F7">
            <w:pPr>
              <w:jc w:val="center"/>
            </w:pPr>
            <w:r>
              <w:rPr>
                <w:rFonts w:ascii="宋体" w:hAnsi="宋体" w:eastAsia="宋体"/>
                <w:sz w:val="16"/>
              </w:rPr>
              <w:t>10.00分</w:t>
            </w:r>
          </w:p>
        </w:tc>
      </w:tr>
      <w:tr w14:paraId="791BB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2D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75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2AE9">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4B6B">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6F6DA">
            <w:pPr>
              <w:jc w:val="center"/>
            </w:pPr>
            <w:r>
              <w:rPr>
                <w:rFonts w:ascii="宋体" w:hAnsi="宋体" w:eastAsia="宋体"/>
                <w:sz w:val="16"/>
              </w:rPr>
              <w:t>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79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8BB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CCFF">
            <w:pPr>
              <w:jc w:val="center"/>
            </w:pPr>
            <w:r>
              <w:rPr>
                <w:rFonts w:ascii="宋体" w:hAnsi="宋体" w:eastAsia="宋体"/>
                <w:sz w:val="16"/>
              </w:rPr>
              <w:t>—</w:t>
            </w:r>
          </w:p>
        </w:tc>
      </w:tr>
      <w:tr w14:paraId="4BB41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57A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462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947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1F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EC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06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DD0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9778">
            <w:pPr>
              <w:jc w:val="center"/>
            </w:pPr>
            <w:r>
              <w:rPr>
                <w:rFonts w:ascii="宋体" w:hAnsi="宋体" w:eastAsia="宋体"/>
                <w:sz w:val="16"/>
              </w:rPr>
              <w:t>—</w:t>
            </w:r>
          </w:p>
        </w:tc>
      </w:tr>
      <w:tr w14:paraId="4F223A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A7F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B2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9F10B">
            <w:pPr>
              <w:jc w:val="center"/>
            </w:pPr>
            <w:r>
              <w:rPr>
                <w:rFonts w:ascii="宋体" w:hAnsi="宋体" w:eastAsia="宋体"/>
                <w:sz w:val="16"/>
              </w:rPr>
              <w:t>实际完成情况</w:t>
            </w:r>
          </w:p>
        </w:tc>
      </w:tr>
      <w:tr w14:paraId="04305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A55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5A17A">
            <w:pPr>
              <w:jc w:val="both"/>
            </w:pPr>
            <w:r>
              <w:rPr>
                <w:rFonts w:ascii="宋体" w:hAnsi="宋体" w:eastAsia="宋体"/>
                <w:sz w:val="16"/>
              </w:rPr>
              <w:t>该项目共9.32万元，主要用于对医保业务档案实现全面数字化；有效提高两定医疗机构医疗保险服务质量、规范医疗服务行为、保障参保人员权益、提升基金使用效率、规范协议管理工作；提升医保经办人员工作效率、提高为民服务质量；提高群众医保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EF782">
            <w:pPr>
              <w:jc w:val="both"/>
            </w:pPr>
            <w:r>
              <w:rPr>
                <w:rFonts w:ascii="宋体" w:hAnsi="宋体" w:eastAsia="宋体"/>
                <w:sz w:val="16"/>
              </w:rPr>
              <w:t>截至2024年12月31日，该项目实际支出9.32万元，资金执行率100%。项目已完成信息化建设费用1笔、宣传引导费1笔、基本医疗保险参保率95%。用于对医保业务档案实现全面数字化；有效提高两定医疗机构医疗保险服务质量、规范医疗服务行为、保障参保人员权益、提升基金使用效率、规范协议管理工作；提升医保经办人员工作效率、提高为民服务质量；提高群众医保政策知晓率。</w:t>
            </w:r>
          </w:p>
        </w:tc>
      </w:tr>
      <w:tr w14:paraId="08503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69D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AE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CF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40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7B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20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41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1F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E1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2D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1B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31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5A7F">
            <w:pPr>
              <w:jc w:val="center"/>
            </w:pPr>
            <w:r>
              <w:rPr>
                <w:rFonts w:ascii="宋体" w:hAnsi="宋体" w:eastAsia="宋体"/>
                <w:sz w:val="16"/>
              </w:rPr>
              <w:t>偏差原因分析及改进措施</w:t>
            </w:r>
          </w:p>
        </w:tc>
      </w:tr>
      <w:tr w14:paraId="6A512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412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8D5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62D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206">
            <w:pPr>
              <w:jc w:val="center"/>
            </w:pPr>
            <w:r>
              <w:rPr>
                <w:rFonts w:ascii="宋体" w:hAnsi="宋体" w:eastAsia="宋体"/>
                <w:sz w:val="16"/>
              </w:rPr>
              <w:t>信息化建设费用（笔）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FA5F">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5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0E2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69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95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65A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3B7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49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8546F">
            <w:pPr>
              <w:jc w:val="center"/>
            </w:pPr>
          </w:p>
        </w:tc>
      </w:tr>
      <w:tr w14:paraId="6A8C2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1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0B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D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5D40">
            <w:pPr>
              <w:jc w:val="center"/>
            </w:pPr>
            <w:r>
              <w:rPr>
                <w:rFonts w:ascii="宋体" w:hAnsi="宋体" w:eastAsia="宋体"/>
                <w:sz w:val="16"/>
              </w:rPr>
              <w:t>宣传引导费（笔）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B20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8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D57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8F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32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D5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891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AF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2601">
            <w:pPr>
              <w:jc w:val="center"/>
            </w:pPr>
          </w:p>
        </w:tc>
      </w:tr>
      <w:tr w14:paraId="6CCF9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2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23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B3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3859">
            <w:pPr>
              <w:jc w:val="center"/>
            </w:pPr>
            <w:r>
              <w:rPr>
                <w:rFonts w:ascii="宋体" w:hAnsi="宋体" w:eastAsia="宋体"/>
                <w:sz w:val="16"/>
              </w:rPr>
              <w:t>基本医疗保险参保率（%）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C9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F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E6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F4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5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4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43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A0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5F774">
            <w:pPr>
              <w:jc w:val="center"/>
            </w:pPr>
          </w:p>
        </w:tc>
      </w:tr>
      <w:tr w14:paraId="3695D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6A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6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41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928C">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D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8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9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AD8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19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43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D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1BDC">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8CF1">
            <w:pPr>
              <w:jc w:val="center"/>
            </w:pPr>
          </w:p>
        </w:tc>
      </w:tr>
      <w:tr w14:paraId="374D5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D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60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518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CB4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8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6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3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68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92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D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C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BD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9817">
            <w:pPr>
              <w:jc w:val="center"/>
            </w:pPr>
          </w:p>
        </w:tc>
      </w:tr>
      <w:tr w14:paraId="33B6E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3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2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8D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09C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0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A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DB5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14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41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5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1A2A">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BA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312E">
            <w:pPr>
              <w:jc w:val="center"/>
            </w:pPr>
          </w:p>
        </w:tc>
      </w:tr>
      <w:tr w14:paraId="26D0C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F73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3D6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67A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DEC6">
            <w:pPr>
              <w:jc w:val="center"/>
            </w:pPr>
            <w:r>
              <w:rPr>
                <w:rFonts w:ascii="宋体" w:hAnsi="宋体" w:eastAsia="宋体"/>
                <w:sz w:val="16"/>
              </w:rPr>
              <w:t>信息化建设费用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159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D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150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E6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6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2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3DB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BB0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9E3E">
            <w:pPr>
              <w:jc w:val="center"/>
            </w:pPr>
          </w:p>
        </w:tc>
      </w:tr>
      <w:tr w14:paraId="4D93E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5A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C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6F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2EFC">
            <w:pPr>
              <w:jc w:val="center"/>
            </w:pPr>
            <w:r>
              <w:rPr>
                <w:rFonts w:ascii="宋体" w:hAnsi="宋体" w:eastAsia="宋体"/>
                <w:sz w:val="16"/>
              </w:rPr>
              <w:t>宣传引导费用（万元）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778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D3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873D">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8B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1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D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563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C81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5575">
            <w:pPr>
              <w:jc w:val="center"/>
            </w:pPr>
          </w:p>
        </w:tc>
      </w:tr>
      <w:tr w14:paraId="17AEF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1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AF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3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C0DD">
            <w:pPr>
              <w:jc w:val="center"/>
            </w:pPr>
            <w:r>
              <w:rPr>
                <w:rFonts w:ascii="宋体" w:hAnsi="宋体" w:eastAsia="宋体"/>
                <w:sz w:val="16"/>
              </w:rPr>
              <w:t>人才培养费用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DC39">
            <w:pPr>
              <w:jc w:val="center"/>
            </w:pPr>
            <w:r>
              <w:rPr>
                <w:rFonts w:ascii="宋体" w:hAnsi="宋体" w:eastAsia="宋体"/>
                <w:sz w:val="16"/>
              </w:rPr>
              <w:t>&lt;=2.32万元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0E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466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4B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E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67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9EEF">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1D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CA5A">
            <w:pPr>
              <w:jc w:val="center"/>
            </w:pPr>
          </w:p>
        </w:tc>
      </w:tr>
      <w:tr w14:paraId="2F69F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C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D5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F7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C277">
            <w:pPr>
              <w:jc w:val="center"/>
            </w:pPr>
            <w:r>
              <w:rPr>
                <w:rFonts w:ascii="宋体" w:hAnsi="宋体" w:eastAsia="宋体"/>
                <w:sz w:val="16"/>
              </w:rPr>
              <w:t>提高群众医保政策知晓情况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7C2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A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3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1E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04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8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9FD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BD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BBC2">
            <w:pPr>
              <w:jc w:val="center"/>
            </w:pPr>
          </w:p>
        </w:tc>
      </w:tr>
      <w:tr w14:paraId="302A7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B8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E6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E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C76C">
            <w:pPr>
              <w:jc w:val="center"/>
            </w:pPr>
            <w:r>
              <w:rPr>
                <w:rFonts w:ascii="宋体" w:hAnsi="宋体" w:eastAsia="宋体"/>
                <w:sz w:val="16"/>
              </w:rPr>
              <w:t>基本医疗保险参保群众满意度（%）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A5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5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4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E3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D6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D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A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0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91757">
            <w:pPr>
              <w:jc w:val="center"/>
            </w:pPr>
            <w:r>
              <w:rPr>
                <w:rFonts w:ascii="宋体" w:hAnsi="宋体" w:eastAsia="宋体"/>
                <w:sz w:val="16"/>
              </w:rPr>
              <w:t>基本医疗保险参保群众对项目实施比较满意，故存在偏差；改进措施：做好年初预算。</w:t>
            </w:r>
          </w:p>
        </w:tc>
      </w:tr>
      <w:tr w14:paraId="2D5E438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FD4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D9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D14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306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E253A8"/>
        </w:tc>
      </w:tr>
    </w:tbl>
    <w:p w14:paraId="71913EB1">
      <w:r>
        <w:br w:type="page"/>
      </w:r>
    </w:p>
    <w:p w14:paraId="776D95E0">
      <w:pPr>
        <w:spacing w:line="640" w:lineRule="exact"/>
        <w:ind w:firstLine="640"/>
        <w:jc w:val="both"/>
        <w:outlineLvl w:val="2"/>
      </w:pPr>
      <w:r>
        <w:rPr>
          <w:rFonts w:ascii="黑体" w:hAnsi="黑体" w:eastAsia="黑体"/>
          <w:sz w:val="32"/>
        </w:rPr>
        <w:t>十二、其他需说明的事项</w:t>
      </w:r>
    </w:p>
    <w:p w14:paraId="7C98BD7A">
      <w:pPr>
        <w:spacing w:line="580" w:lineRule="exact"/>
        <w:ind w:firstLine="640"/>
        <w:jc w:val="both"/>
      </w:pPr>
      <w:r>
        <w:rPr>
          <w:rFonts w:ascii="仿宋_GB2312" w:hAnsi="仿宋_GB2312" w:eastAsia="仿宋_GB2312"/>
          <w:b w:val="0"/>
          <w:sz w:val="32"/>
        </w:rPr>
        <w:t>本单位无其他需说明的事项。</w:t>
      </w:r>
    </w:p>
    <w:p w14:paraId="4EB472CB">
      <w:r>
        <w:br w:type="page"/>
      </w:r>
    </w:p>
    <w:p w14:paraId="054F80C7">
      <w:pPr>
        <w:spacing w:line="240" w:lineRule="auto"/>
        <w:jc w:val="center"/>
        <w:outlineLvl w:val="1"/>
      </w:pPr>
      <w:r>
        <w:rPr>
          <w:rFonts w:ascii="黑体" w:hAnsi="黑体" w:eastAsia="黑体"/>
          <w:sz w:val="32"/>
        </w:rPr>
        <w:t>第三部分 专业名词解释</w:t>
      </w:r>
    </w:p>
    <w:p w14:paraId="4C23176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FE3E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BBBAE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14F0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41F03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2F81F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04FD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12A24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B362F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63752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6052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7F1B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A7EA5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A64A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EDF767">
      <w:r>
        <w:br w:type="page"/>
      </w:r>
    </w:p>
    <w:p w14:paraId="69C9485E">
      <w:pPr>
        <w:spacing w:line="240" w:lineRule="auto"/>
        <w:jc w:val="center"/>
        <w:outlineLvl w:val="1"/>
      </w:pPr>
      <w:r>
        <w:rPr>
          <w:rFonts w:ascii="黑体" w:hAnsi="黑体" w:eastAsia="黑体"/>
          <w:sz w:val="32"/>
        </w:rPr>
        <w:t>第四部分 部门决算报表（见附表）</w:t>
      </w:r>
    </w:p>
    <w:p w14:paraId="50B50949">
      <w:pPr>
        <w:spacing w:line="240" w:lineRule="auto"/>
        <w:ind w:firstLine="640"/>
        <w:jc w:val="both"/>
      </w:pPr>
      <w:r>
        <w:rPr>
          <w:rFonts w:ascii="仿宋_GB2312" w:hAnsi="仿宋_GB2312" w:eastAsia="仿宋_GB2312"/>
          <w:b w:val="0"/>
          <w:sz w:val="32"/>
        </w:rPr>
        <w:t>一、《收入支出决算总表》</w:t>
      </w:r>
    </w:p>
    <w:p w14:paraId="732A9D59">
      <w:pPr>
        <w:spacing w:line="240" w:lineRule="auto"/>
        <w:ind w:firstLine="640"/>
        <w:jc w:val="both"/>
      </w:pPr>
      <w:r>
        <w:rPr>
          <w:rFonts w:ascii="仿宋_GB2312" w:hAnsi="仿宋_GB2312" w:eastAsia="仿宋_GB2312"/>
          <w:b w:val="0"/>
          <w:sz w:val="32"/>
        </w:rPr>
        <w:t>二、《收入决算表》</w:t>
      </w:r>
    </w:p>
    <w:p w14:paraId="24D74883">
      <w:pPr>
        <w:spacing w:line="240" w:lineRule="auto"/>
        <w:ind w:firstLine="640"/>
        <w:jc w:val="both"/>
      </w:pPr>
      <w:r>
        <w:rPr>
          <w:rFonts w:ascii="仿宋_GB2312" w:hAnsi="仿宋_GB2312" w:eastAsia="仿宋_GB2312"/>
          <w:b w:val="0"/>
          <w:sz w:val="32"/>
        </w:rPr>
        <w:t>三、《支出决算表》</w:t>
      </w:r>
    </w:p>
    <w:p w14:paraId="6EC23BCF">
      <w:pPr>
        <w:spacing w:line="240" w:lineRule="auto"/>
        <w:ind w:firstLine="640"/>
        <w:jc w:val="both"/>
      </w:pPr>
      <w:r>
        <w:rPr>
          <w:rFonts w:ascii="仿宋_GB2312" w:hAnsi="仿宋_GB2312" w:eastAsia="仿宋_GB2312"/>
          <w:b w:val="0"/>
          <w:sz w:val="32"/>
        </w:rPr>
        <w:t>四、《财政拨款收入支出决算总表》</w:t>
      </w:r>
    </w:p>
    <w:p w14:paraId="3D33B404">
      <w:pPr>
        <w:spacing w:line="240" w:lineRule="auto"/>
        <w:ind w:firstLine="640"/>
        <w:jc w:val="both"/>
      </w:pPr>
      <w:r>
        <w:rPr>
          <w:rFonts w:ascii="仿宋_GB2312" w:hAnsi="仿宋_GB2312" w:eastAsia="仿宋_GB2312"/>
          <w:b w:val="0"/>
          <w:sz w:val="32"/>
        </w:rPr>
        <w:t>五、《一般公共预算财政拨款支出决算表》</w:t>
      </w:r>
    </w:p>
    <w:p w14:paraId="5938E031">
      <w:pPr>
        <w:spacing w:line="240" w:lineRule="auto"/>
        <w:ind w:firstLine="640"/>
        <w:jc w:val="both"/>
      </w:pPr>
      <w:r>
        <w:rPr>
          <w:rFonts w:ascii="仿宋_GB2312" w:hAnsi="仿宋_GB2312" w:eastAsia="仿宋_GB2312"/>
          <w:b w:val="0"/>
          <w:sz w:val="32"/>
        </w:rPr>
        <w:t>六、《一般公共预算财政拨款基本支出决算表》</w:t>
      </w:r>
    </w:p>
    <w:p w14:paraId="4E2CD4B6">
      <w:pPr>
        <w:spacing w:line="240" w:lineRule="auto"/>
        <w:ind w:firstLine="640"/>
        <w:jc w:val="both"/>
      </w:pPr>
      <w:r>
        <w:rPr>
          <w:rFonts w:ascii="仿宋_GB2312" w:hAnsi="仿宋_GB2312" w:eastAsia="仿宋_GB2312"/>
          <w:b w:val="0"/>
          <w:sz w:val="32"/>
        </w:rPr>
        <w:t>七、《政府性基金预算财政拨款收入支出决算表》</w:t>
      </w:r>
    </w:p>
    <w:p w14:paraId="5308F10A">
      <w:pPr>
        <w:spacing w:line="240" w:lineRule="auto"/>
        <w:ind w:firstLine="640"/>
        <w:jc w:val="both"/>
      </w:pPr>
      <w:r>
        <w:rPr>
          <w:rFonts w:ascii="仿宋_GB2312" w:hAnsi="仿宋_GB2312" w:eastAsia="仿宋_GB2312"/>
          <w:b w:val="0"/>
          <w:sz w:val="32"/>
        </w:rPr>
        <w:t>八、《国有资本经营预算财政拨款收入支出决算表》</w:t>
      </w:r>
    </w:p>
    <w:p w14:paraId="134B650E">
      <w:pPr>
        <w:spacing w:line="240" w:lineRule="auto"/>
        <w:ind w:firstLine="640"/>
        <w:jc w:val="both"/>
      </w:pPr>
      <w:r>
        <w:rPr>
          <w:rFonts w:ascii="仿宋_GB2312" w:hAnsi="仿宋_GB2312" w:eastAsia="仿宋_GB2312"/>
          <w:b w:val="0"/>
          <w:sz w:val="32"/>
        </w:rPr>
        <w:t>九、《财政拨款“三公”经费支出决算表》</w:t>
      </w:r>
    </w:p>
    <w:p w14:paraId="40E256BC">
      <w:pPr>
        <w:spacing w:line="240" w:lineRule="auto"/>
        <w:ind w:firstLine="640"/>
        <w:jc w:val="both"/>
      </w:pPr>
    </w:p>
    <w:p w14:paraId="2A1F52B3">
      <w:pPr>
        <w:spacing w:line="240" w:lineRule="auto"/>
        <w:ind w:firstLine="640"/>
        <w:jc w:val="both"/>
      </w:pPr>
    </w:p>
    <w:p w14:paraId="1F43BDE9">
      <w:pPr>
        <w:spacing w:line="240" w:lineRule="auto"/>
        <w:ind w:firstLine="640"/>
        <w:jc w:val="both"/>
      </w:pPr>
    </w:p>
    <w:p w14:paraId="37620471">
      <w:pPr>
        <w:spacing w:line="240" w:lineRule="auto"/>
        <w:ind w:firstLine="640"/>
        <w:jc w:val="both"/>
      </w:pPr>
    </w:p>
    <w:p w14:paraId="155E5E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F109B9"/>
    <w:rsid w:val="67D111AB"/>
    <w:rsid w:val="68DB0208"/>
    <w:rsid w:val="68DF36D5"/>
    <w:rsid w:val="69846A0E"/>
    <w:rsid w:val="69AD798C"/>
    <w:rsid w:val="6B68175F"/>
    <w:rsid w:val="6B8B5C99"/>
    <w:rsid w:val="6CA7198F"/>
    <w:rsid w:val="6D8919A8"/>
    <w:rsid w:val="6E0F7A08"/>
    <w:rsid w:val="6E801ABC"/>
    <w:rsid w:val="71473612"/>
    <w:rsid w:val="718F7F65"/>
    <w:rsid w:val="72B55CF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6046</Words>
  <Characters>6859</Characters>
  <Lines>0</Lines>
  <Paragraphs>0</Paragraphs>
  <TotalTime>3</TotalTime>
  <ScaleCrop>false</ScaleCrop>
  <LinksUpToDate>false</LinksUpToDate>
  <CharactersWithSpaces>6867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