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EF8884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叶城县吐古其乡卫生院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5202A2">
      <w:r>
        <w:br w:type="page"/>
      </w:r>
    </w:p>
    <w:p w14:paraId="757390E7">
      <w:pPr>
        <w:spacing w:line="640" w:lineRule="exact"/>
        <w:jc w:val="center"/>
        <w:outlineLvl w:val="1"/>
      </w:pPr>
      <w:r>
        <w:rPr>
          <w:rFonts w:ascii="黑体" w:hAnsi="黑体" w:eastAsia="黑体"/>
          <w:sz w:val="32"/>
        </w:rPr>
        <w:t>第一部分 单位概况</w:t>
      </w:r>
    </w:p>
    <w:p w14:paraId="09C31CDF">
      <w:pPr>
        <w:spacing w:line="640" w:lineRule="exact"/>
        <w:ind w:firstLine="640"/>
        <w:jc w:val="both"/>
        <w:outlineLvl w:val="2"/>
      </w:pPr>
      <w:r>
        <w:rPr>
          <w:rFonts w:ascii="黑体" w:hAnsi="黑体" w:eastAsia="黑体"/>
          <w:sz w:val="32"/>
        </w:rPr>
        <w:t>一、主要职能</w:t>
      </w:r>
    </w:p>
    <w:p w14:paraId="7AAE44C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33D7FF8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5021CD3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66C4EBA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717814A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6EF5B26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49B92C43">
      <w:pPr>
        <w:spacing w:line="640" w:lineRule="exact"/>
        <w:ind w:firstLine="640"/>
        <w:jc w:val="both"/>
        <w:outlineLvl w:val="2"/>
      </w:pPr>
      <w:r>
        <w:rPr>
          <w:rFonts w:ascii="黑体" w:hAnsi="黑体" w:eastAsia="黑体"/>
          <w:sz w:val="32"/>
        </w:rPr>
        <w:t>二、机构设置及人员情况</w:t>
      </w:r>
    </w:p>
    <w:p w14:paraId="5AFF8C59">
      <w:pPr>
        <w:spacing w:line="580" w:lineRule="exact"/>
        <w:ind w:firstLine="640"/>
        <w:jc w:val="both"/>
      </w:pPr>
      <w:r>
        <w:rPr>
          <w:rFonts w:ascii="仿宋_GB2312" w:hAnsi="仿宋_GB2312" w:eastAsia="仿宋_GB2312"/>
          <w:sz w:val="32"/>
        </w:rPr>
        <w:t>叶城县吐古其乡卫生院2024年度，实有人数32人，其中：在职人员25人，减少6人；离休人员0人，增加0人；退休人员7人,增加1人。</w:t>
      </w:r>
    </w:p>
    <w:p w14:paraId="671559E8">
      <w:pPr>
        <w:spacing w:line="580" w:lineRule="exact"/>
        <w:ind w:firstLine="640"/>
        <w:jc w:val="both"/>
      </w:pPr>
      <w:r>
        <w:rPr>
          <w:rFonts w:ascii="仿宋_GB2312" w:hAnsi="仿宋_GB2312" w:eastAsia="仿宋_GB2312"/>
          <w:sz w:val="32"/>
        </w:rPr>
        <w:t>叶城县吐古其乡卫生院无下属预算单位，下设9个科室，分别是：办公室、财务科、业务科、住院部、药剂科、检验科、放射科、公共卫生科、体检科。</w:t>
      </w:r>
    </w:p>
    <w:p w14:paraId="08A92711">
      <w:r>
        <w:br w:type="page"/>
      </w:r>
    </w:p>
    <w:p w14:paraId="24EFBA8C">
      <w:pPr>
        <w:spacing w:line="240" w:lineRule="auto"/>
        <w:jc w:val="center"/>
        <w:outlineLvl w:val="1"/>
      </w:pPr>
      <w:r>
        <w:rPr>
          <w:rFonts w:ascii="黑体" w:hAnsi="黑体" w:eastAsia="黑体"/>
          <w:sz w:val="32"/>
        </w:rPr>
        <w:t>第二部分 部门决算情况说明</w:t>
      </w:r>
    </w:p>
    <w:p w14:paraId="13F7F3B0">
      <w:pPr>
        <w:spacing w:line="640" w:lineRule="exact"/>
        <w:ind w:firstLine="640"/>
        <w:jc w:val="both"/>
        <w:outlineLvl w:val="2"/>
      </w:pPr>
      <w:r>
        <w:rPr>
          <w:rFonts w:ascii="黑体" w:hAnsi="黑体" w:eastAsia="黑体"/>
          <w:sz w:val="32"/>
        </w:rPr>
        <w:t>一、收入支出决算总体情况说明</w:t>
      </w:r>
    </w:p>
    <w:p w14:paraId="364B51B9">
      <w:pPr>
        <w:spacing w:line="580" w:lineRule="exact"/>
        <w:ind w:firstLine="640"/>
        <w:jc w:val="both"/>
      </w:pPr>
      <w:r>
        <w:rPr>
          <w:rFonts w:ascii="仿宋_GB2312" w:hAnsi="仿宋_GB2312" w:eastAsia="仿宋_GB2312"/>
          <w:b/>
          <w:sz w:val="32"/>
        </w:rPr>
        <w:t>2024年度收入总计1,321.19万元，</w:t>
      </w:r>
      <w:r>
        <w:rPr>
          <w:rFonts w:ascii="仿宋_GB2312" w:hAnsi="仿宋_GB2312" w:eastAsia="仿宋_GB2312"/>
          <w:b w:val="0"/>
          <w:sz w:val="32"/>
        </w:rPr>
        <w:t>其中：本年收入合计1,321.19万元，使用非财政拨款结余（含专用结余）0.00万元，年初结转和结余0.00万元。</w:t>
      </w:r>
    </w:p>
    <w:p w14:paraId="293C732E">
      <w:pPr>
        <w:spacing w:line="580" w:lineRule="exact"/>
        <w:ind w:firstLine="640"/>
        <w:jc w:val="both"/>
      </w:pPr>
      <w:r>
        <w:rPr>
          <w:rFonts w:ascii="仿宋_GB2312" w:hAnsi="仿宋_GB2312" w:eastAsia="仿宋_GB2312"/>
          <w:b/>
          <w:sz w:val="32"/>
        </w:rPr>
        <w:t>2024年度支出总计1,321.19万元，</w:t>
      </w:r>
      <w:r>
        <w:rPr>
          <w:rFonts w:ascii="仿宋_GB2312" w:hAnsi="仿宋_GB2312" w:eastAsia="仿宋_GB2312"/>
          <w:b w:val="0"/>
          <w:sz w:val="32"/>
        </w:rPr>
        <w:t>其中：本年支出合计1,321.19万元，结余分配0.00万元，年末结转和结余0.00万元。</w:t>
      </w:r>
    </w:p>
    <w:p w14:paraId="6046055F">
      <w:pPr>
        <w:spacing w:line="580" w:lineRule="exact"/>
        <w:ind w:firstLine="640"/>
        <w:jc w:val="both"/>
      </w:pPr>
      <w:r>
        <w:rPr>
          <w:rFonts w:ascii="仿宋_GB2312" w:hAnsi="仿宋_GB2312" w:eastAsia="仿宋_GB2312"/>
          <w:b w:val="0"/>
          <w:sz w:val="32"/>
        </w:rPr>
        <w:t>收入支出总体与上年相比，增加40.49万元，增长3.16%，主要原因是：本年就诊人数增加，医疗收入增加。</w:t>
      </w:r>
    </w:p>
    <w:p w14:paraId="06CFD266">
      <w:pPr>
        <w:spacing w:line="640" w:lineRule="exact"/>
        <w:ind w:firstLine="640"/>
        <w:jc w:val="both"/>
        <w:outlineLvl w:val="2"/>
      </w:pPr>
      <w:r>
        <w:rPr>
          <w:rFonts w:ascii="黑体" w:hAnsi="黑体" w:eastAsia="黑体"/>
          <w:sz w:val="32"/>
        </w:rPr>
        <w:t>二、收入决算情况说明</w:t>
      </w:r>
    </w:p>
    <w:p w14:paraId="214BD92A">
      <w:pPr>
        <w:spacing w:line="580" w:lineRule="exact"/>
        <w:ind w:firstLine="640"/>
        <w:jc w:val="both"/>
      </w:pPr>
      <w:r>
        <w:rPr>
          <w:rFonts w:ascii="仿宋_GB2312" w:hAnsi="仿宋_GB2312" w:eastAsia="仿宋_GB2312"/>
          <w:b/>
          <w:sz w:val="32"/>
        </w:rPr>
        <w:t>本年收入1,321.19万元，</w:t>
      </w:r>
      <w:r>
        <w:rPr>
          <w:rFonts w:ascii="仿宋_GB2312" w:hAnsi="仿宋_GB2312" w:eastAsia="仿宋_GB2312"/>
          <w:b w:val="0"/>
          <w:sz w:val="32"/>
        </w:rPr>
        <w:t>其中：财政拨款收入917.66万元，占69.46%；上级补助收入0.00万元，占0.00%；事业收入403.53万元，占30.54%；经营收入0.00万元，占0.00%；附属单位上缴收入0.00万元，占0.00%；其他收入0.00万元，占0.00%。</w:t>
      </w:r>
    </w:p>
    <w:p w14:paraId="555BB633">
      <w:pPr>
        <w:spacing w:line="640" w:lineRule="exact"/>
        <w:ind w:firstLine="640"/>
        <w:jc w:val="both"/>
        <w:outlineLvl w:val="2"/>
      </w:pPr>
      <w:r>
        <w:rPr>
          <w:rFonts w:ascii="黑体" w:hAnsi="黑体" w:eastAsia="黑体"/>
          <w:sz w:val="32"/>
        </w:rPr>
        <w:t>三、支出决算情况说明</w:t>
      </w:r>
    </w:p>
    <w:p w14:paraId="6B18B718">
      <w:pPr>
        <w:spacing w:line="580" w:lineRule="exact"/>
        <w:ind w:firstLine="640"/>
        <w:jc w:val="both"/>
      </w:pPr>
      <w:r>
        <w:rPr>
          <w:rFonts w:ascii="仿宋_GB2312" w:hAnsi="仿宋_GB2312" w:eastAsia="仿宋_GB2312"/>
          <w:b/>
          <w:sz w:val="32"/>
        </w:rPr>
        <w:t>本年支出1,321.19万元，</w:t>
      </w:r>
      <w:r>
        <w:rPr>
          <w:rFonts w:ascii="仿宋_GB2312" w:hAnsi="仿宋_GB2312" w:eastAsia="仿宋_GB2312"/>
          <w:b w:val="0"/>
          <w:sz w:val="32"/>
        </w:rPr>
        <w:t>其中：基本支出567.07万元，占42.92%；项目支出754.12万元，占57.08%；上缴上级支出0.00万元，占0.00%；经营支出0.00万元，占0.00%；对附属单位补助支出0.00万元，占0.00%。</w:t>
      </w:r>
    </w:p>
    <w:p w14:paraId="530B53FA">
      <w:pPr>
        <w:spacing w:line="640" w:lineRule="exact"/>
        <w:ind w:firstLine="640"/>
        <w:jc w:val="both"/>
        <w:outlineLvl w:val="2"/>
      </w:pPr>
      <w:r>
        <w:rPr>
          <w:rFonts w:ascii="黑体" w:hAnsi="黑体" w:eastAsia="黑体"/>
          <w:sz w:val="32"/>
        </w:rPr>
        <w:t>四、财政拨款收入支出决算总体情况说明</w:t>
      </w:r>
    </w:p>
    <w:p w14:paraId="735FA081">
      <w:pPr>
        <w:spacing w:line="580" w:lineRule="exact"/>
        <w:ind w:firstLine="640"/>
        <w:jc w:val="both"/>
      </w:pPr>
      <w:r>
        <w:rPr>
          <w:rFonts w:ascii="仿宋_GB2312" w:hAnsi="仿宋_GB2312" w:eastAsia="仿宋_GB2312"/>
          <w:b/>
          <w:sz w:val="32"/>
        </w:rPr>
        <w:t>2024年度财政拨款收入总计917.66万元，</w:t>
      </w:r>
      <w:r>
        <w:rPr>
          <w:rFonts w:ascii="仿宋_GB2312" w:hAnsi="仿宋_GB2312" w:eastAsia="仿宋_GB2312"/>
          <w:b w:val="0"/>
          <w:sz w:val="32"/>
        </w:rPr>
        <w:t>其中：年初财政拨款结转和结余0.00万元，本年财政拨款收入917.66万元。</w:t>
      </w:r>
      <w:r>
        <w:rPr>
          <w:rFonts w:ascii="仿宋_GB2312" w:hAnsi="仿宋_GB2312" w:eastAsia="仿宋_GB2312"/>
          <w:b/>
          <w:sz w:val="32"/>
        </w:rPr>
        <w:t>财政拨款支出总计917.66万元，</w:t>
      </w:r>
      <w:r>
        <w:rPr>
          <w:rFonts w:ascii="仿宋_GB2312" w:hAnsi="仿宋_GB2312" w:eastAsia="仿宋_GB2312"/>
          <w:b w:val="0"/>
          <w:sz w:val="32"/>
        </w:rPr>
        <w:t>其中：年末财政拨款结转和结余0.00万元，本年财政拨款支出917.66万元。</w:t>
      </w:r>
    </w:p>
    <w:p w14:paraId="0B538D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减少106.78万元，下降10.42%，主要原因是：本年在职人员较上年减少，相应人员经费减少；本年减少乡镇卫生院运转项目经费。</w:t>
      </w:r>
      <w:r>
        <w:rPr>
          <w:rFonts w:ascii="仿宋_GB2312" w:hAnsi="仿宋_GB2312" w:eastAsia="仿宋_GB2312"/>
          <w:b/>
          <w:sz w:val="32"/>
        </w:rPr>
        <w:t>与年初预算相比，</w:t>
      </w:r>
      <w:r>
        <w:rPr>
          <w:rFonts w:ascii="仿宋_GB2312" w:hAnsi="仿宋_GB2312" w:eastAsia="仿宋_GB2312"/>
          <w:b w:val="0"/>
          <w:sz w:val="32"/>
        </w:rPr>
        <w:t>年初预算数623.07万元，决算数917.66万元，预决算差异率47.28%，主要原因是：年中追加人员工资、社保、公积金基数调增部分资金，追加基本卫生服务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、2024年基本药物制度补助资金、公共卫生服务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、2024年重大传染病防控经费项目经费，导致预决算存在差异。</w:t>
      </w:r>
    </w:p>
    <w:p w14:paraId="07CEBBC5">
      <w:pPr>
        <w:spacing w:line="640" w:lineRule="exact"/>
        <w:ind w:firstLine="640"/>
        <w:jc w:val="both"/>
        <w:outlineLvl w:val="2"/>
      </w:pPr>
      <w:r>
        <w:rPr>
          <w:rFonts w:ascii="黑体" w:hAnsi="黑体" w:eastAsia="黑体"/>
          <w:sz w:val="32"/>
        </w:rPr>
        <w:t>五、一般公共预算财政拨款支出决算情况说明</w:t>
      </w:r>
    </w:p>
    <w:p w14:paraId="40D0CA96">
      <w:pPr>
        <w:spacing w:line="640" w:lineRule="exact"/>
        <w:ind w:firstLine="640"/>
        <w:jc w:val="both"/>
        <w:outlineLvl w:val="3"/>
      </w:pPr>
      <w:r>
        <w:rPr>
          <w:rFonts w:ascii="楷体_GB2312" w:hAnsi="楷体_GB2312" w:eastAsia="楷体_GB2312"/>
          <w:b/>
          <w:sz w:val="32"/>
        </w:rPr>
        <w:t>（一）一般公共预算财政拨款支出决算总体情况</w:t>
      </w:r>
    </w:p>
    <w:p w14:paraId="4A0C27EF">
      <w:pPr>
        <w:spacing w:line="580" w:lineRule="exact"/>
        <w:ind w:firstLine="640"/>
        <w:jc w:val="both"/>
      </w:pPr>
      <w:r>
        <w:rPr>
          <w:rFonts w:ascii="仿宋_GB2312" w:hAnsi="仿宋_GB2312" w:eastAsia="仿宋_GB2312"/>
          <w:b/>
          <w:sz w:val="32"/>
        </w:rPr>
        <w:t>2024年度一般公共预算财政拨款支出916.83万元，</w:t>
      </w:r>
      <w:r>
        <w:rPr>
          <w:rFonts w:ascii="仿宋_GB2312" w:hAnsi="仿宋_GB2312" w:eastAsia="仿宋_GB2312"/>
          <w:b w:val="0"/>
          <w:sz w:val="32"/>
        </w:rPr>
        <w:t>占本年支出合计的69.39%。</w:t>
      </w:r>
      <w:r>
        <w:rPr>
          <w:rFonts w:ascii="仿宋_GB2312" w:hAnsi="仿宋_GB2312" w:eastAsia="仿宋_GB2312"/>
          <w:b/>
          <w:sz w:val="32"/>
        </w:rPr>
        <w:t>与上年相比，</w:t>
      </w:r>
      <w:r>
        <w:rPr>
          <w:rFonts w:ascii="仿宋_GB2312" w:hAnsi="仿宋_GB2312" w:eastAsia="仿宋_GB2312"/>
          <w:b w:val="0"/>
          <w:sz w:val="32"/>
        </w:rPr>
        <w:t>减少107.61万元，下降10.50%，主要原因是：本年在职人员较上年减少，相应人员经费减少；本年减少乡镇卫生院运转项目经费。</w:t>
      </w:r>
      <w:r>
        <w:rPr>
          <w:rFonts w:ascii="仿宋_GB2312" w:hAnsi="仿宋_GB2312" w:eastAsia="仿宋_GB2312"/>
          <w:b/>
          <w:sz w:val="32"/>
        </w:rPr>
        <w:t>与年初预算相比,</w:t>
      </w:r>
      <w:r>
        <w:rPr>
          <w:rFonts w:ascii="仿宋_GB2312" w:hAnsi="仿宋_GB2312" w:eastAsia="仿宋_GB2312"/>
          <w:b w:val="0"/>
          <w:sz w:val="32"/>
        </w:rPr>
        <w:t>年初预算数623.07万元，决算数916.83万元，预决算差异率47.15%，主要原因是：年中追加人员工资、社保、公积金基数调增部分资金，追加基本卫生服务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、2024年基本药物制度补助资金、公共卫生服务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、2024年重大传染病防控经费项目经费，导致预决算存在差异。</w:t>
      </w:r>
    </w:p>
    <w:p w14:paraId="1302C927">
      <w:pPr>
        <w:spacing w:line="640" w:lineRule="exact"/>
        <w:ind w:firstLine="640"/>
        <w:jc w:val="both"/>
        <w:outlineLvl w:val="3"/>
      </w:pPr>
      <w:r>
        <w:rPr>
          <w:rFonts w:ascii="楷体_GB2312" w:hAnsi="楷体_GB2312" w:eastAsia="楷体_GB2312"/>
          <w:b/>
          <w:sz w:val="32"/>
        </w:rPr>
        <w:t>（二）一般公共预算财政拨款支出决算结构情况</w:t>
      </w:r>
    </w:p>
    <w:p w14:paraId="568D87F0">
      <w:pPr>
        <w:spacing w:line="580" w:lineRule="exact"/>
        <w:ind w:firstLine="640"/>
        <w:jc w:val="both"/>
      </w:pPr>
      <w:r>
        <w:rPr>
          <w:rFonts w:ascii="仿宋_GB2312" w:hAnsi="仿宋_GB2312" w:eastAsia="仿宋_GB2312"/>
          <w:b w:val="0"/>
          <w:sz w:val="32"/>
        </w:rPr>
        <w:t>1.社会保障和就业支出(类)56.56万元,占6.17%。</w:t>
      </w:r>
    </w:p>
    <w:p w14:paraId="166B7A6D">
      <w:pPr>
        <w:spacing w:line="580" w:lineRule="exact"/>
        <w:ind w:firstLine="640"/>
        <w:jc w:val="both"/>
      </w:pPr>
      <w:r>
        <w:rPr>
          <w:rFonts w:ascii="仿宋_GB2312" w:hAnsi="仿宋_GB2312" w:eastAsia="仿宋_GB2312"/>
          <w:b w:val="0"/>
          <w:sz w:val="32"/>
        </w:rPr>
        <w:t>2.卫生健康支出(类)860.27万元,占93.83%。</w:t>
      </w:r>
    </w:p>
    <w:p w14:paraId="4D37E575">
      <w:pPr>
        <w:spacing w:line="640" w:lineRule="exact"/>
        <w:ind w:firstLine="640"/>
        <w:jc w:val="both"/>
        <w:outlineLvl w:val="3"/>
      </w:pPr>
      <w:r>
        <w:rPr>
          <w:rFonts w:ascii="楷体_GB2312" w:hAnsi="楷体_GB2312" w:eastAsia="楷体_GB2312"/>
          <w:b/>
          <w:sz w:val="32"/>
        </w:rPr>
        <w:t>（三）一般公共预算财政拨款支出决算具体情况</w:t>
      </w:r>
    </w:p>
    <w:p w14:paraId="73383F1E">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56.56万元，比上年决算增加8.32万元，增长17.25%,主要原因是：本年在职人员工资基数调增，养老缴费基数上涨，相应支出增加。</w:t>
      </w:r>
    </w:p>
    <w:p w14:paraId="5528DA3E">
      <w:pPr>
        <w:spacing w:line="580" w:lineRule="exact"/>
        <w:ind w:firstLine="640"/>
        <w:jc w:val="both"/>
      </w:pPr>
      <w:r>
        <w:rPr>
          <w:rFonts w:ascii="仿宋_GB2312" w:hAnsi="仿宋_GB2312" w:eastAsia="仿宋_GB2312"/>
          <w:b w:val="0"/>
          <w:sz w:val="32"/>
        </w:rPr>
        <w:t>2.卫生健康支出(类)基层医疗卫生机构(款)乡镇卫生院(项):支出决算数为510.51万元，比上年决算减少182.44万元，下降26.33%,主要原因是：本年在职人员较上年减少，相应人员经费减少；本年减少乡镇卫生院运转项目经费。</w:t>
      </w:r>
    </w:p>
    <w:p w14:paraId="0DA6031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32.24万元，比上年决算增加13.85万元，增长75.31%,主要原因是：本年增加2024年基本药物制度补助资金项目经费，导致相关经费增加。</w:t>
      </w:r>
    </w:p>
    <w:p w14:paraId="597A09CC">
      <w:pPr>
        <w:spacing w:line="580" w:lineRule="exact"/>
        <w:ind w:firstLine="640"/>
        <w:jc w:val="both"/>
      </w:pPr>
      <w:r>
        <w:rPr>
          <w:rFonts w:ascii="仿宋_GB2312" w:hAnsi="仿宋_GB2312" w:eastAsia="仿宋_GB2312"/>
          <w:b w:val="0"/>
          <w:sz w:val="32"/>
        </w:rPr>
        <w:t>4.卫生健康支出(类)公共卫生(款)基本公共卫生服务(项):支出决算数为200.17万元，比上年决算增加32.31万元，增长19.25%,主要原因是：本年增加基本卫生服务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用于村医、聘用人员工资及社保、单位运作、医用设备材料，导致相关经费增加。</w:t>
      </w:r>
    </w:p>
    <w:p w14:paraId="485202B6">
      <w:pPr>
        <w:spacing w:line="580" w:lineRule="exact"/>
        <w:ind w:firstLine="640"/>
        <w:jc w:val="both"/>
      </w:pPr>
      <w:r>
        <w:rPr>
          <w:rFonts w:ascii="仿宋_GB2312" w:hAnsi="仿宋_GB2312" w:eastAsia="仿宋_GB2312"/>
          <w:b w:val="0"/>
          <w:sz w:val="32"/>
        </w:rPr>
        <w:t>5.卫生健康支出(类)公共卫生(款)重大公共卫生服务(项):支出决算数为1.54万元，比上年决算增加1.54万元，增长100.00%,主要原因是：本年增加2024年重大传染病防控经费项目经费，导致相关经费增加。</w:t>
      </w:r>
    </w:p>
    <w:p w14:paraId="7107DE4C">
      <w:pPr>
        <w:spacing w:line="580" w:lineRule="exact"/>
        <w:ind w:firstLine="640"/>
        <w:jc w:val="both"/>
      </w:pPr>
      <w:r>
        <w:rPr>
          <w:rFonts w:ascii="仿宋_GB2312" w:hAnsi="仿宋_GB2312" w:eastAsia="仿宋_GB2312"/>
          <w:b w:val="0"/>
          <w:sz w:val="32"/>
        </w:rPr>
        <w:t>6.卫生健康支出(类)公共卫生(款)其他公共卫生支出(项):支出决算数为112.48万元，比上年决算增加15.47万元，增长15.95%,主要原因是：本年增加公共卫生服务</w:t>
      </w:r>
      <w:r>
        <w:rPr>
          <w:rFonts w:hint="eastAsia" w:ascii="仿宋_GB2312" w:hAnsi="仿宋_GB2312" w:eastAsia="仿宋_GB2312"/>
          <w:b w:val="0"/>
          <w:sz w:val="32"/>
          <w:lang w:val="en-US" w:eastAsia="zh-CN"/>
        </w:rPr>
        <w:t>经费用于</w:t>
      </w:r>
      <w:r>
        <w:rPr>
          <w:rFonts w:ascii="仿宋_GB2312" w:hAnsi="仿宋_GB2312" w:eastAsia="仿宋_GB2312"/>
          <w:b w:val="0"/>
          <w:sz w:val="32"/>
        </w:rPr>
        <w:t>全</w:t>
      </w:r>
      <w:r>
        <w:rPr>
          <w:rFonts w:hint="eastAsia" w:ascii="仿宋_GB2312" w:hAnsi="仿宋_GB2312" w:eastAsia="仿宋_GB2312"/>
          <w:b w:val="0"/>
          <w:sz w:val="32"/>
          <w:lang w:val="en-US" w:eastAsia="zh-CN"/>
        </w:rPr>
        <w:t>民健康</w:t>
      </w:r>
      <w:r>
        <w:rPr>
          <w:rFonts w:ascii="仿宋_GB2312" w:hAnsi="仿宋_GB2312" w:eastAsia="仿宋_GB2312"/>
          <w:b w:val="0"/>
          <w:sz w:val="32"/>
        </w:rPr>
        <w:t>体检人员工资、日常公用、医疗设备材料，导致相关经费增加。</w:t>
      </w:r>
    </w:p>
    <w:p w14:paraId="5D334823">
      <w:pPr>
        <w:spacing w:line="580" w:lineRule="exact"/>
        <w:ind w:firstLine="640"/>
        <w:jc w:val="both"/>
      </w:pPr>
      <w:r>
        <w:rPr>
          <w:rFonts w:ascii="仿宋_GB2312" w:hAnsi="仿宋_GB2312" w:eastAsia="仿宋_GB2312"/>
          <w:b w:val="0"/>
          <w:sz w:val="32"/>
        </w:rPr>
        <w:t>7.卫生健康支出(类)计划生育事务(款)</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服务(项):支出决算数为3.33万元，比上年决算增加3.33万元，增长100.00%,主要原因是：本年增加2024年免费技术服务补助资金，导致相关经费增加。</w:t>
      </w:r>
    </w:p>
    <w:p w14:paraId="08CEF6DE">
      <w:pPr>
        <w:spacing w:line="640" w:lineRule="exact"/>
        <w:ind w:firstLine="640"/>
        <w:jc w:val="both"/>
        <w:outlineLvl w:val="2"/>
      </w:pPr>
      <w:r>
        <w:rPr>
          <w:rFonts w:ascii="黑体" w:hAnsi="黑体" w:eastAsia="黑体"/>
          <w:sz w:val="32"/>
        </w:rPr>
        <w:t>六、一般公共预算财政拨款基本支出决算情况说明</w:t>
      </w:r>
    </w:p>
    <w:p w14:paraId="2AF1817B">
      <w:pPr>
        <w:spacing w:line="580" w:lineRule="exact"/>
        <w:ind w:firstLine="640"/>
        <w:jc w:val="both"/>
      </w:pPr>
      <w:r>
        <w:rPr>
          <w:rFonts w:ascii="仿宋_GB2312" w:hAnsi="仿宋_GB2312" w:eastAsia="仿宋_GB2312"/>
          <w:b w:val="0"/>
          <w:sz w:val="32"/>
        </w:rPr>
        <w:t>2024年度一般公共预算财政拨款基本支出567.07万元，其中：</w:t>
      </w:r>
      <w:r>
        <w:rPr>
          <w:rFonts w:ascii="仿宋_GB2312" w:hAnsi="仿宋_GB2312" w:eastAsia="仿宋_GB2312"/>
          <w:b/>
          <w:sz w:val="32"/>
        </w:rPr>
        <w:t>人员经费547.68万元，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049E556">
      <w:pPr>
        <w:spacing w:line="580" w:lineRule="exact"/>
        <w:ind w:firstLine="640"/>
        <w:jc w:val="both"/>
      </w:pPr>
      <w:r>
        <w:rPr>
          <w:rFonts w:ascii="仿宋_GB2312" w:hAnsi="仿宋_GB2312" w:eastAsia="仿宋_GB2312"/>
          <w:b/>
          <w:sz w:val="32"/>
        </w:rPr>
        <w:t>公用经费19.39万元，</w:t>
      </w:r>
      <w:r>
        <w:rPr>
          <w:rFonts w:ascii="仿宋_GB2312" w:hAnsi="仿宋_GB2312" w:eastAsia="仿宋_GB2312"/>
          <w:b w:val="0"/>
          <w:sz w:val="32"/>
        </w:rPr>
        <w:t>包括：办公费。</w:t>
      </w:r>
    </w:p>
    <w:p w14:paraId="65122D90">
      <w:pPr>
        <w:spacing w:line="640" w:lineRule="exact"/>
        <w:ind w:firstLine="640"/>
        <w:jc w:val="both"/>
        <w:outlineLvl w:val="2"/>
      </w:pPr>
      <w:r>
        <w:rPr>
          <w:rFonts w:ascii="黑体" w:hAnsi="黑体" w:eastAsia="黑体"/>
          <w:sz w:val="32"/>
        </w:rPr>
        <w:t>七、政府性基金预算财政拨款收入支出决算情况说明</w:t>
      </w:r>
    </w:p>
    <w:p w14:paraId="415A02B3">
      <w:pPr>
        <w:spacing w:line="580" w:lineRule="exact"/>
        <w:ind w:firstLine="640"/>
        <w:jc w:val="both"/>
      </w:pPr>
      <w:r>
        <w:rPr>
          <w:rFonts w:ascii="仿宋_GB2312" w:hAnsi="仿宋_GB2312" w:eastAsia="仿宋_GB2312"/>
          <w:b/>
          <w:sz w:val="32"/>
        </w:rPr>
        <w:t>2024年度政府性基金预算财政拨款收入总计0.83万元，</w:t>
      </w:r>
      <w:r>
        <w:rPr>
          <w:rFonts w:ascii="仿宋_GB2312" w:hAnsi="仿宋_GB2312" w:eastAsia="仿宋_GB2312"/>
          <w:b w:val="0"/>
          <w:sz w:val="32"/>
        </w:rPr>
        <w:t>其中：年初结转和结余0.00万元，本年收入0.83万元。</w:t>
      </w:r>
      <w:r>
        <w:rPr>
          <w:rFonts w:ascii="仿宋_GB2312" w:hAnsi="仿宋_GB2312" w:eastAsia="仿宋_GB2312"/>
          <w:b/>
          <w:sz w:val="32"/>
        </w:rPr>
        <w:t>政府性基金预算财政拨款支出总计0.83万元，</w:t>
      </w:r>
      <w:r>
        <w:rPr>
          <w:rFonts w:ascii="仿宋_GB2312" w:hAnsi="仿宋_GB2312" w:eastAsia="仿宋_GB2312"/>
          <w:b w:val="0"/>
          <w:sz w:val="32"/>
        </w:rPr>
        <w:t>其中：年末结转和结余0.00万元，本年支出0.83万元。</w:t>
      </w:r>
    </w:p>
    <w:p w14:paraId="28ED86F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增加0.83万元，增长100.00%，主要原因是：本年增加2024年老年健康与医养结合服务项目经费，导致相关经费增加。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年初预算数0.00万元，决算数0.83万元，预决算差异率100.00%，主要原因是：年中追加2024年老年健康与医养结合服务项目经费，导致预决算存在差异。</w:t>
      </w:r>
    </w:p>
    <w:p w14:paraId="67467A51">
      <w:pPr>
        <w:spacing w:line="580" w:lineRule="exact"/>
        <w:ind w:firstLine="640"/>
        <w:jc w:val="both"/>
      </w:pPr>
      <w:r>
        <w:rPr>
          <w:rFonts w:ascii="仿宋_GB2312" w:hAnsi="仿宋_GB2312" w:eastAsia="仿宋_GB2312"/>
          <w:b w:val="0"/>
          <w:sz w:val="32"/>
        </w:rPr>
        <w:t>政府性基金预算财政拨款支出0.83万元。</w:t>
      </w:r>
    </w:p>
    <w:p w14:paraId="156F5DC1">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0.83万元，比上年决算增加0.83万元，增长100.00%,主要原因是：本年增加2024年老年健康与医养结合服务项目经费，导致相关经费增加。</w:t>
      </w:r>
    </w:p>
    <w:p w14:paraId="2D6C5993">
      <w:pPr>
        <w:spacing w:line="640" w:lineRule="exact"/>
        <w:ind w:firstLine="640"/>
        <w:jc w:val="both"/>
        <w:outlineLvl w:val="2"/>
      </w:pPr>
      <w:r>
        <w:rPr>
          <w:rFonts w:ascii="黑体" w:hAnsi="黑体" w:eastAsia="黑体"/>
          <w:sz w:val="32"/>
        </w:rPr>
        <w:t>八、国有资本经营预算财政拨款收入支出决算情况说明</w:t>
      </w:r>
    </w:p>
    <w:p w14:paraId="39D1901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E70C37">
      <w:pPr>
        <w:spacing w:line="640" w:lineRule="exact"/>
        <w:ind w:firstLine="640"/>
        <w:jc w:val="both"/>
        <w:outlineLvl w:val="2"/>
      </w:pPr>
      <w:r>
        <w:rPr>
          <w:rFonts w:ascii="黑体" w:hAnsi="黑体" w:eastAsia="黑体"/>
          <w:sz w:val="32"/>
        </w:rPr>
        <w:t>九、财政拨款“三公”经费支出决算情况说明</w:t>
      </w:r>
    </w:p>
    <w:p w14:paraId="78533B5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E13D36">
      <w:pPr>
        <w:spacing w:line="580" w:lineRule="exact"/>
        <w:ind w:firstLine="640"/>
        <w:jc w:val="both"/>
      </w:pPr>
      <w:r>
        <w:rPr>
          <w:rFonts w:ascii="仿宋_GB2312" w:hAnsi="仿宋_GB2312" w:eastAsia="仿宋_GB2312"/>
          <w:b/>
          <w:sz w:val="32"/>
        </w:rPr>
        <w:t>具体情况如下：</w:t>
      </w:r>
    </w:p>
    <w:p w14:paraId="0A879E6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109B1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医疗收入经费保障。</w:t>
      </w:r>
    </w:p>
    <w:p w14:paraId="202255B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B597B2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C556DAA">
      <w:pPr>
        <w:spacing w:line="640" w:lineRule="exact"/>
        <w:ind w:firstLine="640"/>
        <w:jc w:val="both"/>
        <w:outlineLvl w:val="2"/>
      </w:pPr>
      <w:r>
        <w:rPr>
          <w:rFonts w:ascii="黑体" w:hAnsi="黑体" w:eastAsia="黑体"/>
          <w:sz w:val="32"/>
        </w:rPr>
        <w:t>十、其他重要事项的情况说明</w:t>
      </w:r>
    </w:p>
    <w:p w14:paraId="35C5344C">
      <w:pPr>
        <w:spacing w:line="640" w:lineRule="exact"/>
        <w:ind w:firstLine="640"/>
        <w:jc w:val="both"/>
        <w:outlineLvl w:val="3"/>
      </w:pPr>
      <w:r>
        <w:rPr>
          <w:rFonts w:ascii="楷体_GB2312" w:hAnsi="楷体_GB2312" w:eastAsia="楷体_GB2312"/>
          <w:b/>
          <w:sz w:val="32"/>
        </w:rPr>
        <w:t>（一）机关运行经费及公用经费支出情况</w:t>
      </w:r>
    </w:p>
    <w:p w14:paraId="6957F731">
      <w:pPr>
        <w:spacing w:line="580" w:lineRule="exact"/>
        <w:ind w:firstLine="640"/>
        <w:jc w:val="both"/>
      </w:pPr>
      <w:r>
        <w:rPr>
          <w:rFonts w:ascii="仿宋_GB2312" w:hAnsi="仿宋_GB2312" w:eastAsia="仿宋_GB2312"/>
          <w:b w:val="0"/>
          <w:sz w:val="32"/>
        </w:rPr>
        <w:t>2024年度叶城县吐古其乡卫生院（事业单位）公用经费支出19.39万元，比上年增加19.39万元，增长100.00%，主要原因是：本年增加办公费，导致公用经费支出增加。</w:t>
      </w:r>
    </w:p>
    <w:p w14:paraId="0E89A716">
      <w:pPr>
        <w:spacing w:line="640" w:lineRule="exact"/>
        <w:ind w:firstLine="640"/>
        <w:jc w:val="both"/>
        <w:outlineLvl w:val="3"/>
      </w:pPr>
      <w:r>
        <w:rPr>
          <w:rFonts w:ascii="楷体_GB2312" w:hAnsi="楷体_GB2312" w:eastAsia="楷体_GB2312"/>
          <w:b/>
          <w:sz w:val="32"/>
        </w:rPr>
        <w:t>（二）政府采购情况</w:t>
      </w:r>
    </w:p>
    <w:p w14:paraId="6DA563A1">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7B084A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F55038C">
      <w:pPr>
        <w:spacing w:line="640" w:lineRule="exact"/>
        <w:ind w:firstLine="640"/>
        <w:jc w:val="both"/>
        <w:outlineLvl w:val="3"/>
      </w:pPr>
      <w:r>
        <w:rPr>
          <w:rFonts w:ascii="楷体_GB2312" w:hAnsi="楷体_GB2312" w:eastAsia="楷体_GB2312"/>
          <w:b/>
          <w:sz w:val="32"/>
        </w:rPr>
        <w:t>（三）国有资产占用情况说明</w:t>
      </w:r>
    </w:p>
    <w:p w14:paraId="3B1AE9C7">
      <w:pPr>
        <w:spacing w:line="580" w:lineRule="exact"/>
        <w:ind w:firstLine="640"/>
        <w:jc w:val="both"/>
      </w:pPr>
      <w:r>
        <w:rPr>
          <w:rFonts w:ascii="仿宋_GB2312" w:hAnsi="仿宋_GB2312" w:eastAsia="仿宋_GB2312"/>
          <w:b w:val="0"/>
          <w:sz w:val="32"/>
        </w:rPr>
        <w:t>截至2024年12月31日，房屋2,691.12平方米，价值262.38万元。车辆2辆，价值39.80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76F06D3C">
      <w:pPr>
        <w:spacing w:line="640" w:lineRule="exact"/>
        <w:ind w:firstLine="640"/>
        <w:jc w:val="both"/>
        <w:outlineLvl w:val="2"/>
      </w:pPr>
      <w:r>
        <w:rPr>
          <w:rFonts w:ascii="黑体" w:hAnsi="黑体" w:eastAsia="黑体"/>
          <w:sz w:val="32"/>
        </w:rPr>
        <w:t>十一、预算绩效的情况说明</w:t>
      </w:r>
    </w:p>
    <w:p w14:paraId="546E1C51">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2C6E00F3">
      <w:r>
        <w:br w:type="page"/>
      </w:r>
    </w:p>
    <w:p w14:paraId="1593DC76">
      <w:pPr>
        <w:spacing w:line="640" w:lineRule="exact"/>
        <w:ind w:firstLine="640"/>
        <w:jc w:val="both"/>
        <w:outlineLvl w:val="2"/>
      </w:pPr>
      <w:r>
        <w:rPr>
          <w:rFonts w:ascii="黑体" w:hAnsi="黑体" w:eastAsia="黑体"/>
          <w:sz w:val="32"/>
        </w:rPr>
        <w:t>十二、其他需说明的事项</w:t>
      </w:r>
    </w:p>
    <w:p w14:paraId="0E4FBC7D">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w:t>
      </w:r>
      <w:r>
        <w:rPr>
          <w:rFonts w:hint="eastAsia" w:ascii="仿宋_GB2312" w:hAnsi="仿宋_GB2312" w:eastAsia="仿宋_GB2312"/>
          <w:b w:val="0"/>
          <w:sz w:val="32"/>
          <w:lang w:val="en-US" w:eastAsia="zh-CN"/>
        </w:rPr>
        <w:t>卫生健康委员会</w:t>
      </w:r>
      <w:r>
        <w:rPr>
          <w:rFonts w:ascii="仿宋_GB2312" w:hAnsi="仿宋_GB2312" w:eastAsia="仿宋_GB2312"/>
          <w:b w:val="0"/>
          <w:sz w:val="32"/>
        </w:rPr>
        <w:t>编报并公开。</w:t>
      </w:r>
    </w:p>
    <w:p w14:paraId="5362FB42">
      <w:r>
        <w:br w:type="page"/>
      </w:r>
    </w:p>
    <w:p w14:paraId="743D4C99">
      <w:pPr>
        <w:spacing w:line="240" w:lineRule="auto"/>
        <w:jc w:val="center"/>
        <w:outlineLvl w:val="1"/>
      </w:pPr>
      <w:r>
        <w:rPr>
          <w:rFonts w:ascii="黑体" w:hAnsi="黑体" w:eastAsia="黑体"/>
          <w:sz w:val="32"/>
        </w:rPr>
        <w:t>第三部分 专业名词解释</w:t>
      </w:r>
    </w:p>
    <w:p w14:paraId="33F2C0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F12B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BAFF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C0C2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DD6E04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D89C8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55252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E6D08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0E470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ECC1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C412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4C622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AF251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4203E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85E34F">
      <w:r>
        <w:br w:type="page"/>
      </w:r>
    </w:p>
    <w:p w14:paraId="4D9891D7">
      <w:pPr>
        <w:spacing w:line="240" w:lineRule="auto"/>
        <w:jc w:val="center"/>
        <w:outlineLvl w:val="1"/>
      </w:pPr>
      <w:r>
        <w:rPr>
          <w:rFonts w:ascii="黑体" w:hAnsi="黑体" w:eastAsia="黑体"/>
          <w:sz w:val="32"/>
        </w:rPr>
        <w:t>第四部分 部门决算报表（见附表）</w:t>
      </w:r>
    </w:p>
    <w:p w14:paraId="57C2E7A5">
      <w:pPr>
        <w:spacing w:line="240" w:lineRule="auto"/>
        <w:ind w:firstLine="640"/>
        <w:jc w:val="both"/>
      </w:pPr>
      <w:r>
        <w:rPr>
          <w:rFonts w:ascii="仿宋_GB2312" w:hAnsi="仿宋_GB2312" w:eastAsia="仿宋_GB2312"/>
          <w:b w:val="0"/>
          <w:sz w:val="32"/>
        </w:rPr>
        <w:t>一、《收入支出决算总表》</w:t>
      </w:r>
    </w:p>
    <w:p w14:paraId="7E810276">
      <w:pPr>
        <w:spacing w:line="240" w:lineRule="auto"/>
        <w:ind w:firstLine="640"/>
        <w:jc w:val="both"/>
      </w:pPr>
      <w:r>
        <w:rPr>
          <w:rFonts w:ascii="仿宋_GB2312" w:hAnsi="仿宋_GB2312" w:eastAsia="仿宋_GB2312"/>
          <w:b w:val="0"/>
          <w:sz w:val="32"/>
        </w:rPr>
        <w:t>二、《收入决算表》</w:t>
      </w:r>
    </w:p>
    <w:p w14:paraId="535DAEF2">
      <w:pPr>
        <w:spacing w:line="240" w:lineRule="auto"/>
        <w:ind w:firstLine="640"/>
        <w:jc w:val="both"/>
      </w:pPr>
      <w:r>
        <w:rPr>
          <w:rFonts w:ascii="仿宋_GB2312" w:hAnsi="仿宋_GB2312" w:eastAsia="仿宋_GB2312"/>
          <w:b w:val="0"/>
          <w:sz w:val="32"/>
        </w:rPr>
        <w:t>三、《支出决算表》</w:t>
      </w:r>
    </w:p>
    <w:p w14:paraId="4E78DDA9">
      <w:pPr>
        <w:spacing w:line="240" w:lineRule="auto"/>
        <w:ind w:firstLine="640"/>
        <w:jc w:val="both"/>
      </w:pPr>
      <w:r>
        <w:rPr>
          <w:rFonts w:ascii="仿宋_GB2312" w:hAnsi="仿宋_GB2312" w:eastAsia="仿宋_GB2312"/>
          <w:b w:val="0"/>
          <w:sz w:val="32"/>
        </w:rPr>
        <w:t>四、《财政拨款收入支出决算总表》</w:t>
      </w:r>
    </w:p>
    <w:p w14:paraId="175607F1">
      <w:pPr>
        <w:spacing w:line="240" w:lineRule="auto"/>
        <w:ind w:firstLine="640"/>
        <w:jc w:val="both"/>
      </w:pPr>
      <w:r>
        <w:rPr>
          <w:rFonts w:ascii="仿宋_GB2312" w:hAnsi="仿宋_GB2312" w:eastAsia="仿宋_GB2312"/>
          <w:b w:val="0"/>
          <w:sz w:val="32"/>
        </w:rPr>
        <w:t>五、《一般公共预算财政拨款支出决算表》</w:t>
      </w:r>
    </w:p>
    <w:p w14:paraId="08CC7EC5">
      <w:pPr>
        <w:spacing w:line="240" w:lineRule="auto"/>
        <w:ind w:firstLine="640"/>
        <w:jc w:val="both"/>
      </w:pPr>
      <w:r>
        <w:rPr>
          <w:rFonts w:ascii="仿宋_GB2312" w:hAnsi="仿宋_GB2312" w:eastAsia="仿宋_GB2312"/>
          <w:b w:val="0"/>
          <w:sz w:val="32"/>
        </w:rPr>
        <w:t>六、《一般公共预算财政拨款基本支出决算表》</w:t>
      </w:r>
    </w:p>
    <w:p w14:paraId="1AE6458E">
      <w:pPr>
        <w:spacing w:line="240" w:lineRule="auto"/>
        <w:ind w:firstLine="640"/>
        <w:jc w:val="both"/>
      </w:pPr>
      <w:r>
        <w:rPr>
          <w:rFonts w:ascii="仿宋_GB2312" w:hAnsi="仿宋_GB2312" w:eastAsia="仿宋_GB2312"/>
          <w:b w:val="0"/>
          <w:sz w:val="32"/>
        </w:rPr>
        <w:t>七、《政府性基金预算财政拨款收入支出决算表》</w:t>
      </w:r>
    </w:p>
    <w:p w14:paraId="410B715F">
      <w:pPr>
        <w:spacing w:line="240" w:lineRule="auto"/>
        <w:ind w:firstLine="640"/>
        <w:jc w:val="both"/>
      </w:pPr>
      <w:r>
        <w:rPr>
          <w:rFonts w:ascii="仿宋_GB2312" w:hAnsi="仿宋_GB2312" w:eastAsia="仿宋_GB2312"/>
          <w:b w:val="0"/>
          <w:sz w:val="32"/>
        </w:rPr>
        <w:t>八、《国有资本经营预算财政拨款收入支出决算表》</w:t>
      </w:r>
    </w:p>
    <w:p w14:paraId="6197A1E1">
      <w:pPr>
        <w:spacing w:line="240" w:lineRule="auto"/>
        <w:ind w:firstLine="640"/>
        <w:jc w:val="both"/>
      </w:pPr>
      <w:r>
        <w:rPr>
          <w:rFonts w:ascii="仿宋_GB2312" w:hAnsi="仿宋_GB2312" w:eastAsia="仿宋_GB2312"/>
          <w:b w:val="0"/>
          <w:sz w:val="32"/>
        </w:rPr>
        <w:t>九、《财政拨款“三公”经费支出决算表》</w:t>
      </w:r>
    </w:p>
    <w:p w14:paraId="02EF1BDC">
      <w:pPr>
        <w:spacing w:line="240" w:lineRule="auto"/>
        <w:ind w:firstLine="640"/>
        <w:jc w:val="both"/>
      </w:pPr>
    </w:p>
    <w:p w14:paraId="7A95BBD5">
      <w:pPr>
        <w:spacing w:line="240" w:lineRule="auto"/>
        <w:ind w:firstLine="640"/>
        <w:jc w:val="both"/>
      </w:pPr>
    </w:p>
    <w:p w14:paraId="500A4601">
      <w:pPr>
        <w:spacing w:line="240" w:lineRule="auto"/>
        <w:ind w:firstLine="640"/>
        <w:jc w:val="both"/>
      </w:pPr>
    </w:p>
    <w:p w14:paraId="2194AACE">
      <w:pPr>
        <w:spacing w:line="240" w:lineRule="auto"/>
        <w:ind w:firstLine="640"/>
        <w:jc w:val="both"/>
      </w:pPr>
    </w:p>
    <w:p w14:paraId="07338D5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941660-A49B-4097-BCC7-D88C2AE02A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FA23F21-EBED-4A63-82C0-DB5BA9410AEE}"/>
  </w:font>
  <w:font w:name="仿宋_GB2312">
    <w:panose1 w:val="02010609030101010101"/>
    <w:charset w:val="86"/>
    <w:family w:val="modern"/>
    <w:pitch w:val="default"/>
    <w:sig w:usb0="00000001" w:usb1="080E0000" w:usb2="00000000" w:usb3="00000000" w:csb0="00040000" w:csb1="00000000"/>
    <w:embedRegular r:id="rId3" w:fontKey="{9093AD20-0BFF-467B-BCAF-00E06972F9C2}"/>
  </w:font>
  <w:font w:name="楷体_GB2312">
    <w:panose1 w:val="02010609030101010101"/>
    <w:charset w:val="86"/>
    <w:family w:val="auto"/>
    <w:pitch w:val="default"/>
    <w:sig w:usb0="00000001" w:usb1="080E0000" w:usb2="00000000" w:usb3="00000000" w:csb0="00040000" w:csb1="00000000"/>
    <w:embedRegular r:id="rId4" w:fontKey="{A981AC7A-1D36-48EF-AB93-7E595F2AA1B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30608A"/>
    <w:rsid w:val="47445515"/>
    <w:rsid w:val="4B4C0111"/>
    <w:rsid w:val="4BB23021"/>
    <w:rsid w:val="4F3F074E"/>
    <w:rsid w:val="50DB5F45"/>
    <w:rsid w:val="52F92565"/>
    <w:rsid w:val="543D17CB"/>
    <w:rsid w:val="55DA564E"/>
    <w:rsid w:val="56E07045"/>
    <w:rsid w:val="583059FA"/>
    <w:rsid w:val="587E6212"/>
    <w:rsid w:val="589D7753"/>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5652</Words>
  <Characters>6382</Characters>
  <Lines>0</Lines>
  <Paragraphs>0</Paragraphs>
  <TotalTime>2</TotalTime>
  <ScaleCrop>false</ScaleCrop>
  <LinksUpToDate>false</LinksUpToDate>
  <CharactersWithSpaces>6392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