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B49EA4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叶城县柯克亚乡卫生院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A8DEC15">
      <w:r>
        <w:br w:type="page"/>
      </w:r>
    </w:p>
    <w:p w14:paraId="6D016498">
      <w:pPr>
        <w:spacing w:line="640" w:lineRule="exact"/>
        <w:jc w:val="center"/>
        <w:outlineLvl w:val="1"/>
      </w:pPr>
      <w:r>
        <w:rPr>
          <w:rFonts w:ascii="黑体" w:hAnsi="黑体" w:eastAsia="黑体"/>
          <w:sz w:val="32"/>
        </w:rPr>
        <w:t>第一部分 单位概况</w:t>
      </w:r>
    </w:p>
    <w:p w14:paraId="49AC2F9D">
      <w:pPr>
        <w:spacing w:line="640" w:lineRule="exact"/>
        <w:ind w:firstLine="640"/>
        <w:jc w:val="both"/>
        <w:outlineLvl w:val="2"/>
      </w:pPr>
      <w:r>
        <w:rPr>
          <w:rFonts w:ascii="黑体" w:hAnsi="黑体" w:eastAsia="黑体"/>
          <w:sz w:val="32"/>
        </w:rPr>
        <w:t>一、主要职能</w:t>
      </w:r>
    </w:p>
    <w:p w14:paraId="11904FB7">
      <w:pPr>
        <w:spacing w:line="580" w:lineRule="exact"/>
        <w:ind w:firstLine="640"/>
        <w:jc w:val="both"/>
      </w:pPr>
      <w:r>
        <w:rPr>
          <w:rFonts w:ascii="仿宋_GB2312" w:hAnsi="仿宋_GB2312" w:eastAsia="仿宋_GB2312"/>
          <w:sz w:val="32"/>
        </w:rPr>
        <w:t>1.乡镇卫生院以公共卫生服务为主，综合提供预防、保健和基本医疗等服务。</w:t>
      </w:r>
    </w:p>
    <w:p w14:paraId="0339E81B">
      <w:pPr>
        <w:spacing w:line="580" w:lineRule="exact"/>
        <w:ind w:firstLine="640"/>
        <w:jc w:val="both"/>
      </w:pPr>
      <w:r>
        <w:rPr>
          <w:rFonts w:ascii="仿宋_GB2312" w:hAnsi="仿宋_GB2312" w:eastAsia="仿宋_GB2312"/>
          <w:sz w:val="32"/>
        </w:rPr>
        <w:t>2.加强农村疾病预防控制，做好传染病、地方病防治等农村突发公共卫生事件报告工作，重点控制严重危害农民身体健康的传染病、地方病、职业病和寄生虫病等重大疾病。</w:t>
      </w:r>
    </w:p>
    <w:p w14:paraId="6B9A34B7">
      <w:pPr>
        <w:spacing w:line="580" w:lineRule="exact"/>
        <w:ind w:firstLine="640"/>
        <w:jc w:val="both"/>
      </w:pPr>
      <w:r>
        <w:rPr>
          <w:rFonts w:ascii="仿宋_GB2312" w:hAnsi="仿宋_GB2312" w:eastAsia="仿宋_GB2312"/>
          <w:sz w:val="32"/>
        </w:rPr>
        <w:t>3.认真执行儿童计划免疫。积极开展慢性非传染性疾病的防治工作。</w:t>
      </w:r>
    </w:p>
    <w:p w14:paraId="65B5B380">
      <w:pPr>
        <w:spacing w:line="580" w:lineRule="exact"/>
        <w:ind w:firstLine="640"/>
        <w:jc w:val="both"/>
      </w:pPr>
      <w:r>
        <w:rPr>
          <w:rFonts w:ascii="仿宋_GB2312" w:hAnsi="仿宋_GB2312" w:eastAsia="仿宋_GB2312"/>
          <w:sz w:val="32"/>
        </w:rPr>
        <w:t>4.做好农村孕产妇和儿童保健工作，提高住院分娩率，改善儿童营养状况。</w:t>
      </w:r>
    </w:p>
    <w:p w14:paraId="3156D63C">
      <w:pPr>
        <w:spacing w:line="580" w:lineRule="exact"/>
        <w:ind w:firstLine="640"/>
        <w:jc w:val="both"/>
      </w:pPr>
      <w:r>
        <w:rPr>
          <w:rFonts w:ascii="仿宋_GB2312" w:hAnsi="仿宋_GB2312" w:eastAsia="仿宋_GB2312"/>
          <w:sz w:val="32"/>
        </w:rPr>
        <w:t>5.积极做好群众基本医疗服务、技术指导、康复等工作。</w:t>
      </w:r>
    </w:p>
    <w:p w14:paraId="721AB5DA">
      <w:pPr>
        <w:spacing w:line="580" w:lineRule="exact"/>
        <w:ind w:firstLine="640"/>
        <w:jc w:val="both"/>
      </w:pPr>
      <w:r>
        <w:rPr>
          <w:rFonts w:ascii="仿宋_GB2312" w:hAnsi="仿宋_GB2312" w:eastAsia="仿宋_GB2312"/>
          <w:sz w:val="32"/>
        </w:rPr>
        <w:t>6.开展爱国卫生运动，普及疾病预防和卫生保健知识，指导群众改善居住、饮食、饮水和环境卫生条件，引导和帮助农民建立良好的卫生习惯。</w:t>
      </w:r>
    </w:p>
    <w:p w14:paraId="5CFECBDA">
      <w:pPr>
        <w:spacing w:line="640" w:lineRule="exact"/>
        <w:ind w:firstLine="640"/>
        <w:jc w:val="both"/>
        <w:outlineLvl w:val="2"/>
      </w:pPr>
      <w:r>
        <w:rPr>
          <w:rFonts w:ascii="黑体" w:hAnsi="黑体" w:eastAsia="黑体"/>
          <w:sz w:val="32"/>
        </w:rPr>
        <w:t>二、机构设置及人员情况</w:t>
      </w:r>
    </w:p>
    <w:p w14:paraId="3CD0EBAB">
      <w:pPr>
        <w:spacing w:line="580" w:lineRule="exact"/>
        <w:ind w:firstLine="640"/>
        <w:jc w:val="both"/>
      </w:pPr>
      <w:r>
        <w:rPr>
          <w:rFonts w:ascii="仿宋_GB2312" w:hAnsi="仿宋_GB2312" w:eastAsia="仿宋_GB2312"/>
          <w:sz w:val="32"/>
        </w:rPr>
        <w:t>叶城县柯克亚乡卫生院2024年度，实有人数34人，其中：在职人员28人，减少1人；离休人员0人，增加0人；退休人员6人,减少1人。</w:t>
      </w:r>
    </w:p>
    <w:p w14:paraId="28CFDDB7">
      <w:pPr>
        <w:spacing w:line="580" w:lineRule="exact"/>
        <w:ind w:firstLine="640"/>
        <w:jc w:val="both"/>
      </w:pPr>
      <w:r>
        <w:rPr>
          <w:rFonts w:ascii="仿宋_GB2312" w:hAnsi="仿宋_GB2312" w:eastAsia="仿宋_GB2312"/>
          <w:sz w:val="32"/>
        </w:rPr>
        <w:t>叶城县柯克亚乡卫生院无下属预算单位，下设9个科室，分别是：办公室、财务科、业务科、住院部、药剂科、检验科、放射科、公共卫生科、体检科。</w:t>
      </w:r>
    </w:p>
    <w:p w14:paraId="37C71AA6">
      <w:r>
        <w:br w:type="page"/>
      </w:r>
    </w:p>
    <w:p w14:paraId="6BE6B4EB">
      <w:pPr>
        <w:spacing w:line="240" w:lineRule="auto"/>
        <w:jc w:val="center"/>
        <w:outlineLvl w:val="1"/>
      </w:pPr>
      <w:r>
        <w:rPr>
          <w:rFonts w:ascii="黑体" w:hAnsi="黑体" w:eastAsia="黑体"/>
          <w:sz w:val="32"/>
        </w:rPr>
        <w:t>第二部分 部门决算情况说明</w:t>
      </w:r>
    </w:p>
    <w:p w14:paraId="09F697EA">
      <w:pPr>
        <w:spacing w:line="640" w:lineRule="exact"/>
        <w:ind w:firstLine="640"/>
        <w:jc w:val="both"/>
        <w:outlineLvl w:val="2"/>
      </w:pPr>
      <w:r>
        <w:rPr>
          <w:rFonts w:ascii="黑体" w:hAnsi="黑体" w:eastAsia="黑体"/>
          <w:sz w:val="32"/>
        </w:rPr>
        <w:t>一、收入支出决算总体情况说明</w:t>
      </w:r>
    </w:p>
    <w:p w14:paraId="1C6B937D">
      <w:pPr>
        <w:spacing w:line="580" w:lineRule="exact"/>
        <w:ind w:firstLine="640"/>
        <w:jc w:val="both"/>
      </w:pPr>
      <w:r>
        <w:rPr>
          <w:rFonts w:ascii="仿宋_GB2312" w:hAnsi="仿宋_GB2312" w:eastAsia="仿宋_GB2312"/>
          <w:b/>
          <w:sz w:val="32"/>
        </w:rPr>
        <w:t>2024年度收入总计840.30万元，</w:t>
      </w:r>
      <w:r>
        <w:rPr>
          <w:rFonts w:ascii="仿宋_GB2312" w:hAnsi="仿宋_GB2312" w:eastAsia="仿宋_GB2312"/>
          <w:b w:val="0"/>
          <w:sz w:val="32"/>
        </w:rPr>
        <w:t>其中：本年收入合计840.30万元，使用非财政拨款结余（含专用结余）0.00万元，年初结转和结余0.00万元。</w:t>
      </w:r>
    </w:p>
    <w:p w14:paraId="21F5814D">
      <w:pPr>
        <w:spacing w:line="580" w:lineRule="exact"/>
        <w:ind w:firstLine="640"/>
        <w:jc w:val="both"/>
      </w:pPr>
      <w:r>
        <w:rPr>
          <w:rFonts w:ascii="仿宋_GB2312" w:hAnsi="仿宋_GB2312" w:eastAsia="仿宋_GB2312"/>
          <w:b/>
          <w:sz w:val="32"/>
        </w:rPr>
        <w:t>2024年度支出总计840.30万元，</w:t>
      </w:r>
      <w:r>
        <w:rPr>
          <w:rFonts w:ascii="仿宋_GB2312" w:hAnsi="仿宋_GB2312" w:eastAsia="仿宋_GB2312"/>
          <w:b w:val="0"/>
          <w:sz w:val="32"/>
        </w:rPr>
        <w:t>其中：本年支出合计840.30万元，结余分配0.00万元，年末结转和结余0.00万元。</w:t>
      </w:r>
    </w:p>
    <w:p w14:paraId="2B9412F3">
      <w:pPr>
        <w:spacing w:line="580" w:lineRule="exact"/>
        <w:ind w:firstLine="640"/>
        <w:jc w:val="both"/>
      </w:pPr>
      <w:r>
        <w:rPr>
          <w:rFonts w:ascii="仿宋_GB2312" w:hAnsi="仿宋_GB2312" w:eastAsia="仿宋_GB2312"/>
          <w:b w:val="0"/>
          <w:sz w:val="32"/>
        </w:rPr>
        <w:t>收入支出总体与上年相比，减少69.30万元，下降7.62%，主要原因是：本年在职人员较上年减少，相应人员经费减少；本年减少发放在职人员津贴补贴及奖励金。</w:t>
      </w:r>
    </w:p>
    <w:p w14:paraId="2930FBAA">
      <w:pPr>
        <w:spacing w:line="640" w:lineRule="exact"/>
        <w:ind w:firstLine="640"/>
        <w:jc w:val="both"/>
        <w:outlineLvl w:val="2"/>
      </w:pPr>
      <w:r>
        <w:rPr>
          <w:rFonts w:ascii="黑体" w:hAnsi="黑体" w:eastAsia="黑体"/>
          <w:sz w:val="32"/>
        </w:rPr>
        <w:t>二、收入决算情况说明</w:t>
      </w:r>
    </w:p>
    <w:p w14:paraId="6F70D1DA">
      <w:pPr>
        <w:spacing w:line="580" w:lineRule="exact"/>
        <w:ind w:firstLine="640"/>
        <w:jc w:val="both"/>
      </w:pPr>
      <w:r>
        <w:rPr>
          <w:rFonts w:ascii="仿宋_GB2312" w:hAnsi="仿宋_GB2312" w:eastAsia="仿宋_GB2312"/>
          <w:b/>
          <w:sz w:val="32"/>
        </w:rPr>
        <w:t>本年收入840.30万元，</w:t>
      </w:r>
      <w:r>
        <w:rPr>
          <w:rFonts w:ascii="仿宋_GB2312" w:hAnsi="仿宋_GB2312" w:eastAsia="仿宋_GB2312"/>
          <w:b w:val="0"/>
          <w:sz w:val="32"/>
        </w:rPr>
        <w:t>其中：财政拨款收入665.37万元，占79.18%；上级补助收入0.00万元，占0.00%；事业收入174.93万元，占20.82%；经营收入0.00万元，占0.00%；附属单位上缴收入0.00万元，占0.00%；其他收入0.00万元，占0.00%。</w:t>
      </w:r>
    </w:p>
    <w:p w14:paraId="388DE1C7">
      <w:pPr>
        <w:spacing w:line="640" w:lineRule="exact"/>
        <w:ind w:firstLine="640"/>
        <w:jc w:val="both"/>
        <w:outlineLvl w:val="2"/>
      </w:pPr>
      <w:r>
        <w:rPr>
          <w:rFonts w:ascii="黑体" w:hAnsi="黑体" w:eastAsia="黑体"/>
          <w:sz w:val="32"/>
        </w:rPr>
        <w:t>三、支出决算情况说明</w:t>
      </w:r>
    </w:p>
    <w:p w14:paraId="3D58E402">
      <w:pPr>
        <w:spacing w:line="580" w:lineRule="exact"/>
        <w:ind w:firstLine="640"/>
        <w:jc w:val="both"/>
      </w:pPr>
      <w:r>
        <w:rPr>
          <w:rFonts w:ascii="仿宋_GB2312" w:hAnsi="仿宋_GB2312" w:eastAsia="仿宋_GB2312"/>
          <w:b/>
          <w:sz w:val="32"/>
        </w:rPr>
        <w:t>本年支出840.30万元，</w:t>
      </w:r>
      <w:r>
        <w:rPr>
          <w:rFonts w:ascii="仿宋_GB2312" w:hAnsi="仿宋_GB2312" w:eastAsia="仿宋_GB2312"/>
          <w:b w:val="0"/>
          <w:sz w:val="32"/>
        </w:rPr>
        <w:t>其中：基本支出536.52万元，占63.85%；项目支出303.79万元，占36.15%；上缴上级支出0.00万元，占0.00%；经营支出0.00万元，占0.00%；对附属单位补助支出0.00万元，占0.00%。</w:t>
      </w:r>
    </w:p>
    <w:p w14:paraId="04BC3955">
      <w:pPr>
        <w:spacing w:line="640" w:lineRule="exact"/>
        <w:ind w:firstLine="640"/>
        <w:jc w:val="both"/>
        <w:outlineLvl w:val="2"/>
      </w:pPr>
      <w:r>
        <w:rPr>
          <w:rFonts w:ascii="黑体" w:hAnsi="黑体" w:eastAsia="黑体"/>
          <w:sz w:val="32"/>
        </w:rPr>
        <w:t>四、财政拨款收入支出决算总体情况说明</w:t>
      </w:r>
    </w:p>
    <w:p w14:paraId="485708DB">
      <w:pPr>
        <w:spacing w:line="580" w:lineRule="exact"/>
        <w:ind w:firstLine="640"/>
        <w:jc w:val="both"/>
      </w:pPr>
      <w:r>
        <w:rPr>
          <w:rFonts w:ascii="仿宋_GB2312" w:hAnsi="仿宋_GB2312" w:eastAsia="仿宋_GB2312"/>
          <w:b/>
          <w:sz w:val="32"/>
        </w:rPr>
        <w:t>2024年度财政拨款收入总计665.37万元，</w:t>
      </w:r>
      <w:r>
        <w:rPr>
          <w:rFonts w:ascii="仿宋_GB2312" w:hAnsi="仿宋_GB2312" w:eastAsia="仿宋_GB2312"/>
          <w:b w:val="0"/>
          <w:sz w:val="32"/>
        </w:rPr>
        <w:t>其中：年初财政拨款结转和结余0.00万元，本年财政拨款收入665.37万元。</w:t>
      </w:r>
      <w:r>
        <w:rPr>
          <w:rFonts w:ascii="仿宋_GB2312" w:hAnsi="仿宋_GB2312" w:eastAsia="仿宋_GB2312"/>
          <w:b/>
          <w:sz w:val="32"/>
        </w:rPr>
        <w:t>财政拨款支出总计665.37万元，</w:t>
      </w:r>
      <w:r>
        <w:rPr>
          <w:rFonts w:ascii="仿宋_GB2312" w:hAnsi="仿宋_GB2312" w:eastAsia="仿宋_GB2312"/>
          <w:b w:val="0"/>
          <w:sz w:val="32"/>
        </w:rPr>
        <w:t>其中：年末财政拨款结转和结余0.00万元，本年财政拨款支出665.37万元。</w:t>
      </w:r>
    </w:p>
    <w:p w14:paraId="13DE9E6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减少100.42万元，下降13.11%，主要原因是：本年在职人员较上年减少，相应人员经费减少；本年减少发放在职人员津贴补贴及奖励金。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561.72万元，决算数665.37万元，预决算差异率18.45%，主要原因是：年中追加人员工资、社保、公积金基数调增部分资金及2024年基本药物制度补助资金项目、2024年基本公共卫生服务项目、2024年全民健康体检服务项目。</w:t>
      </w:r>
    </w:p>
    <w:p w14:paraId="70DDF7D3">
      <w:pPr>
        <w:spacing w:line="640" w:lineRule="exact"/>
        <w:ind w:firstLine="640"/>
        <w:jc w:val="both"/>
        <w:outlineLvl w:val="2"/>
      </w:pPr>
      <w:r>
        <w:rPr>
          <w:rFonts w:ascii="黑体" w:hAnsi="黑体" w:eastAsia="黑体"/>
          <w:sz w:val="32"/>
        </w:rPr>
        <w:t>五、一般公共预算财政拨款支出决算情况说明</w:t>
      </w:r>
    </w:p>
    <w:p w14:paraId="12F8F82C">
      <w:pPr>
        <w:spacing w:line="640" w:lineRule="exact"/>
        <w:ind w:firstLine="640"/>
        <w:jc w:val="both"/>
        <w:outlineLvl w:val="3"/>
      </w:pPr>
      <w:r>
        <w:rPr>
          <w:rFonts w:ascii="楷体_GB2312" w:hAnsi="楷体_GB2312" w:eastAsia="楷体_GB2312"/>
          <w:b/>
          <w:sz w:val="32"/>
        </w:rPr>
        <w:t>（一）一般公共预算财政拨款支出决算总体情况</w:t>
      </w:r>
    </w:p>
    <w:p w14:paraId="11C48D71">
      <w:pPr>
        <w:spacing w:line="580" w:lineRule="exact"/>
        <w:ind w:firstLine="640"/>
        <w:jc w:val="both"/>
      </w:pPr>
      <w:r>
        <w:rPr>
          <w:rFonts w:ascii="仿宋_GB2312" w:hAnsi="仿宋_GB2312" w:eastAsia="仿宋_GB2312"/>
          <w:b/>
          <w:sz w:val="32"/>
        </w:rPr>
        <w:t>2024年度一般公共预算财政拨款支出665.17万元，</w:t>
      </w:r>
      <w:r>
        <w:rPr>
          <w:rFonts w:ascii="仿宋_GB2312" w:hAnsi="仿宋_GB2312" w:eastAsia="仿宋_GB2312"/>
          <w:b w:val="0"/>
          <w:sz w:val="32"/>
        </w:rPr>
        <w:t>占本年支出合计的79.16%。</w:t>
      </w:r>
      <w:r>
        <w:rPr>
          <w:rFonts w:ascii="仿宋_GB2312" w:hAnsi="仿宋_GB2312" w:eastAsia="仿宋_GB2312"/>
          <w:b/>
          <w:sz w:val="32"/>
        </w:rPr>
        <w:t>与上年相比，</w:t>
      </w:r>
      <w:r>
        <w:rPr>
          <w:rFonts w:ascii="仿宋_GB2312" w:hAnsi="仿宋_GB2312" w:eastAsia="仿宋_GB2312"/>
          <w:b w:val="0"/>
          <w:sz w:val="32"/>
        </w:rPr>
        <w:t>减少100.62万元，下降13.14%，主要原因是：本年在职人员较上年减少，相应人员经费减少；本年减少发放在职人员津贴补贴及奖励金。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561.72万元，决算数665.17万元，预决算差异率18.42%，主要原因是：年中追加人员工资、社保、公积金基数调增部分资金及2024年基本药物制度补助资金项目、2024年基本公共卫生服务项目、2024年全民健康体检服务项目。</w:t>
      </w:r>
    </w:p>
    <w:p w14:paraId="61AEDD42">
      <w:pPr>
        <w:spacing w:line="640" w:lineRule="exact"/>
        <w:ind w:firstLine="640"/>
        <w:jc w:val="both"/>
        <w:outlineLvl w:val="3"/>
      </w:pPr>
      <w:r>
        <w:rPr>
          <w:rFonts w:ascii="楷体_GB2312" w:hAnsi="楷体_GB2312" w:eastAsia="楷体_GB2312"/>
          <w:b/>
          <w:sz w:val="32"/>
        </w:rPr>
        <w:t>（二）一般公共预算财政拨款支出决算结构情况</w:t>
      </w:r>
    </w:p>
    <w:p w14:paraId="645D5A59">
      <w:pPr>
        <w:spacing w:line="580" w:lineRule="exact"/>
        <w:ind w:firstLine="640"/>
        <w:jc w:val="both"/>
      </w:pPr>
      <w:r>
        <w:rPr>
          <w:rFonts w:ascii="仿宋_GB2312" w:hAnsi="仿宋_GB2312" w:eastAsia="仿宋_GB2312"/>
          <w:b w:val="0"/>
          <w:sz w:val="32"/>
        </w:rPr>
        <w:t>1.社会保障和就业支出(类)55.61万元,占8.36%。</w:t>
      </w:r>
    </w:p>
    <w:p w14:paraId="1E940F24">
      <w:pPr>
        <w:spacing w:line="580" w:lineRule="exact"/>
        <w:ind w:firstLine="640"/>
        <w:jc w:val="both"/>
      </w:pPr>
      <w:r>
        <w:rPr>
          <w:rFonts w:ascii="仿宋_GB2312" w:hAnsi="仿宋_GB2312" w:eastAsia="仿宋_GB2312"/>
          <w:b w:val="0"/>
          <w:sz w:val="32"/>
        </w:rPr>
        <w:t>2.卫生健康支出(类)609.57万元,占91.64%。</w:t>
      </w:r>
    </w:p>
    <w:p w14:paraId="11C8B544">
      <w:pPr>
        <w:spacing w:line="640" w:lineRule="exact"/>
        <w:ind w:firstLine="640"/>
        <w:jc w:val="both"/>
        <w:outlineLvl w:val="3"/>
      </w:pPr>
      <w:r>
        <w:rPr>
          <w:rFonts w:ascii="楷体_GB2312" w:hAnsi="楷体_GB2312" w:eastAsia="楷体_GB2312"/>
          <w:b/>
          <w:sz w:val="32"/>
        </w:rPr>
        <w:t>（三）一般公共预算财政拨款支出决算具体情况</w:t>
      </w:r>
    </w:p>
    <w:p w14:paraId="509756DF">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55.61万元，比上年决算增加10.80万元，增长24.10%,主要原因是：本年在职人员工资基数调增，养老缴费基数上涨，相应支出增加。</w:t>
      </w:r>
    </w:p>
    <w:p w14:paraId="66F3DBBB">
      <w:pPr>
        <w:spacing w:line="580" w:lineRule="exact"/>
        <w:ind w:firstLine="640"/>
        <w:jc w:val="both"/>
      </w:pPr>
      <w:r>
        <w:rPr>
          <w:rFonts w:ascii="仿宋_GB2312" w:hAnsi="仿宋_GB2312" w:eastAsia="仿宋_GB2312"/>
          <w:b w:val="0"/>
          <w:sz w:val="32"/>
        </w:rPr>
        <w:t>2.卫生健康支出(类)基层医疗卫生机构(款)乡镇卫生院(项):支出决算数为480.91万元，比上年决算减少140.42万元，下降22.60%,主要原因是：本年在职人员较上年减少，相应人员经费减少；本年减少发放在职人员津贴补贴及奖励金。</w:t>
      </w:r>
    </w:p>
    <w:p w14:paraId="13F7D3AC">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3.卫生健康支出(类)基层医疗卫生机构(款)其他基层医疗卫生机构支出(项):支出决算数为9.80万元，比上年决算减少1.23万元，下降11.15%,主要原因是：本年基本药物制度补助资金项目经费较上年减少。</w:t>
      </w:r>
    </w:p>
    <w:p w14:paraId="172884CC">
      <w:pPr>
        <w:spacing w:line="580" w:lineRule="exact"/>
        <w:ind w:firstLine="640"/>
        <w:jc w:val="both"/>
      </w:pPr>
      <w:r>
        <w:rPr>
          <w:rFonts w:ascii="仿宋_GB2312" w:hAnsi="仿宋_GB2312" w:eastAsia="仿宋_GB2312"/>
          <w:b w:val="0"/>
          <w:sz w:val="32"/>
        </w:rPr>
        <w:t>4.卫生健康支出(类)公共卫生(款)基本公共卫生服务(项):支出决算数为68.70万元，比上年决算增加19.97万元，增长40.98%,主要原因是：本年增加基本卫生服务用于村医、聘用人员工资及社保、单位运作、医用设备材料等项目。</w:t>
      </w:r>
    </w:p>
    <w:p w14:paraId="2FA08835">
      <w:pPr>
        <w:spacing w:line="580" w:lineRule="exact"/>
        <w:ind w:firstLine="640"/>
        <w:jc w:val="both"/>
      </w:pPr>
      <w:r>
        <w:rPr>
          <w:rFonts w:ascii="仿宋_GB2312" w:hAnsi="仿宋_GB2312" w:eastAsia="仿宋_GB2312"/>
          <w:b w:val="0"/>
          <w:sz w:val="32"/>
        </w:rPr>
        <w:t>5.卫生健康支出(类)公共卫生(款)重大公共卫生服务(项):支出决算数为0.35万元，比上年决算增加0.35万元，增长100.00%,主要原因是：本年增加2024年重大传染病防控经费项目。</w:t>
      </w:r>
    </w:p>
    <w:p w14:paraId="1B15E6FA">
      <w:pPr>
        <w:spacing w:line="580" w:lineRule="exact"/>
        <w:ind w:firstLine="640"/>
        <w:jc w:val="both"/>
      </w:pPr>
      <w:r>
        <w:rPr>
          <w:rFonts w:ascii="仿宋_GB2312" w:hAnsi="仿宋_GB2312" w:eastAsia="仿宋_GB2312"/>
          <w:b w:val="0"/>
          <w:sz w:val="32"/>
        </w:rPr>
        <w:t>6.卫生健康支出(类)公共卫生(款)其他公共卫生支出(项):支出决算数为48.74万元，比上年决算增加8.86万元，增长22.22%,主要原因是：本年增加2024年全民健康体检服务项</w:t>
      </w:r>
      <w:r>
        <w:rPr>
          <w:rFonts w:hint="eastAsia" w:ascii="仿宋_GB2312" w:hAnsi="仿宋_GB2312" w:eastAsia="仿宋_GB2312"/>
          <w:b w:val="0"/>
          <w:sz w:val="32"/>
          <w:lang w:eastAsia="zh-CN"/>
        </w:rPr>
        <w:t>目</w:t>
      </w:r>
      <w:r>
        <w:rPr>
          <w:rFonts w:ascii="仿宋_GB2312" w:hAnsi="仿宋_GB2312" w:eastAsia="仿宋_GB2312"/>
          <w:b w:val="0"/>
          <w:sz w:val="32"/>
        </w:rPr>
        <w:t>。</w:t>
      </w:r>
    </w:p>
    <w:p w14:paraId="4D3A572B">
      <w:pPr>
        <w:spacing w:line="580" w:lineRule="exact"/>
        <w:ind w:firstLine="640"/>
        <w:jc w:val="both"/>
      </w:pPr>
      <w:r>
        <w:rPr>
          <w:rFonts w:ascii="仿宋_GB2312" w:hAnsi="仿宋_GB2312" w:eastAsia="仿宋_GB2312"/>
          <w:b w:val="0"/>
          <w:sz w:val="32"/>
        </w:rPr>
        <w:t>7.卫生健康支出(类)计划生育事务(款)</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服务(项):支出决算数为1.06万元，比上年决算增加1.06万元，增长100.00%,主要原因是：本年增加2024年技术服务补助项目。</w:t>
      </w:r>
    </w:p>
    <w:p w14:paraId="27A28B59">
      <w:pPr>
        <w:spacing w:line="640" w:lineRule="exact"/>
        <w:ind w:firstLine="640"/>
        <w:jc w:val="both"/>
        <w:outlineLvl w:val="2"/>
      </w:pPr>
      <w:r>
        <w:rPr>
          <w:rFonts w:ascii="黑体" w:hAnsi="黑体" w:eastAsia="黑体"/>
          <w:sz w:val="32"/>
        </w:rPr>
        <w:t>六、一般公共预算财政拨款基本支出决算情况说明</w:t>
      </w:r>
    </w:p>
    <w:p w14:paraId="17C35A7D">
      <w:pPr>
        <w:spacing w:line="580" w:lineRule="exact"/>
        <w:ind w:firstLine="640"/>
        <w:jc w:val="both"/>
      </w:pPr>
      <w:r>
        <w:rPr>
          <w:rFonts w:ascii="仿宋_GB2312" w:hAnsi="仿宋_GB2312" w:eastAsia="仿宋_GB2312"/>
          <w:b w:val="0"/>
          <w:sz w:val="32"/>
        </w:rPr>
        <w:t>2024年度一般公共预算财政拨款基本支出536.52万元，其中：</w:t>
      </w:r>
      <w:r>
        <w:rPr>
          <w:rFonts w:ascii="仿宋_GB2312" w:hAnsi="仿宋_GB2312" w:eastAsia="仿宋_GB2312"/>
          <w:b/>
          <w:sz w:val="32"/>
        </w:rPr>
        <w:t>人员经费536.52万元，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4AE1DF3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091991E">
      <w:pPr>
        <w:spacing w:line="640" w:lineRule="exact"/>
        <w:ind w:firstLine="640"/>
        <w:jc w:val="both"/>
        <w:outlineLvl w:val="2"/>
      </w:pPr>
      <w:r>
        <w:rPr>
          <w:rFonts w:ascii="黑体" w:hAnsi="黑体" w:eastAsia="黑体"/>
          <w:sz w:val="32"/>
        </w:rPr>
        <w:t>七、政府性基金预算财政拨款收入支出决算情况说明</w:t>
      </w:r>
    </w:p>
    <w:p w14:paraId="36C2A235">
      <w:pPr>
        <w:spacing w:line="580" w:lineRule="exact"/>
        <w:ind w:firstLine="640"/>
        <w:jc w:val="both"/>
      </w:pPr>
      <w:r>
        <w:rPr>
          <w:rFonts w:ascii="仿宋_GB2312" w:hAnsi="仿宋_GB2312" w:eastAsia="仿宋_GB2312"/>
          <w:b/>
          <w:sz w:val="32"/>
        </w:rPr>
        <w:t>2024年度政府性基金预算财政拨款收入总计0.20万元，</w:t>
      </w:r>
      <w:r>
        <w:rPr>
          <w:rFonts w:ascii="仿宋_GB2312" w:hAnsi="仿宋_GB2312" w:eastAsia="仿宋_GB2312"/>
          <w:b w:val="0"/>
          <w:sz w:val="32"/>
        </w:rPr>
        <w:t>其中：年初结转和结余0.00万元，本年收入0.20万元。</w:t>
      </w:r>
      <w:r>
        <w:rPr>
          <w:rFonts w:ascii="仿宋_GB2312" w:hAnsi="仿宋_GB2312" w:eastAsia="仿宋_GB2312"/>
          <w:b/>
          <w:sz w:val="32"/>
        </w:rPr>
        <w:t>政府性基金预算财政拨款支出总计0.20万元，</w:t>
      </w:r>
      <w:r>
        <w:rPr>
          <w:rFonts w:ascii="仿宋_GB2312" w:hAnsi="仿宋_GB2312" w:eastAsia="仿宋_GB2312"/>
          <w:b w:val="0"/>
          <w:sz w:val="32"/>
        </w:rPr>
        <w:t>其中：年末结转和结余0.00万元，本年支出0.20万元。</w:t>
      </w:r>
    </w:p>
    <w:p w14:paraId="495E436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增加0.20万元，增长100.00%，主要原因是：本年增加2024年老年健康与医养结合服务项目。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年初预算数0.00万元，决算数0.20万元，预决算差异率100.00%，主要原因是：年中追加2024年老年健康与医养结合服务项目。</w:t>
      </w:r>
    </w:p>
    <w:p w14:paraId="455AD960">
      <w:pPr>
        <w:spacing w:line="580" w:lineRule="exact"/>
        <w:ind w:firstLine="640"/>
        <w:jc w:val="both"/>
      </w:pPr>
      <w:r>
        <w:rPr>
          <w:rFonts w:ascii="仿宋_GB2312" w:hAnsi="仿宋_GB2312" w:eastAsia="仿宋_GB2312"/>
          <w:b w:val="0"/>
          <w:sz w:val="32"/>
        </w:rPr>
        <w:t>政府性基金预算财政拨款支出0.20万元。</w:t>
      </w:r>
    </w:p>
    <w:p w14:paraId="69449644">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1.其他支出(类)彩票公益金安排的支出(款)用于社会福利的彩票公益金支出(项):支出决算数为0.20万元，比上年决算增加0.20万元，增长100.00%,主要原因是：本年增加2024年老年健康与医养结合服务项目。</w:t>
      </w:r>
    </w:p>
    <w:p w14:paraId="4E036A6F">
      <w:pPr>
        <w:spacing w:line="640" w:lineRule="exact"/>
        <w:ind w:firstLine="640"/>
        <w:jc w:val="both"/>
        <w:outlineLvl w:val="2"/>
      </w:pPr>
      <w:r>
        <w:rPr>
          <w:rFonts w:ascii="黑体" w:hAnsi="黑体" w:eastAsia="黑体"/>
          <w:sz w:val="32"/>
        </w:rPr>
        <w:t>八、国有资本经营预算财政拨款收入支出决算情况说明</w:t>
      </w:r>
    </w:p>
    <w:p w14:paraId="2508752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CA1AF3">
      <w:pPr>
        <w:spacing w:line="640" w:lineRule="exact"/>
        <w:ind w:firstLine="640"/>
        <w:jc w:val="both"/>
        <w:outlineLvl w:val="2"/>
      </w:pPr>
      <w:r>
        <w:rPr>
          <w:rFonts w:ascii="黑体" w:hAnsi="黑体" w:eastAsia="黑体"/>
          <w:sz w:val="32"/>
        </w:rPr>
        <w:t>九、财政拨款“三公”经费支出决算情况说明</w:t>
      </w:r>
    </w:p>
    <w:p w14:paraId="5ABCFEF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C57D972">
      <w:pPr>
        <w:spacing w:line="580" w:lineRule="exact"/>
        <w:ind w:firstLine="640"/>
        <w:jc w:val="both"/>
      </w:pPr>
      <w:r>
        <w:rPr>
          <w:rFonts w:ascii="仿宋_GB2312" w:hAnsi="仿宋_GB2312" w:eastAsia="仿宋_GB2312"/>
          <w:b/>
          <w:sz w:val="32"/>
        </w:rPr>
        <w:t>具体情况如下：</w:t>
      </w:r>
    </w:p>
    <w:p w14:paraId="746D25B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1E096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差异车辆为一般业务用车，预算未安排公务用车运行维护费。</w:t>
      </w:r>
    </w:p>
    <w:p w14:paraId="193AE60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66648F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FFFB405">
      <w:pPr>
        <w:spacing w:line="640" w:lineRule="exact"/>
        <w:ind w:firstLine="640"/>
        <w:jc w:val="both"/>
        <w:outlineLvl w:val="2"/>
      </w:pPr>
      <w:r>
        <w:rPr>
          <w:rFonts w:ascii="黑体" w:hAnsi="黑体" w:eastAsia="黑体"/>
          <w:sz w:val="32"/>
        </w:rPr>
        <w:t>十、其他重要事项的情况说明</w:t>
      </w:r>
    </w:p>
    <w:p w14:paraId="0E93F065">
      <w:pPr>
        <w:spacing w:line="640" w:lineRule="exact"/>
        <w:ind w:firstLine="640"/>
        <w:jc w:val="both"/>
        <w:outlineLvl w:val="3"/>
      </w:pPr>
      <w:r>
        <w:rPr>
          <w:rFonts w:ascii="楷体_GB2312" w:hAnsi="楷体_GB2312" w:eastAsia="楷体_GB2312"/>
          <w:b/>
          <w:sz w:val="32"/>
        </w:rPr>
        <w:t>（一）机关运行经费及公用经费支出情况</w:t>
      </w:r>
    </w:p>
    <w:p w14:paraId="1EBDAA95">
      <w:pPr>
        <w:spacing w:line="580" w:lineRule="exact"/>
        <w:ind w:firstLine="640"/>
        <w:jc w:val="both"/>
      </w:pPr>
      <w:r>
        <w:rPr>
          <w:rFonts w:ascii="仿宋_GB2312" w:hAnsi="仿宋_GB2312" w:eastAsia="仿宋_GB2312"/>
          <w:b w:val="0"/>
          <w:sz w:val="32"/>
        </w:rPr>
        <w:t>2024年度叶城县柯克亚乡卫生院（事业单位）公用经费支出0.00万元，比上年增加0.00万元，增长0.00%，主要原因是：2023年与2024年均未安排公用经费支出。</w:t>
      </w:r>
    </w:p>
    <w:p w14:paraId="26C2F35A">
      <w:pPr>
        <w:spacing w:line="640" w:lineRule="exact"/>
        <w:ind w:firstLine="640"/>
        <w:jc w:val="both"/>
        <w:outlineLvl w:val="3"/>
      </w:pPr>
      <w:r>
        <w:rPr>
          <w:rFonts w:ascii="楷体_GB2312" w:hAnsi="楷体_GB2312" w:eastAsia="楷体_GB2312"/>
          <w:b/>
          <w:sz w:val="32"/>
        </w:rPr>
        <w:t>（二）政府采购情况</w:t>
      </w:r>
    </w:p>
    <w:p w14:paraId="68175F50">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743078D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222F023">
      <w:pPr>
        <w:spacing w:line="640" w:lineRule="exact"/>
        <w:ind w:firstLine="640"/>
        <w:jc w:val="both"/>
        <w:outlineLvl w:val="3"/>
      </w:pPr>
      <w:r>
        <w:rPr>
          <w:rFonts w:ascii="楷体_GB2312" w:hAnsi="楷体_GB2312" w:eastAsia="楷体_GB2312"/>
          <w:b/>
          <w:sz w:val="32"/>
        </w:rPr>
        <w:t>（三）国有资产占用情况说明</w:t>
      </w:r>
    </w:p>
    <w:p w14:paraId="447E6DC4">
      <w:pPr>
        <w:spacing w:line="580" w:lineRule="exact"/>
        <w:ind w:firstLine="640"/>
        <w:jc w:val="both"/>
      </w:pPr>
      <w:r>
        <w:rPr>
          <w:rFonts w:ascii="仿宋_GB2312" w:hAnsi="仿宋_GB2312" w:eastAsia="仿宋_GB2312"/>
          <w:b w:val="0"/>
          <w:sz w:val="32"/>
        </w:rPr>
        <w:t>截至2024年12月31日，房屋2,951.90平方米，价值409.31万元。车辆3辆，价值83.60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0台（套）。</w:t>
      </w:r>
    </w:p>
    <w:p w14:paraId="7629CA80">
      <w:pPr>
        <w:spacing w:line="640" w:lineRule="exact"/>
        <w:ind w:firstLine="640"/>
        <w:jc w:val="both"/>
        <w:outlineLvl w:val="2"/>
      </w:pPr>
      <w:r>
        <w:rPr>
          <w:rFonts w:ascii="黑体" w:hAnsi="黑体" w:eastAsia="黑体"/>
          <w:sz w:val="32"/>
        </w:rPr>
        <w:t>十一、预算绩效的情况说明</w:t>
      </w:r>
    </w:p>
    <w:p w14:paraId="077C29A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无项目绩效自评表。</w:t>
      </w:r>
    </w:p>
    <w:p w14:paraId="5CC39BFA">
      <w:r>
        <w:br w:type="page"/>
      </w:r>
    </w:p>
    <w:p w14:paraId="12A15875">
      <w:pPr>
        <w:spacing w:line="640" w:lineRule="exact"/>
        <w:ind w:firstLine="640"/>
        <w:jc w:val="both"/>
        <w:outlineLvl w:val="2"/>
      </w:pPr>
      <w:r>
        <w:rPr>
          <w:rFonts w:ascii="黑体" w:hAnsi="黑体" w:eastAsia="黑体"/>
          <w:sz w:val="32"/>
        </w:rPr>
        <w:t>十二、其他需说明的事项</w:t>
      </w:r>
    </w:p>
    <w:p w14:paraId="0614350F">
      <w:pPr>
        <w:spacing w:line="580" w:lineRule="exact"/>
        <w:ind w:firstLine="640"/>
        <w:jc w:val="both"/>
        <w:rPr>
          <w:rFonts w:ascii="仿宋_GB2312" w:hAnsi="仿宋_GB2312" w:eastAsia="仿宋_GB2312"/>
          <w:b w:val="0"/>
          <w:sz w:val="32"/>
        </w:rPr>
      </w:pPr>
      <w:r>
        <w:rPr>
          <w:rFonts w:hint="eastAsia" w:ascii="仿宋_GB2312" w:hAnsi="仿宋_GB2312" w:eastAsia="仿宋_GB2312"/>
          <w:b w:val="0"/>
          <w:sz w:val="32"/>
          <w:lang w:eastAsia="zh-CN"/>
        </w:rPr>
        <w:t>本单位</w:t>
      </w:r>
      <w:r>
        <w:rPr>
          <w:rFonts w:ascii="仿宋_GB2312" w:hAnsi="仿宋_GB2312" w:eastAsia="仿宋_GB2312"/>
          <w:b w:val="0"/>
          <w:sz w:val="32"/>
        </w:rPr>
        <w:t>2024年度无政府采购支出，授予中小企业合同金额0.00万元。</w:t>
      </w:r>
      <w:r>
        <w:rPr>
          <w:rFonts w:hint="eastAsia" w:ascii="仿宋_GB2312" w:hAnsi="仿宋_GB2312" w:eastAsia="仿宋_GB2312"/>
          <w:b w:val="0"/>
          <w:sz w:val="32"/>
        </w:rPr>
        <w:t>本年度本单位整体绩效自评表由</w:t>
      </w:r>
      <w:r>
        <w:rPr>
          <w:rFonts w:hint="eastAsia" w:ascii="仿宋_GB2312" w:hAnsi="仿宋_GB2312" w:eastAsia="仿宋_GB2312"/>
          <w:b w:val="0"/>
          <w:sz w:val="32"/>
          <w:lang w:val="en-US" w:eastAsia="zh-CN"/>
        </w:rPr>
        <w:t>卫健委</w:t>
      </w:r>
      <w:r>
        <w:rPr>
          <w:rFonts w:hint="eastAsia" w:ascii="仿宋_GB2312" w:hAnsi="仿宋_GB2312" w:eastAsia="仿宋_GB2312"/>
          <w:b w:val="0"/>
          <w:sz w:val="32"/>
        </w:rPr>
        <w:t>编报并公开。</w:t>
      </w:r>
    </w:p>
    <w:p w14:paraId="41D3D923">
      <w:r>
        <w:br w:type="page"/>
      </w:r>
    </w:p>
    <w:p w14:paraId="28263C9A">
      <w:pPr>
        <w:spacing w:line="240" w:lineRule="auto"/>
        <w:jc w:val="center"/>
        <w:outlineLvl w:val="1"/>
      </w:pPr>
      <w:r>
        <w:rPr>
          <w:rFonts w:ascii="黑体" w:hAnsi="黑体" w:eastAsia="黑体"/>
          <w:sz w:val="32"/>
        </w:rPr>
        <w:t>第三部分 专业名词解释</w:t>
      </w:r>
    </w:p>
    <w:p w14:paraId="0F921B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DEF8D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7D427F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36D8CF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498057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33BC2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82726C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6290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E4D96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EEC8A0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3F1FF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6308BE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EC061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B8DAD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28047A2">
      <w:r>
        <w:br w:type="page"/>
      </w:r>
    </w:p>
    <w:p w14:paraId="03AAA060">
      <w:pPr>
        <w:spacing w:line="240" w:lineRule="auto"/>
        <w:jc w:val="center"/>
        <w:outlineLvl w:val="1"/>
      </w:pPr>
      <w:r>
        <w:rPr>
          <w:rFonts w:ascii="黑体" w:hAnsi="黑体" w:eastAsia="黑体"/>
          <w:sz w:val="32"/>
        </w:rPr>
        <w:t>第四部分 部门决算报表（见附表）</w:t>
      </w:r>
    </w:p>
    <w:p w14:paraId="69DF05A9">
      <w:pPr>
        <w:spacing w:line="240" w:lineRule="auto"/>
        <w:ind w:firstLine="640"/>
        <w:jc w:val="both"/>
      </w:pPr>
      <w:r>
        <w:rPr>
          <w:rFonts w:ascii="仿宋_GB2312" w:hAnsi="仿宋_GB2312" w:eastAsia="仿宋_GB2312"/>
          <w:b w:val="0"/>
          <w:sz w:val="32"/>
        </w:rPr>
        <w:t>一、《收入支出决算总表》</w:t>
      </w:r>
    </w:p>
    <w:p w14:paraId="72CCE3B0">
      <w:pPr>
        <w:spacing w:line="240" w:lineRule="auto"/>
        <w:ind w:firstLine="640"/>
        <w:jc w:val="both"/>
      </w:pPr>
      <w:r>
        <w:rPr>
          <w:rFonts w:ascii="仿宋_GB2312" w:hAnsi="仿宋_GB2312" w:eastAsia="仿宋_GB2312"/>
          <w:b w:val="0"/>
          <w:sz w:val="32"/>
        </w:rPr>
        <w:t>二、《收入决算表》</w:t>
      </w:r>
    </w:p>
    <w:p w14:paraId="191DB60F">
      <w:pPr>
        <w:spacing w:line="240" w:lineRule="auto"/>
        <w:ind w:firstLine="640"/>
        <w:jc w:val="both"/>
      </w:pPr>
      <w:r>
        <w:rPr>
          <w:rFonts w:ascii="仿宋_GB2312" w:hAnsi="仿宋_GB2312" w:eastAsia="仿宋_GB2312"/>
          <w:b w:val="0"/>
          <w:sz w:val="32"/>
        </w:rPr>
        <w:t>三、《支出决算表》</w:t>
      </w:r>
    </w:p>
    <w:p w14:paraId="67F6186E">
      <w:pPr>
        <w:spacing w:line="240" w:lineRule="auto"/>
        <w:ind w:firstLine="640"/>
        <w:jc w:val="both"/>
      </w:pPr>
      <w:r>
        <w:rPr>
          <w:rFonts w:ascii="仿宋_GB2312" w:hAnsi="仿宋_GB2312" w:eastAsia="仿宋_GB2312"/>
          <w:b w:val="0"/>
          <w:sz w:val="32"/>
        </w:rPr>
        <w:t>四、《财政拨款收入支出决算总表》</w:t>
      </w:r>
    </w:p>
    <w:p w14:paraId="04DF0F49">
      <w:pPr>
        <w:spacing w:line="240" w:lineRule="auto"/>
        <w:ind w:firstLine="640"/>
        <w:jc w:val="both"/>
      </w:pPr>
      <w:r>
        <w:rPr>
          <w:rFonts w:ascii="仿宋_GB2312" w:hAnsi="仿宋_GB2312" w:eastAsia="仿宋_GB2312"/>
          <w:b w:val="0"/>
          <w:sz w:val="32"/>
        </w:rPr>
        <w:t>五、《一般公共预算财政拨款支出决算表》</w:t>
      </w:r>
    </w:p>
    <w:p w14:paraId="12E8ADA9">
      <w:pPr>
        <w:spacing w:line="240" w:lineRule="auto"/>
        <w:ind w:firstLine="640"/>
        <w:jc w:val="both"/>
      </w:pPr>
      <w:r>
        <w:rPr>
          <w:rFonts w:ascii="仿宋_GB2312" w:hAnsi="仿宋_GB2312" w:eastAsia="仿宋_GB2312"/>
          <w:b w:val="0"/>
          <w:sz w:val="32"/>
        </w:rPr>
        <w:t>六、《一般公共预算财政拨款基本支出决算表》</w:t>
      </w:r>
    </w:p>
    <w:p w14:paraId="4C852BE1">
      <w:pPr>
        <w:spacing w:line="240" w:lineRule="auto"/>
        <w:ind w:firstLine="640"/>
        <w:jc w:val="both"/>
      </w:pPr>
      <w:r>
        <w:rPr>
          <w:rFonts w:ascii="仿宋_GB2312" w:hAnsi="仿宋_GB2312" w:eastAsia="仿宋_GB2312"/>
          <w:b w:val="0"/>
          <w:sz w:val="32"/>
        </w:rPr>
        <w:t>七、《政府性基金预算财政拨款收入支出决算表》</w:t>
      </w:r>
    </w:p>
    <w:p w14:paraId="6A3CB0D9">
      <w:pPr>
        <w:spacing w:line="240" w:lineRule="auto"/>
        <w:ind w:firstLine="640"/>
        <w:jc w:val="both"/>
      </w:pPr>
      <w:r>
        <w:rPr>
          <w:rFonts w:ascii="仿宋_GB2312" w:hAnsi="仿宋_GB2312" w:eastAsia="仿宋_GB2312"/>
          <w:b w:val="0"/>
          <w:sz w:val="32"/>
        </w:rPr>
        <w:t>八、《国有资本经营预算财政拨款收入支出决算表》</w:t>
      </w:r>
    </w:p>
    <w:p w14:paraId="08E12A94">
      <w:pPr>
        <w:spacing w:line="240" w:lineRule="auto"/>
        <w:ind w:firstLine="640"/>
        <w:jc w:val="both"/>
      </w:pPr>
      <w:r>
        <w:rPr>
          <w:rFonts w:ascii="仿宋_GB2312" w:hAnsi="仿宋_GB2312" w:eastAsia="仿宋_GB2312"/>
          <w:b w:val="0"/>
          <w:sz w:val="32"/>
        </w:rPr>
        <w:t>九、《财政拨款“三公”经费支出决算表》</w:t>
      </w:r>
    </w:p>
    <w:p w14:paraId="289D9883">
      <w:pPr>
        <w:spacing w:line="240" w:lineRule="auto"/>
        <w:ind w:firstLine="640"/>
        <w:jc w:val="both"/>
      </w:pPr>
    </w:p>
    <w:p w14:paraId="1A54F21F">
      <w:pPr>
        <w:spacing w:line="240" w:lineRule="auto"/>
        <w:ind w:firstLine="640"/>
        <w:jc w:val="both"/>
      </w:pPr>
    </w:p>
    <w:p w14:paraId="77BE297D">
      <w:pPr>
        <w:spacing w:line="240" w:lineRule="auto"/>
        <w:ind w:firstLine="640"/>
        <w:jc w:val="both"/>
      </w:pPr>
    </w:p>
    <w:p w14:paraId="43EC5106">
      <w:pPr>
        <w:spacing w:line="240" w:lineRule="auto"/>
        <w:ind w:firstLine="640"/>
        <w:jc w:val="both"/>
      </w:pPr>
    </w:p>
    <w:p w14:paraId="002038E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0903D3"/>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5440</Words>
  <Characters>6161</Characters>
  <Lines>0</Lines>
  <Paragraphs>0</Paragraphs>
  <TotalTime>4</TotalTime>
  <ScaleCrop>false</ScaleCrop>
  <LinksUpToDate>false</LinksUpToDate>
  <CharactersWithSpaces>6171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2025-09-29T10:08:34Z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