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07F0D">
      <w:pPr>
        <w:spacing w:line="570" w:lineRule="exact"/>
        <w:jc w:val="center"/>
        <w:rPr>
          <w:rFonts w:ascii="华文中宋" w:hAnsi="华文中宋" w:eastAsia="华文中宋" w:cs="宋体"/>
          <w:b/>
          <w:kern w:val="0"/>
          <w:sz w:val="52"/>
          <w:szCs w:val="52"/>
        </w:rPr>
      </w:pPr>
    </w:p>
    <w:p w14:paraId="641F8D8F">
      <w:pPr>
        <w:spacing w:line="570" w:lineRule="exact"/>
        <w:jc w:val="center"/>
        <w:rPr>
          <w:rFonts w:ascii="华文中宋" w:hAnsi="华文中宋" w:eastAsia="华文中宋" w:cs="宋体"/>
          <w:b/>
          <w:kern w:val="0"/>
          <w:sz w:val="52"/>
          <w:szCs w:val="52"/>
        </w:rPr>
      </w:pPr>
    </w:p>
    <w:p w14:paraId="0FD30B6A">
      <w:pPr>
        <w:spacing w:line="570" w:lineRule="exact"/>
        <w:jc w:val="center"/>
        <w:rPr>
          <w:rFonts w:ascii="华文中宋" w:hAnsi="华文中宋" w:eastAsia="华文中宋" w:cs="宋体"/>
          <w:b/>
          <w:kern w:val="0"/>
          <w:sz w:val="52"/>
          <w:szCs w:val="52"/>
        </w:rPr>
      </w:pPr>
    </w:p>
    <w:p w14:paraId="2136C108">
      <w:pPr>
        <w:spacing w:line="570" w:lineRule="exact"/>
        <w:jc w:val="center"/>
        <w:rPr>
          <w:rFonts w:ascii="华文中宋" w:hAnsi="华文中宋" w:eastAsia="华文中宋" w:cs="宋体"/>
          <w:b/>
          <w:kern w:val="0"/>
          <w:sz w:val="52"/>
          <w:szCs w:val="52"/>
        </w:rPr>
      </w:pPr>
    </w:p>
    <w:p w14:paraId="678FB645">
      <w:pPr>
        <w:spacing w:line="570" w:lineRule="exact"/>
        <w:jc w:val="both"/>
        <w:rPr>
          <w:rFonts w:ascii="华文中宋" w:hAnsi="华文中宋" w:eastAsia="华文中宋" w:cs="宋体"/>
          <w:b/>
          <w:kern w:val="0"/>
          <w:sz w:val="52"/>
          <w:szCs w:val="52"/>
        </w:rPr>
      </w:pPr>
    </w:p>
    <w:p w14:paraId="555B494A">
      <w:pPr>
        <w:spacing w:line="570" w:lineRule="exact"/>
        <w:jc w:val="center"/>
        <w:rPr>
          <w:rFonts w:ascii="华文中宋" w:hAnsi="华文中宋" w:eastAsia="华文中宋" w:cs="宋体"/>
          <w:b/>
          <w:kern w:val="0"/>
          <w:sz w:val="52"/>
          <w:szCs w:val="52"/>
        </w:rPr>
      </w:pPr>
    </w:p>
    <w:p w14:paraId="5C7F55E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14:paraId="09471EF0">
      <w:pPr>
        <w:spacing w:line="570" w:lineRule="exact"/>
        <w:jc w:val="center"/>
        <w:rPr>
          <w:rFonts w:ascii="华文中宋" w:hAnsi="华文中宋" w:eastAsia="华文中宋" w:cs="宋体"/>
          <w:b/>
          <w:kern w:val="0"/>
          <w:sz w:val="52"/>
          <w:szCs w:val="52"/>
        </w:rPr>
      </w:pPr>
    </w:p>
    <w:p w14:paraId="163790DA">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4E7A074F">
      <w:pPr>
        <w:spacing w:line="570" w:lineRule="exact"/>
        <w:jc w:val="center"/>
        <w:rPr>
          <w:rFonts w:hAnsi="宋体" w:eastAsia="仿宋_GB2312" w:cs="宋体"/>
          <w:kern w:val="0"/>
          <w:sz w:val="30"/>
          <w:szCs w:val="30"/>
        </w:rPr>
      </w:pPr>
    </w:p>
    <w:p w14:paraId="5FDA75CA">
      <w:pPr>
        <w:spacing w:line="570" w:lineRule="exact"/>
        <w:jc w:val="center"/>
        <w:rPr>
          <w:rFonts w:hAnsi="宋体" w:eastAsia="仿宋_GB2312" w:cs="宋体"/>
          <w:kern w:val="0"/>
          <w:sz w:val="30"/>
          <w:szCs w:val="30"/>
        </w:rPr>
      </w:pPr>
    </w:p>
    <w:p w14:paraId="2D65C232">
      <w:pPr>
        <w:spacing w:line="570" w:lineRule="exact"/>
        <w:jc w:val="center"/>
        <w:rPr>
          <w:rFonts w:hAnsi="宋体" w:eastAsia="仿宋_GB2312" w:cs="宋体"/>
          <w:kern w:val="0"/>
          <w:sz w:val="30"/>
          <w:szCs w:val="30"/>
        </w:rPr>
      </w:pPr>
    </w:p>
    <w:p w14:paraId="0FDBBBB6">
      <w:pPr>
        <w:spacing w:line="570" w:lineRule="exact"/>
        <w:jc w:val="center"/>
        <w:rPr>
          <w:rFonts w:hAnsi="宋体" w:eastAsia="仿宋_GB2312" w:cs="宋体"/>
          <w:kern w:val="0"/>
          <w:sz w:val="30"/>
          <w:szCs w:val="30"/>
        </w:rPr>
      </w:pPr>
    </w:p>
    <w:p w14:paraId="36DBAAAD">
      <w:pPr>
        <w:spacing w:line="570" w:lineRule="exact"/>
        <w:jc w:val="center"/>
        <w:rPr>
          <w:rFonts w:hAnsi="宋体" w:eastAsia="仿宋_GB2312" w:cs="宋体"/>
          <w:kern w:val="0"/>
          <w:sz w:val="30"/>
          <w:szCs w:val="30"/>
        </w:rPr>
      </w:pPr>
    </w:p>
    <w:p w14:paraId="07F61280">
      <w:pPr>
        <w:spacing w:line="570" w:lineRule="exact"/>
        <w:jc w:val="center"/>
        <w:rPr>
          <w:rFonts w:hAnsi="宋体" w:eastAsia="仿宋_GB2312" w:cs="宋体"/>
          <w:kern w:val="0"/>
          <w:sz w:val="30"/>
          <w:szCs w:val="30"/>
        </w:rPr>
      </w:pPr>
    </w:p>
    <w:p w14:paraId="6551E056">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2024年困难群众救助补助资金项目</w:t>
      </w:r>
    </w:p>
    <w:p w14:paraId="2340C78C">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叶城县民政局</w:t>
      </w:r>
    </w:p>
    <w:p w14:paraId="7C9A665E">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叶城县民政局</w:t>
      </w:r>
    </w:p>
    <w:p w14:paraId="2442932B">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阿里同古丽·阿吾东</w:t>
      </w:r>
    </w:p>
    <w:p w14:paraId="05DB591E">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2025年03月13日</w:t>
      </w:r>
    </w:p>
    <w:p w14:paraId="4DAC64F3">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550D1D3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128B167">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073BC7A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依据《关于提前下达2024年中央财政困难群众救助补助资金预算的通知》（喀地财社〔2023〕109号）、《关于提前下达2024年自治区财政困难群众救助补助资金预算的通知》（喀地财社〔2023〕110号）等文件规定实施。该项目旨在评价2024年困难群众救助补助资金项目实施前期、过程及效果，评价财政预算资金使用的效率及效益。通过对城乡低保对象、特困对象和其他困难群众工作的综合调查来看，我县城乡困难群众保障范围有增有减，保障标准逐步提高，救助资金发放及时到位，救助有效，各项社会救助制度逐步完善，救助申报及审批程序总体趋于公平、公正、公开，救助政策宣传及施行不断推进，困难群众及低收入群体对政策知晓率逐步提高，对社会救助政策及项目满意度较高，困难群众得到及时帮助，困难群体的根本生活有一定的改善。困难群众救助补助资金为维护社会稳定、社会和谐发挥了积极作用，获得了较好的社会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主要是为叶城县城乡低保户发放低保补助；为流浪乞讨人员进行返乡救助；为城乡特困人员、无人抚养儿童进行集中供养；以及其他困难群众进行临时救助的工作。2024年我单位对低保对象应保尽保，低保资金发放至12月份，对特困对象、孤儿、流浪乞讨人员等困难人员进行救助，对务工返乡困难人员帮助返乡，对支出型和急难型群众进行临时救助，有效保障了社会稳定和谐，做到了切实保障困难群众基本生活得到有效保障和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eastAsia="zh-CN"/>
        </w:rPr>
        <w:t>截至</w:t>
      </w:r>
      <w:r>
        <w:rPr>
          <w:rStyle w:val="18"/>
          <w:rFonts w:hint="eastAsia" w:ascii="仿宋" w:hAnsi="仿宋" w:eastAsia="仿宋" w:cs="仿宋"/>
          <w:b w:val="0"/>
          <w:bCs w:val="0"/>
          <w:spacing w:val="-4"/>
          <w:sz w:val="32"/>
          <w:szCs w:val="32"/>
        </w:rPr>
        <w:t>2024年12月31日，该项目总资金59361万元，到位资金59361万元，执行资金59361万元，执行率100%。城乡居民低保保障率100%,资金到位率100%，特困供养保障率100%。项目已完成主要用于1.规范城乡低保政策实施，合理确定保障标准，使低保对象基本生活得到有效保障。2.统筹城乡特困人员救助供养工作，合理确定保障标准。3.规范实施临时救助政策，实现及时高效、救急解难。 4.为生活无着流浪乞讨人员提供临时食宿、疾病救治、协助返回等救助，并妥善安置返乡受助人员。 5.对流浪未成年人提供特殊优先保护及教育等专业服务，确保其健康成长。 6.对农村留守儿童、困境儿童等存在流浪风险的未成年人及流浪乞讨儿童开展家庭监护评估、监护支持、精神关爱等工作，为其提供临时照料、医疗救治、心理疏导、社会融入、家庭关系</w:t>
      </w:r>
      <w:r>
        <w:rPr>
          <w:rStyle w:val="18"/>
          <w:rFonts w:hint="eastAsia" w:ascii="仿宋" w:hAnsi="仿宋" w:eastAsia="仿宋" w:cs="仿宋"/>
          <w:b w:val="0"/>
          <w:bCs w:val="0"/>
          <w:spacing w:val="-4"/>
          <w:sz w:val="32"/>
          <w:szCs w:val="32"/>
          <w:lang w:eastAsia="zh-CN"/>
        </w:rPr>
        <w:t>调适</w:t>
      </w:r>
      <w:r>
        <w:rPr>
          <w:rStyle w:val="18"/>
          <w:rFonts w:hint="eastAsia" w:ascii="仿宋" w:hAnsi="仿宋" w:eastAsia="仿宋" w:cs="仿宋"/>
          <w:b w:val="0"/>
          <w:bCs w:val="0"/>
          <w:spacing w:val="-4"/>
          <w:sz w:val="32"/>
          <w:szCs w:val="32"/>
        </w:rPr>
        <w:t>、法律援助等专业服务，从源头上预防未成年人外出流浪。7.引导地方提高孤儿生活保障水平，孤儿生活保障政策高效实施，使孤儿、艾滋病病毒感染儿童和事实无人抚养儿童基本生活得到保障。 8.积极为走失、务工不着、家庭暴力受害者等离家在外人员提供帮助。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叶城县民政局为行政机关，纳入2024年部门决算编制范围的有2个办公室，分别是行政办公室和综合办公室：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43人，其中：行政人员编制7人、工勤1人、参公13人、事业编制22人。实有在职人数40人，其中：行政在职7人、工勤1人、参公11人、事业在职21人。退休人员23人，其中：行政退休人员17人，参公退休3人，事业退休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2024年中央财政困难群众救助补助资金预算的通知》（喀地财社〔2023〕109号）安排下达资金48848万元，为中央专项资金；根据《关于提前下达2024年自治区财政困难群众救助补助资金预算的通知》（喀地财社〔2023〕110号）安排下达资金2512万元，为自治区专项资金；根据《关于下达2024年中央财政困难群众救助补助资金预算的通知》（新财社〔2024〕35号）安排下达资金8001万元，为中央专项资金。项目资金总数为59361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截至2024年12月31日，实际支出59361万元，预算执行率100%。</w:t>
      </w:r>
    </w:p>
    <w:p w14:paraId="7F6F6CB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CA68DD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主要用于1.规范城乡低保政策实施，合理确定保障标准，使低保对象基本生活得到有效保障。2.统筹城乡特困人员救助供养工作，合理确定保障标准。3.规范实施临时救助政策，实现及时高效、救急解难。4.为生活无着流浪乞讨人员提供临时食宿、疾病救治、协助返回等救助，并妥善安置返乡受助人员。5.对流浪未成年人提供特殊优先保护及教育等专业服务，确保其健康成长。6.对农村留守儿童、困境儿童等存在流浪风险的未成年人及流浪乞讨儿童开展家庭监护评估、监护支持、精神关爱等工作，为其提供临时照料、医疗救治、心理疏导、社会融入、家庭关系</w:t>
      </w:r>
      <w:r>
        <w:rPr>
          <w:rStyle w:val="18"/>
          <w:rFonts w:hint="eastAsia" w:ascii="仿宋" w:hAnsi="仿宋" w:eastAsia="仿宋" w:cs="仿宋"/>
          <w:b w:val="0"/>
          <w:bCs w:val="0"/>
          <w:spacing w:val="-4"/>
          <w:sz w:val="32"/>
          <w:szCs w:val="32"/>
          <w:lang w:eastAsia="zh-CN"/>
        </w:rPr>
        <w:t>调适</w:t>
      </w:r>
      <w:r>
        <w:rPr>
          <w:rStyle w:val="18"/>
          <w:rFonts w:hint="eastAsia" w:ascii="仿宋" w:hAnsi="仿宋" w:eastAsia="仿宋" w:cs="仿宋"/>
          <w:b w:val="0"/>
          <w:bCs w:val="0"/>
          <w:spacing w:val="-4"/>
          <w:sz w:val="32"/>
          <w:szCs w:val="32"/>
        </w:rPr>
        <w:t>、法律援助等专业服务，从源头上预防未成年人外出流浪。 7.引导地方提高孤儿生活保障水平，孤儿生活保障政策高效实施，使孤儿、艾滋病病毒感染儿童和事实无人抚养儿童基本生活得到保障。8.积极为走失、务工不着、家庭暴力受害者等离家在外人员提供帮助。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阶段性目标：在2024年5月支付进度达到40%以上，按照政策标准为城乡低保户发放1-5月低保补助资金，完善叶城县民政福利救助体系，对城乡低保户应保尽保。</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2024年6月至2024年12月25日支付进度达到100%，按照城乡低保标准、城乡特困人员救助供养标准、临时救助标准已全部发放到位；困难群众基本生活救助和孤儿基本生活保障制度。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规范城乡低保政策实施，使低保对象基本生活得到有效保障。规范实施临时救助政策，实现及时高效，救急解难。为生活无着流浪乞讨人员提供临时食宿、疾病救治、协助返回等救助，并妥善安置返乡受助人员；统筹城乡特困人员救助供养工作；提高孤儿生活保障水平，做到孤儿生活保障政策规范高效实施；使孤儿和事实无人抚养儿童基本生活得到保障；对支出型和急难型群众进行临时救助。</w:t>
      </w:r>
    </w:p>
    <w:p w14:paraId="74D0A23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48AC4F8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14:paraId="2B3FED6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仿宋" w:hAnsi="仿宋" w:eastAsia="仿宋" w:cs="仿宋"/>
          <w:b w:val="0"/>
          <w:bCs w:val="0"/>
          <w:spacing w:val="-4"/>
          <w:sz w:val="32"/>
          <w:szCs w:val="32"/>
          <w:lang w:eastAsia="zh-CN"/>
        </w:rPr>
        <w:t>以及</w:t>
      </w:r>
      <w:r>
        <w:rPr>
          <w:rStyle w:val="18"/>
          <w:rFonts w:hint="eastAsia" w:ascii="仿宋" w:hAnsi="仿宋" w:eastAsia="仿宋" w:cs="仿宋"/>
          <w:b w:val="0"/>
          <w:bCs w:val="0"/>
          <w:spacing w:val="-4"/>
          <w:sz w:val="32"/>
          <w:szCs w:val="32"/>
        </w:rPr>
        <w:t>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w:t>
      </w:r>
      <w:r>
        <w:rPr>
          <w:rStyle w:val="18"/>
          <w:rFonts w:hint="eastAsia" w:ascii="仿宋" w:hAnsi="仿宋" w:eastAsia="仿宋" w:cs="仿宋"/>
          <w:b w:val="0"/>
          <w:bCs w:val="0"/>
          <w:spacing w:val="-4"/>
          <w:sz w:val="32"/>
          <w:szCs w:val="32"/>
          <w:lang w:eastAsia="zh-CN"/>
        </w:rPr>
        <w:t>财政资金使用</w:t>
      </w:r>
      <w:r>
        <w:rPr>
          <w:rStyle w:val="18"/>
          <w:rFonts w:hint="eastAsia" w:ascii="仿宋" w:hAnsi="仿宋" w:eastAsia="仿宋" w:cs="仿宋"/>
          <w:b w:val="0"/>
          <w:bCs w:val="0"/>
          <w:spacing w:val="-4"/>
          <w:sz w:val="32"/>
          <w:szCs w:val="32"/>
        </w:rPr>
        <w:t>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w:t>
      </w:r>
      <w:r>
        <w:rPr>
          <w:rStyle w:val="18"/>
          <w:rFonts w:hint="eastAsia" w:ascii="仿宋" w:hAnsi="仿宋" w:eastAsia="仿宋" w:cs="仿宋"/>
          <w:b w:val="0"/>
          <w:bCs w:val="0"/>
          <w:spacing w:val="-4"/>
          <w:sz w:val="32"/>
          <w:szCs w:val="32"/>
          <w:lang w:eastAsia="zh-CN"/>
        </w:rPr>
        <w:t>更进一步</w:t>
      </w:r>
      <w:r>
        <w:rPr>
          <w:rStyle w:val="18"/>
          <w:rFonts w:hint="eastAsia" w:ascii="仿宋" w:hAnsi="仿宋" w:eastAsia="仿宋" w:cs="仿宋"/>
          <w:b w:val="0"/>
          <w:bCs w:val="0"/>
          <w:spacing w:val="-4"/>
          <w:sz w:val="32"/>
          <w:szCs w:val="32"/>
        </w:rPr>
        <w:t>的技术支持。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2024年困难群众救助补助资金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14:paraId="4ADBB1D2">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481E282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w:t>
      </w:r>
      <w:r>
        <w:rPr>
          <w:rStyle w:val="18"/>
          <w:rFonts w:hint="eastAsia" w:ascii="仿宋" w:hAnsi="仿宋" w:eastAsia="仿宋" w:cs="仿宋"/>
          <w:b w:val="0"/>
          <w:bCs w:val="0"/>
          <w:spacing w:val="-4"/>
          <w:sz w:val="32"/>
          <w:szCs w:val="32"/>
          <w:lang w:eastAsia="zh-CN"/>
        </w:rPr>
        <w:t>地</w:t>
      </w:r>
      <w:r>
        <w:rPr>
          <w:rStyle w:val="18"/>
          <w:rFonts w:hint="eastAsia" w:ascii="仿宋" w:hAnsi="仿宋" w:eastAsia="仿宋" w:cs="仿宋"/>
          <w:b w:val="0"/>
          <w:bCs w:val="0"/>
          <w:spacing w:val="-4"/>
          <w:sz w:val="32"/>
          <w:szCs w:val="32"/>
        </w:rPr>
        <w:t>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本次评价采用定量与定性评价相结合的比较法、文献法、公众评判法等方法，总分由各项指标得分汇总形成。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（1）项目决策方面：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立项依据充分性：比较法、文献法，查找法律法规政策以及规划，对比实际执行内容和政策支持内容是否匹配。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绩效目标合理性：比较法，对比分析年初编制项目支出绩效目标表与项目内容的相关性、资金的匹配性等。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绩效指标明确性：比较法，比较分析年初编制项目支出绩效目标表是否符合双七原则，是否可衡量。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预算编制科学性：成本效益分析法，分析在产出一定的情况下，成本取值是否有依据，是否经过询价，是否按照市场最低成本编制。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（2）项目过程方面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预算执行率：比较法，预算执行率预期指标值应为100%，通过实际计算，分析实际完成值和预期指标值之间的差距和原因。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（3）项目产出方面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（4）项目效益方面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公众评判法、实地勘察法，通过实地勘察、问卷及抽样调查等方式评价本项目实施后社会公众或服务对象对项目实施效果的满意程度。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w:t>
      </w:r>
      <w:r>
        <w:rPr>
          <w:rStyle w:val="18"/>
          <w:rFonts w:hint="eastAsia" w:ascii="仿宋" w:hAnsi="仿宋" w:eastAsia="仿宋" w:cs="仿宋"/>
          <w:b w:val="0"/>
          <w:bCs w:val="0"/>
          <w:spacing w:val="-4"/>
          <w:sz w:val="32"/>
          <w:szCs w:val="32"/>
          <w:lang w:eastAsia="zh-CN"/>
        </w:rPr>
        <w:t>合的</w:t>
      </w:r>
      <w:r>
        <w:rPr>
          <w:rStyle w:val="18"/>
          <w:rFonts w:hint="eastAsia" w:ascii="仿宋" w:hAnsi="仿宋" w:eastAsia="仿宋" w:cs="仿宋"/>
          <w:b w:val="0"/>
          <w:bCs w:val="0"/>
          <w:spacing w:val="-4"/>
          <w:sz w:val="32"/>
          <w:szCs w:val="32"/>
        </w:rPr>
        <w:t>方式，对本项目的实施情况进行充分调研，了解掌握资金分配、资金管理、资金使用、制度建设、制度执行情况，进行综合评价。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14:paraId="5D60B25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4270D9D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第一阶段：前期准备（2025年1月1日-1月16日）。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李淑红任评价组组长，绩效评价工作职责为负责全盘工作。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温晋任评价组副组长，绩效评价工作职责为对项目实施情况进行实地调查。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帕沙姑丽·阿布力孜任评价组成员，绩效评价工作职责为负责资料审核、绩效填报等工作。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第二阶段：组织实施（2025年1月17日-2月9日）。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w:t>
      </w:r>
      <w:r>
        <w:rPr>
          <w:rStyle w:val="18"/>
          <w:rFonts w:hint="eastAsia" w:ascii="仿宋" w:hAnsi="仿宋" w:eastAsia="仿宋" w:cs="仿宋"/>
          <w:b w:val="0"/>
          <w:bCs w:val="0"/>
          <w:spacing w:val="-4"/>
          <w:sz w:val="32"/>
          <w:szCs w:val="32"/>
          <w:lang w:eastAsia="zh-CN"/>
        </w:rPr>
        <w:t>进行</w:t>
      </w:r>
      <w:r>
        <w:rPr>
          <w:rStyle w:val="18"/>
          <w:rFonts w:hint="eastAsia" w:ascii="仿宋" w:hAnsi="仿宋" w:eastAsia="仿宋" w:cs="仿宋"/>
          <w:b w:val="0"/>
          <w:bCs w:val="0"/>
          <w:spacing w:val="-4"/>
          <w:sz w:val="32"/>
          <w:szCs w:val="32"/>
        </w:rPr>
        <w:t>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第三阶段：分析评价（2025年2月10日-2月15日）。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第四阶段：撰写与提交评价报告（2025年2月15日-2月28日）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最后总结项目整体情况，及时落实问题整改，并形成整改报告，最后将项目相关资料存档。</w:t>
      </w:r>
    </w:p>
    <w:p w14:paraId="3C15F67D">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C4F23B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绩效评价组通过实地调研、综合分析法、问卷调查法等方式，主要采用综合分析法对项目的决策、实施、产出、效益进行综合评价分析。项目总体组织规范，在项目实施过</w:t>
      </w:r>
      <w:r>
        <w:rPr>
          <w:rStyle w:val="18"/>
          <w:rFonts w:hint="eastAsia" w:ascii="仿宋" w:hAnsi="仿宋" w:eastAsia="仿宋" w:cs="仿宋"/>
          <w:b w:val="0"/>
          <w:bCs w:val="0"/>
          <w:spacing w:val="-4"/>
          <w:sz w:val="32"/>
          <w:szCs w:val="32"/>
          <w:lang w:eastAsia="zh-CN"/>
        </w:rPr>
        <w:t>程中</w:t>
      </w:r>
      <w:r>
        <w:rPr>
          <w:rStyle w:val="18"/>
          <w:rFonts w:hint="eastAsia" w:ascii="仿宋" w:hAnsi="仿宋" w:eastAsia="仿宋" w:cs="仿宋"/>
          <w:b w:val="0"/>
          <w:bCs w:val="0"/>
          <w:spacing w:val="-4"/>
          <w:sz w:val="32"/>
          <w:szCs w:val="32"/>
        </w:rPr>
        <w:t>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2024年困难群众救助补助资金项目产生规范城乡低保政策实施，使低保对象基本生活得到有效保障。规范实施临时救助政策，实现及时高效，救急解难。为生活无着流浪乞讨人员提供临时食宿、疾病救治、协助返回等救助，并妥善安置返乡受助人员。统筹城乡特困人员救助供养工作。提高孤儿生活保障水平，做到孤儿生活保障政策规范高效实施；使孤儿和事实无人抚养儿童基本生活得到保障的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喀地财社〔2023〕109号—关于提前下达2024年中央财政困难群众救助补助资金预算的通知、喀地财社〔2023〕110号—关于提前下达2024年自治区财政困难群众救助补助资金预算的通知、新财社〔2024〕35号—关于下达2024年中央财政困难群众救助补助资金预算的通知文件立项，项目实施符合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项目过程：2024年困难群众救助补助资金项目预算安排 59361万元，实际支出59361万元，预算执行率100%。项目资金使用合规，项目财务管理制度健全，财务监控到位，所有资金支付均按照国库集中支付制度严格执行，现有项目管理制度执行情况良好。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项目实施对低保对象进行应保尽保；对流浪乞讨人员的救助率95%；对事实无人抚养儿童纳入保障范围率90%。城乡低保标准得到稳步提高；流浪乞讨人员救助执行当地支出标准90%；事实无人抚养儿童认定准确率90%；资金发放准确率100%；困难群众基本生活救助和孤儿基本生活费按时发放率95%；流浪乞讨人员救助要求当天登记率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项目效益：通过实施此项目使困难群众生活水平情况有效提升；帮助查明身份滞留流浪乞讨人员返乡情况并及时送返。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困难群众救助补助资金项目进行客观评价，最终评分结果：评价总分100分，绩效等级为“优”。</w:t>
      </w:r>
    </w:p>
    <w:p w14:paraId="16EFD82E">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634714ED">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3F89F84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（1）立项依据充分性：本项目立项符合《关于提前下达2024年中央财政困难群众救助补助资金预算的通知》（喀地财社</w:t>
      </w:r>
      <w:r>
        <w:rPr>
          <w:rStyle w:val="18"/>
          <w:rFonts w:hint="eastAsia" w:ascii="仿宋" w:hAnsi="仿宋" w:eastAsia="仿宋" w:cs="仿宋"/>
          <w:b w:val="0"/>
          <w:bCs w:val="0"/>
          <w:spacing w:val="-4"/>
          <w:sz w:val="32"/>
          <w:szCs w:val="32"/>
          <w:lang w:eastAsia="zh-CN"/>
        </w:rPr>
        <w:t>〔2023〕109号</w:t>
      </w:r>
      <w:r>
        <w:rPr>
          <w:rStyle w:val="18"/>
          <w:rFonts w:hint="eastAsia" w:ascii="仿宋" w:hAnsi="仿宋" w:eastAsia="仿宋" w:cs="仿宋"/>
          <w:b w:val="0"/>
          <w:bCs w:val="0"/>
          <w:spacing w:val="-4"/>
          <w:sz w:val="32"/>
          <w:szCs w:val="32"/>
        </w:rPr>
        <w:t>）和《关于提前下达2024年自治区财政困难群众救助补助资金预算的通知》（喀地财社</w:t>
      </w:r>
      <w:r>
        <w:rPr>
          <w:rStyle w:val="18"/>
          <w:rFonts w:hint="eastAsia" w:ascii="仿宋" w:hAnsi="仿宋" w:eastAsia="仿宋" w:cs="仿宋"/>
          <w:b w:val="0"/>
          <w:bCs w:val="0"/>
          <w:spacing w:val="-4"/>
          <w:sz w:val="32"/>
          <w:szCs w:val="32"/>
          <w:lang w:eastAsia="zh-CN"/>
        </w:rPr>
        <w:t>〔2023〕110号</w:t>
      </w:r>
      <w:r>
        <w:rPr>
          <w:rStyle w:val="18"/>
          <w:rFonts w:hint="eastAsia" w:ascii="仿宋" w:hAnsi="仿宋" w:eastAsia="仿宋" w:cs="仿宋"/>
          <w:b w:val="0"/>
          <w:bCs w:val="0"/>
          <w:spacing w:val="-4"/>
          <w:sz w:val="32"/>
          <w:szCs w:val="32"/>
        </w:rPr>
        <w:t>）中：“规范城乡低保政策实施，合理确定保障标准，使低保对象基本生活得到有效保障。统筹城乡特困人员救助供养工作，合理确定保障标准。规范实施临时救助政策，实现及时高效、救急解难。 为生活无着流浪乞讨人员提供临时食宿、疾病救治、协助返回等救助，并妥善安置返乡受助人员。对流浪未成年人提供特殊优先保护及教育等专业服务，确保其健康成长。对农村留守儿童、困境儿童等存在流浪风险的未成年人及流浪乞讨儿童开展家庭监护评估、监护支持、精神关爱等工作，为其提供临时照料、医疗救治、心理疏导、社会融入、家庭关系调</w:t>
      </w:r>
      <w:r>
        <w:rPr>
          <w:rStyle w:val="18"/>
          <w:rFonts w:hint="eastAsia" w:ascii="仿宋" w:hAnsi="仿宋" w:eastAsia="仿宋" w:cs="仿宋"/>
          <w:b w:val="0"/>
          <w:bCs w:val="0"/>
          <w:spacing w:val="-4"/>
          <w:sz w:val="32"/>
          <w:szCs w:val="32"/>
          <w:lang w:val="en-US" w:eastAsia="zh-CN"/>
        </w:rPr>
        <w:t>适</w:t>
      </w:r>
      <w:r>
        <w:rPr>
          <w:rStyle w:val="18"/>
          <w:rFonts w:hint="eastAsia" w:ascii="仿宋" w:hAnsi="仿宋" w:eastAsia="仿宋" w:cs="仿宋"/>
          <w:b w:val="0"/>
          <w:bCs w:val="0"/>
          <w:spacing w:val="-4"/>
          <w:sz w:val="32"/>
          <w:szCs w:val="32"/>
        </w:rPr>
        <w:t>、法律援助等专业服务，从源头上预防未成年人外出流浪。引导地方提高孤儿生活保障水平，孤儿生活保障政策高效实施，使孤儿、艾滋病病毒感染儿童和事实无人抚养儿童基本生活得到保障。积极为走失、务工不着、家庭暴力受害者等离家在外人员提供帮助”等内容，符合行业发展规划和政策要求；本项目立项符合《叶城县民政局单位配置内设机构和人员编制规定》中职责范围中属于我单位履职所需；根据《财政资金直接支付申请书》，本项目资金性质为“公共财政预算”功能分类为“[2082002]流浪乞讨人员救助支出、[2082102]农村特困人员救助供养支出、[2296002]用于社会福利的彩票公益金支出、[2081001]儿童福利、[2082101]城市特困人员救助供养支出、[2081901]城市最低生活保障金支出、[2081902]农村最低生活保障金支出、[2082001]临时救助支出”经济分类为“[50901]社会福利和救助、[50299]其他商品和服务支出、[50901]社会福利和救助”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（2）立项程序规范性：根据决策依据编制工作计划和项目预算，经过与部门项目分管领导进行沟通、筛选确定经费预算计划，项目的审批文件、材料符合相关要求，根据评分标准，该指标不扣分，得2分。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该项目已设置年度绩效目标，具体内容为“该项目计划投入资金59361万元，主要用于1.规范城乡低保政策实施，合理确定保障标准，使低保对象基本生活得到有效保障。2.统筹城乡特困人员救助供养工作，合理确定保障标准。3.规范实施临时救助政策，实现及时高效、救急解难。 4.为生活无着流浪乞讨人员提供临时食宿、疾病救治、协助返回等救助，并妥善安置返乡受助人员。 5.对流浪未成年人提供特殊优先保护及教育等专业服务，确保其健康成长。 6.对农村留守儿童、困境儿童等存在流浪风险的未成年人及流浪乞讨儿童开展家庭监护评估、监护支持、精神关爱等工作，为其提供临时照料、医疗救治、心理疏导、社会融入、家庭关系</w:t>
      </w:r>
      <w:r>
        <w:rPr>
          <w:rStyle w:val="18"/>
          <w:rFonts w:hint="eastAsia" w:ascii="仿宋" w:hAnsi="仿宋" w:eastAsia="仿宋" w:cs="仿宋"/>
          <w:b w:val="0"/>
          <w:bCs w:val="0"/>
          <w:spacing w:val="-4"/>
          <w:sz w:val="32"/>
          <w:szCs w:val="32"/>
          <w:lang w:eastAsia="zh-CN"/>
        </w:rPr>
        <w:t>调适</w:t>
      </w:r>
      <w:r>
        <w:rPr>
          <w:rStyle w:val="18"/>
          <w:rFonts w:hint="eastAsia" w:ascii="仿宋" w:hAnsi="仿宋" w:eastAsia="仿宋" w:cs="仿宋"/>
          <w:b w:val="0"/>
          <w:bCs w:val="0"/>
          <w:spacing w:val="-4"/>
          <w:sz w:val="32"/>
          <w:szCs w:val="32"/>
        </w:rPr>
        <w:t>、法律援助等专业服务，从源头上预防未成年人外出流浪。7.引导地方提高孤儿生活保障水平，孤儿生活保障政策高效实施，使孤儿、艾滋病病毒感染儿童和事实无人抚养儿童基本生活得到保障。 8.积极为走失、务工不着、家庭暴力受害者等离家在外人员提供帮助”。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②该项目实际工作内容为：</w:t>
      </w:r>
      <w:r>
        <w:rPr>
          <w:rStyle w:val="18"/>
          <w:rFonts w:hint="eastAsia" w:ascii="仿宋" w:hAnsi="仿宋" w:eastAsia="仿宋" w:cs="仿宋"/>
          <w:b w:val="0"/>
          <w:bCs w:val="0"/>
          <w:spacing w:val="-4"/>
          <w:sz w:val="32"/>
          <w:szCs w:val="32"/>
          <w:lang w:eastAsia="zh-CN"/>
        </w:rPr>
        <w:t>截至</w:t>
      </w:r>
      <w:r>
        <w:rPr>
          <w:rStyle w:val="18"/>
          <w:rFonts w:hint="eastAsia" w:ascii="仿宋" w:hAnsi="仿宋" w:eastAsia="仿宋" w:cs="仿宋"/>
          <w:b w:val="0"/>
          <w:bCs w:val="0"/>
          <w:spacing w:val="-4"/>
          <w:sz w:val="32"/>
          <w:szCs w:val="32"/>
        </w:rPr>
        <w:t>2024年12月31日，该项目总资金59361万元，到位资金59361万元，执行资金59361万元，执行率100%。城乡居民低保保障率100%,资金到位率100%，特困供养保障率100%。项目已完成主要用于1.规范城乡低保政策实施，合理确定保障标准，使低保对象基本生活得到有效保障。2.统筹城乡特困人员救助供养工作，合理确定保障标准。3.规范实施临时救助政策，实现及时高效、救急解难。 4.为生活无着流浪乞讨人员提供临时食宿、疾病救治、协助返回等救助，并妥善安置返乡受助人员。 5.对流浪未成年人提供特殊优先保护及教育等专业服务，确保其健康成长。 6.对农村留守儿童、困境儿童等存在流浪风险的未成年人及流浪乞讨儿童开展家庭监护评估、监护支持、精神关爱等工作，为其提供临时照料、医疗救治、心理疏导、社会融入、家庭关系</w:t>
      </w:r>
      <w:r>
        <w:rPr>
          <w:rStyle w:val="18"/>
          <w:rFonts w:hint="eastAsia" w:ascii="仿宋" w:hAnsi="仿宋" w:eastAsia="仿宋" w:cs="仿宋"/>
          <w:b w:val="0"/>
          <w:bCs w:val="0"/>
          <w:spacing w:val="-4"/>
          <w:sz w:val="32"/>
          <w:szCs w:val="32"/>
          <w:lang w:eastAsia="zh-CN"/>
        </w:rPr>
        <w:t>调适</w:t>
      </w:r>
      <w:r>
        <w:rPr>
          <w:rStyle w:val="18"/>
          <w:rFonts w:hint="eastAsia" w:ascii="仿宋" w:hAnsi="仿宋" w:eastAsia="仿宋" w:cs="仿宋"/>
          <w:b w:val="0"/>
          <w:bCs w:val="0"/>
          <w:spacing w:val="-4"/>
          <w:sz w:val="32"/>
          <w:szCs w:val="32"/>
        </w:rPr>
        <w:t>、法律援助等专业服务，从源头上预防未成年人外出流浪。7.引导地方提高孤儿生活保障水平，孤儿生活保障政策高效实施，使孤儿、艾滋病病毒感染儿童和事实无人抚养儿童基本生活得到保障。 8.积极为走失、务工不着、家庭暴力受害者等离家在外人员提供帮助。绩效目标与实际工作内容一致，两者具有相关性。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③该项目按照绩效目标完成数量指标、质量指标、时效指标、成本指标，完成了所有的目标，有效完善困难群众基本生活救助和孤儿基本生活保障制度，政策知晓率95%。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④该项目批复的预算金额为59361万元，《项目支出绩效目标表》中预算金额为59361万元，预算确定的项目资金与预算确定的项目投资额相匹配。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⑤本单位制定了《2024年困难群众救助补助资金项目实施方案》，明确了总体思路及目标、并对任务进行了详细分解，对目标进行了细化，根据评分标准，该指标不扣分，得3分。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经检查我单位年初设置的《项目支出绩效目标表》，得出如下结论：本项目已将年度绩效目标进行细化为绩效指标体系，共设置一级指标3个，二级指标6个，三级指标17个，定量指标12个，定性指标5个，指标量化率为71.4%，量化率达70.0%以上，将项目绩效目标细化分解为具体的绩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绩效目标申报表》中，数量指标指标值与三级指标的年度指标值与年度绩效目标中任务数一致，已设置时效指标“困难群众基本生活救助和孤儿基本生活费按时发放率90%、流浪乞讨人员求助要求当天登记救助率95%、项目完成时间2025年12月25日”。已设置的绩效目标具备明确性、可衡量性、可实现性、相关性、时限性。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根据项目需求编制，预算编制与单位职能相匹配，预算编制经过科学论证，提供充分的测算依据佐证资料，编制准确可靠的数据和信息。本项目预算申请资金59361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本项目实际分配资金以《关于提前下达2024年中央财政困难群众救助补助资金预算的通知》（喀地财社〔2023〕109号）、《关于提前下达2024年自治区财政困难群众救助补助资金预算的通知》（喀地财社〔2023〕110号）和《2024年困难群众救助补助资金项目实施方案》为依据进行资金分配，预算资金分配依据充分。本项目实际到位资金59361万元，资金分配额度合理，与我单位实际需求相适应。资金分配与实际相适应，根据评分标准，该指标不扣分，得2分。资金分配与实际相适应，根据评分标准，该指标不扣分，得5分。</w:t>
      </w:r>
    </w:p>
    <w:p w14:paraId="378EE1F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660311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本项目预算资金为59361万元，其中：财政安排资金59361万元，其他资金0万元，实际到位资金59361万元，资金到位率=100%；通过分析可知，该项目财政资金足额拨付到位，能够及时足额支付给实施单位。根据评分标准，该指标不扣分，得3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支出资金59361万元，预算执行率=（59361万元/59361万元）×100.0%=100%；通过分析可知，该项目预算编制较为详细，项目资金支出总体能够按照预算执行，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通过检查项目资金申请文件、国库支付凭证等财务资料，得出本项目资金支出符合国家财经法规、《政府会计制度》《叶城县民政局单位资金管理办法》《叶城县民政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我单位已制定《叶城县民政局资金管理办法》《叶城县民政局收支业务管理制度》《政府采购业务管理制度》《叶城县民政局合同管理制度》，相关制度均符合行政事业单位内控管理要求，财务和业务管理制度合法、合规、完整，本项目执行符合上述制度规定。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（5）制度执行有效性：①该项目的实施符合制定了叶城县民政局相关管理办法，相关制度的制定依据《中华人民共和国会计法</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中华人民共和国政府采购法</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基本建设财务规则》（财政部令第81号）、《中华人民共和国预算法</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事业单位财务规则</w:t>
      </w:r>
      <w:r>
        <w:rPr>
          <w:rStyle w:val="18"/>
          <w:rFonts w:hint="eastAsia" w:ascii="仿宋" w:hAnsi="仿宋" w:eastAsia="仿宋" w:cs="仿宋"/>
          <w:b w:val="0"/>
          <w:bCs w:val="0"/>
          <w:spacing w:val="-4"/>
          <w:sz w:val="32"/>
          <w:szCs w:val="32"/>
          <w:lang w:eastAsia="zh-CN"/>
        </w:rPr>
        <w:t>》《</w:t>
      </w:r>
      <w:r>
        <w:rPr>
          <w:rStyle w:val="18"/>
          <w:rFonts w:hint="eastAsia" w:ascii="仿宋" w:hAnsi="仿宋" w:eastAsia="仿宋" w:cs="仿宋"/>
          <w:b w:val="0"/>
          <w:bCs w:val="0"/>
          <w:spacing w:val="-4"/>
          <w:sz w:val="32"/>
          <w:szCs w:val="32"/>
        </w:rPr>
        <w:t>会计基础工作规范》等相关法律法规及管理规定，项目具备完整规范的立项程序，对资金使用的合法合规性进行监督，基本完成制定的目标；经查证党委会议纪要、项目资金支付审批表、记账凭证等资金拨付流程资料，项目资金拨付流程完整、手续齐全。综上分析，项目执行遵守相关法律法规和相关管理规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②经现场查证项目发放台账、财务支付凭证等资料齐全并及时归档。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③该项目存在调整，调整手续齐全。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2024年中央农业产业发展资金-农机购置与应用补贴项目工作领导小组，由张秀玲任组长，负责项目的组织工作；马春花任副组长，负责项目的实施工作；组员包括：孙野，主要负责项目监督管理、验收以及资金核拨等工作。根据评分标准，该指标不扣分，得5分。</w:t>
      </w:r>
    </w:p>
    <w:p w14:paraId="00EF3592">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2D6B51C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项目产出类指标包括产出数量、产出质量、产出时效、产出成本四方面的内容，由14个三级指标构成，权重分为45分，实际得分45分，得分率为100%。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城乡居民低保保障率指标，预期指标值为100%，实际完成值为100%，指标完成率为100%，与预期目标一致，根据评分标准，该指标不扣分，得2分。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特困供养保障率指标，预期指标值为100%，实际完成值为100%，指标完成率为100%，与预期目标一致，根据评分标准，该指标不扣分，得2分。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求助的流浪乞讨人员救助率指标，预期指标值为95%，实际完成值为95%，指标完成率为100%，与预期目标一致，根据评分标准，该指标不扣分，得2分。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孤儿、获得性免疫缺陷综合征病毒感染儿童、生活困难家庭中的和纳入特困人员救助供养范围的事实无人抚养儿童纳入保障范围率指标，预期指标值为90%，实际完成值为90%，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患病孤残儿童救助率指标，预期指标值为90%，实际完成值为90%，指标完成率为100%，与预期目标一致，根据评分标准，该指标不扣分，得2分。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城乡低保标准指标，预期指标值为稳步提高，实际完成值为稳步提高，指标完成率为100%，与预期目标一致，根据评分标准，该指标不扣分，得2.5分。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城乡特困人员救助供养标准指标，预期指标值为不低于上年，实际完成值为不低于上年，指标完成率为100%，与预期目标一致，根据评分标准，该指标不扣分，得2.5分。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临时救助标准指标，预期指标值为不低于上年，实际完成值为不低于上年，指标完成率为100%，与预期目标一致，根据评分标准，该指标不扣分，得2.5分。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孤儿、获得性免疫缺陷综合征</w:t>
      </w:r>
      <w:bookmarkStart w:id="0" w:name="_GoBack"/>
      <w:bookmarkEnd w:id="0"/>
      <w:r>
        <w:rPr>
          <w:rStyle w:val="18"/>
          <w:rFonts w:hint="eastAsia" w:ascii="仿宋" w:hAnsi="仿宋" w:eastAsia="仿宋" w:cs="仿宋"/>
          <w:b w:val="0"/>
          <w:bCs w:val="0"/>
          <w:spacing w:val="-4"/>
          <w:sz w:val="32"/>
          <w:szCs w:val="32"/>
        </w:rPr>
        <w:t>病毒感染儿童、事实无人抚养儿童认定准确率指标，预期指标值为90%，实际完成值为90%，指标完成率为100%，与预期目标一致，根据评分标准，该指标不扣分，得2.5分。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困难群众基本生活救助和孤儿基本生活费按时发放率指标，预期指标值为90%，实际完成值为90%，指标完成率为100%，与预期目标一致，根据评分标准，该指标不扣分，得3分。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流浪乞讨人员求助要求当天登记救助率指标，预期指标值为90%，实际完成值为90%，指标完成率为100%，与预期目标一致，根据评分标准，该指标不扣分，得3分。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项目完成时间指标，预期指标值为2024年12月25日，实际完成值为2024年12月25日，指标完成率为100%，与预期目标一致，根据评分标准，该指标不扣分，得4分。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低保资金社会化发放率指标，预期指标值为90%，实际完成值为90%，指标完成率为100%，与预期目标一致，项目经费都能控制绩效目标范围内，根据评分标准，该指标不扣分，得7分。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流浪乞讨人员救助执行当地支出标准指标，预期指标值为95%，实际完成值为95%，指标完成率为100%，与预期目标一致，项目经费都能控制绩效目标范围内，根据评分标准，该指标不扣分，得8分。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合计得15分。</w:t>
      </w:r>
    </w:p>
    <w:p w14:paraId="05E694B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3948A42D">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困难群众基本生活救助和孤儿基本生活保障制度指标，该指标预期指标值为有效完善，实际完成值为有效完善，指标完成率为100%，与预期指标一致，根据评分标准，该指标不扣分，得10分。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14:paraId="1702BDE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14:paraId="1ECDF62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对于“满意度指标”：救助对象对社会救助实施的满意度该指标预期指标值为95%，实际完成值为96%，指标完成率为101%，与预期指标一致，根据评分标准，该指标不扣分，得5分。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困难群众政策知晓率满意度95%，指标预期指标值为95%，实际完成值为96%，指标完成率为101%，与预期指标一致，根据评分标准，该指标不扣分，得5分。</w:t>
      </w:r>
    </w:p>
    <w:p w14:paraId="729F1F9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744F11B9">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2024年困难群众救助补助资金项目预算59361万元，到位59361万元，实际支出59361万元，预算执行率为100%，项目绩效指标总体完成率为100.1%，无偏差。</w:t>
      </w:r>
    </w:p>
    <w:p w14:paraId="46A2E819">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14:paraId="7787C4E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为常年性项目，资金量与业务量较大，我单位通过充分的前期准备，在项目实施前期便由各乡镇民政干事进行走访调查，根据实际情况对城乡低保户进行增减，确保应保尽保，我单位建立了相对完善的临时救助制度，对需要临时救助的人员，审批程序公平、公正、公开，严格按照相关规章制度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由于叶城县城乡低保户基数较大，业务量相对较多，各乡镇</w:t>
      </w:r>
      <w:r>
        <w:rPr>
          <w:rStyle w:val="18"/>
          <w:rFonts w:hint="eastAsia" w:ascii="仿宋" w:hAnsi="仿宋" w:eastAsia="仿宋" w:cs="仿宋"/>
          <w:b w:val="0"/>
          <w:bCs w:val="0"/>
          <w:spacing w:val="-4"/>
          <w:sz w:val="32"/>
          <w:szCs w:val="32"/>
          <w:lang w:eastAsia="zh-CN"/>
        </w:rPr>
        <w:t>民政</w:t>
      </w:r>
      <w:r>
        <w:rPr>
          <w:rStyle w:val="18"/>
          <w:rFonts w:hint="eastAsia" w:ascii="仿宋" w:hAnsi="仿宋" w:eastAsia="仿宋" w:cs="仿宋"/>
          <w:b w:val="0"/>
          <w:bCs w:val="0"/>
          <w:spacing w:val="-4"/>
          <w:sz w:val="32"/>
          <w:szCs w:val="32"/>
        </w:rPr>
        <w:t>干事只有1人，力量薄弱，对于统计业务方面能力不足，经常导致低保户更换账户未及时与民政局本级对接导致在发放低保补助时因账户错误打卡失败，造成资金滞留。</w:t>
      </w:r>
    </w:p>
    <w:p w14:paraId="01444807">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7AA5526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建议加强乡镇、村级民政社会救助经办人业务培训，提升业务能力，改善工作作风，在项目前、中、后期都能够及时配合民政局本级做好统计调查工作，有情况及时对接，避免出现类似问题。</w:t>
      </w:r>
    </w:p>
    <w:p w14:paraId="6ED1906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06AD9B2C">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方正楷体_GBK">
    <w:panose1 w:val="02000000000000000000"/>
    <w:charset w:val="86"/>
    <w:family w:val="auto"/>
    <w:pitch w:val="default"/>
    <w:sig w:usb0="800002BF" w:usb1="38C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72689CF">
        <w:pPr>
          <w:pStyle w:val="12"/>
          <w:jc w:val="center"/>
        </w:pPr>
        <w:r>
          <w:fldChar w:fldCharType="begin"/>
        </w:r>
        <w:r>
          <w:instrText xml:space="preserve">PAGE   \* MERGEFORMAT</w:instrText>
        </w:r>
        <w:r>
          <w:fldChar w:fldCharType="separate"/>
        </w:r>
        <w:r>
          <w:rPr>
            <w:lang w:val="zh-CN"/>
          </w:rPr>
          <w:t>1</w:t>
        </w:r>
        <w:r>
          <w:fldChar w:fldCharType="end"/>
        </w:r>
      </w:p>
    </w:sdtContent>
  </w:sdt>
  <w:p w14:paraId="7155628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68847CF"/>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30</Pages>
  <Words>13279</Words>
  <Characters>14055</Characters>
  <Lines>5</Lines>
  <Paragraphs>1</Paragraphs>
  <TotalTime>2</TotalTime>
  <ScaleCrop>false</ScaleCrop>
  <LinksUpToDate>false</LinksUpToDate>
  <CharactersWithSpaces>14091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2025-09-29T08:01:40Z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299A846E7742483FADE25949A45A48D3_12</vt:lpwstr>
  </property>
  <property fmtid="{D5CDD505-2E9C-101B-9397-08002B2CF9AE}" pid="4" name="KSOTemplateDocerSaveRecord">
    <vt:lpwstr>eyJoZGlkIjoiN2E1ZDY0MDI5MTE3YjM0ZGMyMzg4N2EwMDI4ZjJiM2YiLCJ1c2VySWQiOiIyNTk4NTcxMjUifQ==</vt:lpwstr>
  </property>
</Properties>
</file>