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8F559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叶城县疾病预防控制中心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44F97E">
      <w:r>
        <w:br w:type="page"/>
      </w:r>
    </w:p>
    <w:p w14:paraId="2C72BBE0">
      <w:pPr>
        <w:spacing w:line="640" w:lineRule="exact"/>
        <w:jc w:val="center"/>
        <w:outlineLvl w:val="1"/>
      </w:pPr>
      <w:r>
        <w:rPr>
          <w:rFonts w:ascii="黑体" w:hAnsi="黑体" w:eastAsia="黑体"/>
          <w:sz w:val="32"/>
        </w:rPr>
        <w:t>第一部分 单位概况</w:t>
      </w:r>
    </w:p>
    <w:p w14:paraId="40A43567">
      <w:pPr>
        <w:spacing w:line="640" w:lineRule="exact"/>
        <w:ind w:firstLine="640"/>
        <w:jc w:val="both"/>
        <w:outlineLvl w:val="2"/>
      </w:pPr>
      <w:r>
        <w:rPr>
          <w:rFonts w:ascii="黑体" w:hAnsi="黑体" w:eastAsia="黑体"/>
          <w:sz w:val="32"/>
        </w:rPr>
        <w:t>一、主要职能</w:t>
      </w:r>
    </w:p>
    <w:p w14:paraId="7931A5C1">
      <w:pPr>
        <w:spacing w:line="580" w:lineRule="exact"/>
        <w:ind w:firstLine="640"/>
        <w:jc w:val="both"/>
      </w:pPr>
      <w:r>
        <w:rPr>
          <w:rFonts w:ascii="仿宋_GB2312" w:hAnsi="仿宋_GB2312" w:eastAsia="仿宋_GB2312"/>
          <w:sz w:val="32"/>
        </w:rPr>
        <w:t>承担本区域居民的预防任务，完成上级的疾病预防控制任务，处置突发公共卫生事件的此案调查与信息收集组织开展县规划免疫预防控制人员技术培训和业务指导区域内传染病、职业病和非传染性</w:t>
      </w:r>
      <w:r>
        <w:rPr>
          <w:rFonts w:hint="eastAsia" w:ascii="仿宋_GB2312" w:hAnsi="仿宋_GB2312" w:eastAsia="仿宋_GB2312"/>
          <w:sz w:val="32"/>
          <w:lang w:eastAsia="zh-CN"/>
        </w:rPr>
        <w:t>慢性</w:t>
      </w:r>
      <w:r>
        <w:rPr>
          <w:rFonts w:ascii="仿宋_GB2312" w:hAnsi="仿宋_GB2312" w:eastAsia="仿宋_GB2312"/>
          <w:sz w:val="32"/>
        </w:rPr>
        <w:t>病的防控。有效应对各种突发公共卫生事件。</w:t>
      </w:r>
    </w:p>
    <w:p w14:paraId="5EC9DFC6">
      <w:pPr>
        <w:spacing w:line="640" w:lineRule="exact"/>
        <w:ind w:firstLine="640"/>
        <w:jc w:val="both"/>
        <w:outlineLvl w:val="2"/>
      </w:pPr>
      <w:r>
        <w:rPr>
          <w:rFonts w:ascii="黑体" w:hAnsi="黑体" w:eastAsia="黑体"/>
          <w:sz w:val="32"/>
        </w:rPr>
        <w:t>二、机构设置及人员情况</w:t>
      </w:r>
    </w:p>
    <w:p w14:paraId="4F0D154E">
      <w:pPr>
        <w:spacing w:line="580" w:lineRule="exact"/>
        <w:ind w:firstLine="640"/>
        <w:jc w:val="both"/>
      </w:pPr>
      <w:r>
        <w:rPr>
          <w:rFonts w:ascii="仿宋_GB2312" w:hAnsi="仿宋_GB2312" w:eastAsia="仿宋_GB2312"/>
          <w:sz w:val="32"/>
        </w:rPr>
        <w:t>叶城县疾病预防控制中心2024年度，实有人数66人，其中：在职人员48人，增加13人；离休人员0人，增加0人；退休人员18人,增加2人。</w:t>
      </w:r>
    </w:p>
    <w:p w14:paraId="27569BA1">
      <w:pPr>
        <w:spacing w:line="580" w:lineRule="exact"/>
        <w:ind w:firstLine="640"/>
        <w:jc w:val="both"/>
      </w:pPr>
      <w:r>
        <w:rPr>
          <w:rFonts w:ascii="仿宋_GB2312" w:hAnsi="仿宋_GB2312" w:eastAsia="仿宋_GB2312"/>
          <w:sz w:val="32"/>
        </w:rPr>
        <w:t>叶城县疾病预防控制中心无下属预算单位，下设12个科室，分别是：党政办、财务科、疾控科、免疫规划科、性病</w:t>
      </w:r>
      <w:r>
        <w:rPr>
          <w:rFonts w:hint="eastAsia" w:ascii="仿宋_GB2312" w:hAnsi="仿宋_GB2312" w:eastAsia="仿宋_GB2312"/>
          <w:sz w:val="32"/>
          <w:lang w:eastAsia="zh-CN"/>
        </w:rPr>
        <w:t>AZB</w:t>
      </w:r>
      <w:r>
        <w:rPr>
          <w:rFonts w:ascii="仿宋_GB2312" w:hAnsi="仿宋_GB2312" w:eastAsia="仿宋_GB2312"/>
          <w:sz w:val="32"/>
        </w:rPr>
        <w:t>防治科、结防科、检验科、地方病防治科、慢性病防治科、职业卫生科、健教科、卫生监督所。</w:t>
      </w:r>
    </w:p>
    <w:p w14:paraId="704A4A5A">
      <w:r>
        <w:br w:type="page"/>
      </w:r>
    </w:p>
    <w:p w14:paraId="6DFAD1FE">
      <w:pPr>
        <w:spacing w:line="240" w:lineRule="auto"/>
        <w:jc w:val="center"/>
        <w:outlineLvl w:val="1"/>
      </w:pPr>
      <w:r>
        <w:rPr>
          <w:rFonts w:ascii="黑体" w:hAnsi="黑体" w:eastAsia="黑体"/>
          <w:sz w:val="32"/>
        </w:rPr>
        <w:t>第二部分 部门决算情况说明</w:t>
      </w:r>
    </w:p>
    <w:p w14:paraId="235CC993">
      <w:pPr>
        <w:spacing w:line="640" w:lineRule="exact"/>
        <w:ind w:firstLine="640"/>
        <w:jc w:val="both"/>
        <w:outlineLvl w:val="2"/>
      </w:pPr>
      <w:r>
        <w:rPr>
          <w:rFonts w:ascii="黑体" w:hAnsi="黑体" w:eastAsia="黑体"/>
          <w:sz w:val="32"/>
        </w:rPr>
        <w:t>一、收入支出决算总体情况说明</w:t>
      </w:r>
    </w:p>
    <w:p w14:paraId="7B906392">
      <w:pPr>
        <w:spacing w:line="580" w:lineRule="exact"/>
        <w:ind w:firstLine="640"/>
        <w:jc w:val="both"/>
      </w:pPr>
      <w:r>
        <w:rPr>
          <w:rFonts w:ascii="仿宋_GB2312" w:hAnsi="仿宋_GB2312" w:eastAsia="仿宋_GB2312"/>
          <w:b/>
          <w:sz w:val="32"/>
        </w:rPr>
        <w:t>2024年度收入总计1,841.56万元，</w:t>
      </w:r>
      <w:r>
        <w:rPr>
          <w:rFonts w:ascii="仿宋_GB2312" w:hAnsi="仿宋_GB2312" w:eastAsia="仿宋_GB2312"/>
          <w:b w:val="0"/>
          <w:sz w:val="32"/>
        </w:rPr>
        <w:t>其中：本年收入合计1,841.56万元，使用非财政拨款结余（含专用结余）0.00万元，年初结转和结余0.00万元。</w:t>
      </w:r>
    </w:p>
    <w:p w14:paraId="09E624B0">
      <w:pPr>
        <w:spacing w:line="580" w:lineRule="exact"/>
        <w:ind w:firstLine="640"/>
        <w:jc w:val="both"/>
      </w:pPr>
      <w:r>
        <w:rPr>
          <w:rFonts w:ascii="仿宋_GB2312" w:hAnsi="仿宋_GB2312" w:eastAsia="仿宋_GB2312"/>
          <w:b/>
          <w:sz w:val="32"/>
        </w:rPr>
        <w:t>2024年度支出总计1,841.56万元，</w:t>
      </w:r>
      <w:r>
        <w:rPr>
          <w:rFonts w:ascii="仿宋_GB2312" w:hAnsi="仿宋_GB2312" w:eastAsia="仿宋_GB2312"/>
          <w:b w:val="0"/>
          <w:sz w:val="32"/>
        </w:rPr>
        <w:t>其中：本年支出合计1,841.56万元，结余分配0.00万元，年末结转和结余0.00万元。</w:t>
      </w:r>
    </w:p>
    <w:p w14:paraId="25CF1274">
      <w:pPr>
        <w:spacing w:line="580" w:lineRule="exact"/>
        <w:ind w:firstLine="640"/>
        <w:jc w:val="both"/>
      </w:pPr>
      <w:r>
        <w:rPr>
          <w:rFonts w:ascii="仿宋_GB2312" w:hAnsi="仿宋_GB2312" w:eastAsia="仿宋_GB2312"/>
          <w:b w:val="0"/>
          <w:sz w:val="32"/>
        </w:rPr>
        <w:t>收入支出总体与上年相比，减少541.82万元，下降22.73%，主要原因是：本年</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减少突发公共卫生事件应急处理项目经费，导致相关经费减少。</w:t>
      </w:r>
    </w:p>
    <w:p w14:paraId="21085D6C">
      <w:pPr>
        <w:spacing w:line="640" w:lineRule="exact"/>
        <w:ind w:firstLine="640"/>
        <w:jc w:val="both"/>
        <w:outlineLvl w:val="2"/>
      </w:pPr>
      <w:r>
        <w:rPr>
          <w:rFonts w:ascii="黑体" w:hAnsi="黑体" w:eastAsia="黑体"/>
          <w:sz w:val="32"/>
        </w:rPr>
        <w:t>二、收入决算情况说明</w:t>
      </w:r>
    </w:p>
    <w:p w14:paraId="69989410">
      <w:pPr>
        <w:spacing w:line="580" w:lineRule="exact"/>
        <w:ind w:firstLine="640"/>
        <w:jc w:val="both"/>
      </w:pPr>
      <w:r>
        <w:rPr>
          <w:rFonts w:ascii="仿宋_GB2312" w:hAnsi="仿宋_GB2312" w:eastAsia="仿宋_GB2312"/>
          <w:b/>
          <w:sz w:val="32"/>
        </w:rPr>
        <w:t>本年收入1,841.56万元，</w:t>
      </w:r>
      <w:r>
        <w:rPr>
          <w:rFonts w:ascii="仿宋_GB2312" w:hAnsi="仿宋_GB2312" w:eastAsia="仿宋_GB2312"/>
          <w:b w:val="0"/>
          <w:sz w:val="32"/>
        </w:rPr>
        <w:t>其中：财政拨款收入1,151.92万元，占62.55%；上级补助收入0.00万元，占0.00%；事业收入0.00万元，占0.00%；经营收入0.00万元，占0.00%；附属单位上缴收入0.00万元，占0.00%；其他收入689.64万元，占37.45%。</w:t>
      </w:r>
    </w:p>
    <w:p w14:paraId="3D037366">
      <w:pPr>
        <w:spacing w:line="640" w:lineRule="exact"/>
        <w:ind w:firstLine="640"/>
        <w:jc w:val="both"/>
        <w:outlineLvl w:val="2"/>
      </w:pPr>
      <w:r>
        <w:rPr>
          <w:rFonts w:ascii="黑体" w:hAnsi="黑体" w:eastAsia="黑体"/>
          <w:sz w:val="32"/>
        </w:rPr>
        <w:t>三、支出决算情况说明</w:t>
      </w:r>
    </w:p>
    <w:p w14:paraId="19B16A9B">
      <w:pPr>
        <w:spacing w:line="580" w:lineRule="exact"/>
        <w:ind w:firstLine="640"/>
        <w:jc w:val="both"/>
      </w:pPr>
      <w:r>
        <w:rPr>
          <w:rFonts w:ascii="仿宋_GB2312" w:hAnsi="仿宋_GB2312" w:eastAsia="仿宋_GB2312"/>
          <w:b/>
          <w:sz w:val="32"/>
        </w:rPr>
        <w:t>本年支出1,841.56万元，</w:t>
      </w:r>
      <w:r>
        <w:rPr>
          <w:rFonts w:ascii="仿宋_GB2312" w:hAnsi="仿宋_GB2312" w:eastAsia="仿宋_GB2312"/>
          <w:b w:val="0"/>
          <w:sz w:val="32"/>
        </w:rPr>
        <w:t>其中：基本支出879.88万元，占47.78%；项目支出961.68万元，占52.22%；上缴上级支出0.00万元，占0.00%；经营支出0.00万元，占0.00%；对附属单位补助支出0.00万元，占0.00%。</w:t>
      </w:r>
    </w:p>
    <w:p w14:paraId="01EB30CB">
      <w:pPr>
        <w:spacing w:line="640" w:lineRule="exact"/>
        <w:ind w:firstLine="640"/>
        <w:jc w:val="both"/>
        <w:outlineLvl w:val="2"/>
      </w:pPr>
      <w:r>
        <w:rPr>
          <w:rFonts w:ascii="黑体" w:hAnsi="黑体" w:eastAsia="黑体"/>
          <w:sz w:val="32"/>
        </w:rPr>
        <w:t>四、财政拨款收入支出决算总体情况说明</w:t>
      </w:r>
    </w:p>
    <w:p w14:paraId="2268E1C2">
      <w:pPr>
        <w:spacing w:line="580" w:lineRule="exact"/>
        <w:ind w:firstLine="640"/>
        <w:jc w:val="both"/>
      </w:pPr>
      <w:r>
        <w:rPr>
          <w:rFonts w:ascii="仿宋_GB2312" w:hAnsi="仿宋_GB2312" w:eastAsia="仿宋_GB2312"/>
          <w:b/>
          <w:sz w:val="32"/>
        </w:rPr>
        <w:t>2024年度财政拨款收入总计1,151.92万元，</w:t>
      </w:r>
      <w:r>
        <w:rPr>
          <w:rFonts w:ascii="仿宋_GB2312" w:hAnsi="仿宋_GB2312" w:eastAsia="仿宋_GB2312"/>
          <w:b w:val="0"/>
          <w:sz w:val="32"/>
        </w:rPr>
        <w:t>其中：年初财政拨款结转和结余0.00万元，本年财政拨款收入1,151.92万元。</w:t>
      </w:r>
      <w:r>
        <w:rPr>
          <w:rFonts w:ascii="仿宋_GB2312" w:hAnsi="仿宋_GB2312" w:eastAsia="仿宋_GB2312"/>
          <w:b/>
          <w:sz w:val="32"/>
        </w:rPr>
        <w:t>财政拨款支出总计1,151.92万元，</w:t>
      </w:r>
      <w:r>
        <w:rPr>
          <w:rFonts w:ascii="仿宋_GB2312" w:hAnsi="仿宋_GB2312" w:eastAsia="仿宋_GB2312"/>
          <w:b w:val="0"/>
          <w:sz w:val="32"/>
        </w:rPr>
        <w:t>其中：年末财政拨款结转和结余0.00万元，本年财政拨款支出1,151.92万元。</w:t>
      </w:r>
    </w:p>
    <w:p w14:paraId="3153AF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减少831.66万元，下降41.93%，主要原因是：本年</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减少突发公共卫生事件应急处理项目经费，导致相关经费减少。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年初预算数847.11万元，决算数1,151.92万元，预决算差异率35.98%，主要原因是：年中</w:t>
      </w:r>
      <w:r>
        <w:rPr>
          <w:rFonts w:hint="eastAsia" w:ascii="仿宋_GB2312" w:hAnsi="仿宋_GB2312" w:eastAsia="仿宋_GB2312"/>
          <w:b w:val="0"/>
          <w:sz w:val="32"/>
          <w:lang w:val="en-US" w:eastAsia="zh-CN"/>
        </w:rPr>
        <w:t>追加在职人员工资、社保、公积金调增部分经费；</w:t>
      </w:r>
      <w:r>
        <w:rPr>
          <w:rFonts w:ascii="仿宋_GB2312" w:hAnsi="仿宋_GB2312" w:eastAsia="仿宋_GB2312"/>
          <w:b w:val="0"/>
          <w:sz w:val="32"/>
        </w:rPr>
        <w:t>追加2024年重大传染病防控经费、2024年中央重大公共卫生服务补助资金、2024年中央基本公共卫生服务补助资金等项目经费，导致预决算存在差异。</w:t>
      </w:r>
    </w:p>
    <w:p w14:paraId="285FA997">
      <w:pPr>
        <w:spacing w:line="640" w:lineRule="exact"/>
        <w:ind w:firstLine="640"/>
        <w:jc w:val="both"/>
        <w:outlineLvl w:val="2"/>
      </w:pPr>
      <w:r>
        <w:rPr>
          <w:rFonts w:ascii="黑体" w:hAnsi="黑体" w:eastAsia="黑体"/>
          <w:sz w:val="32"/>
        </w:rPr>
        <w:t>五、一般公共预算财政拨款支出决算情况说明</w:t>
      </w:r>
    </w:p>
    <w:p w14:paraId="46E4B5C5">
      <w:pPr>
        <w:spacing w:line="640" w:lineRule="exact"/>
        <w:ind w:firstLine="640"/>
        <w:jc w:val="both"/>
        <w:outlineLvl w:val="3"/>
      </w:pPr>
      <w:r>
        <w:rPr>
          <w:rFonts w:ascii="楷体_GB2312" w:hAnsi="楷体_GB2312" w:eastAsia="楷体_GB2312"/>
          <w:b/>
          <w:sz w:val="32"/>
        </w:rPr>
        <w:t>（一）一般公共预算财政拨款支出决算总体情况</w:t>
      </w:r>
    </w:p>
    <w:p w14:paraId="67D8084E">
      <w:pPr>
        <w:spacing w:line="580" w:lineRule="exact"/>
        <w:ind w:firstLine="640"/>
        <w:jc w:val="both"/>
      </w:pPr>
      <w:r>
        <w:rPr>
          <w:rFonts w:ascii="仿宋_GB2312" w:hAnsi="仿宋_GB2312" w:eastAsia="仿宋_GB2312"/>
          <w:b/>
          <w:sz w:val="32"/>
        </w:rPr>
        <w:t>2024年度一般公共预算财政拨款支出1,151.92万元，</w:t>
      </w:r>
      <w:r>
        <w:rPr>
          <w:rFonts w:ascii="仿宋_GB2312" w:hAnsi="仿宋_GB2312" w:eastAsia="仿宋_GB2312"/>
          <w:b w:val="0"/>
          <w:sz w:val="32"/>
        </w:rPr>
        <w:t>占本年支出合计的62.55%。</w:t>
      </w:r>
      <w:r>
        <w:rPr>
          <w:rFonts w:ascii="仿宋_GB2312" w:hAnsi="仿宋_GB2312" w:eastAsia="仿宋_GB2312"/>
          <w:b/>
          <w:sz w:val="32"/>
        </w:rPr>
        <w:t>与上年相比，</w:t>
      </w:r>
      <w:r>
        <w:rPr>
          <w:rFonts w:ascii="仿宋_GB2312" w:hAnsi="仿宋_GB2312" w:eastAsia="仿宋_GB2312"/>
          <w:b w:val="0"/>
          <w:sz w:val="32"/>
        </w:rPr>
        <w:t>减少831.66万元，下降41.93%，主要原因是：本年</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减少突发公共卫生事件应急处理项目经费，导致相关经费减少。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年初预算数847.11万元，决算数1,151.92万元，预决算差异率35.98%，主要原因是：年中</w:t>
      </w:r>
      <w:r>
        <w:rPr>
          <w:rFonts w:hint="eastAsia" w:ascii="仿宋_GB2312" w:hAnsi="仿宋_GB2312" w:eastAsia="仿宋_GB2312"/>
          <w:b w:val="0"/>
          <w:sz w:val="32"/>
          <w:lang w:val="en-US" w:eastAsia="zh-CN"/>
        </w:rPr>
        <w:t>追加在职人员工资、社保、公积金调增部分经费；</w:t>
      </w:r>
      <w:r>
        <w:rPr>
          <w:rFonts w:ascii="仿宋_GB2312" w:hAnsi="仿宋_GB2312" w:eastAsia="仿宋_GB2312"/>
          <w:b w:val="0"/>
          <w:sz w:val="32"/>
        </w:rPr>
        <w:t>追加2024年重大传染病防控经费、2024年中央重大公共卫生服务补助资金、2024年中央基本公共卫生服务补助资金等项目经费，导致预决算存在差异。</w:t>
      </w:r>
    </w:p>
    <w:p w14:paraId="5E5AC754">
      <w:pPr>
        <w:spacing w:line="640" w:lineRule="exact"/>
        <w:ind w:firstLine="640"/>
        <w:jc w:val="both"/>
        <w:outlineLvl w:val="3"/>
      </w:pPr>
      <w:r>
        <w:rPr>
          <w:rFonts w:ascii="楷体_GB2312" w:hAnsi="楷体_GB2312" w:eastAsia="楷体_GB2312"/>
          <w:b/>
          <w:sz w:val="32"/>
        </w:rPr>
        <w:t>（二）一般公共预算财政拨款支出决算结构情况</w:t>
      </w:r>
    </w:p>
    <w:p w14:paraId="4FA4F1A3">
      <w:pPr>
        <w:spacing w:line="580" w:lineRule="exact"/>
        <w:ind w:firstLine="640"/>
        <w:jc w:val="both"/>
      </w:pPr>
      <w:r>
        <w:rPr>
          <w:rFonts w:ascii="仿宋_GB2312" w:hAnsi="仿宋_GB2312" w:eastAsia="仿宋_GB2312"/>
          <w:b w:val="0"/>
          <w:sz w:val="32"/>
        </w:rPr>
        <w:t>1.社会保障和就业支出(类)158.19万元,占13.73%。</w:t>
      </w:r>
    </w:p>
    <w:p w14:paraId="349DDD8D">
      <w:pPr>
        <w:spacing w:line="580" w:lineRule="exact"/>
        <w:ind w:firstLine="640"/>
        <w:jc w:val="both"/>
      </w:pPr>
      <w:r>
        <w:rPr>
          <w:rFonts w:ascii="仿宋_GB2312" w:hAnsi="仿宋_GB2312" w:eastAsia="仿宋_GB2312"/>
          <w:b w:val="0"/>
          <w:sz w:val="32"/>
        </w:rPr>
        <w:t>2.卫生健康支出(类)993.74万元,占86.27%。</w:t>
      </w:r>
    </w:p>
    <w:p w14:paraId="28DB4E32">
      <w:pPr>
        <w:spacing w:line="640" w:lineRule="exact"/>
        <w:ind w:firstLine="640"/>
        <w:jc w:val="both"/>
        <w:outlineLvl w:val="3"/>
      </w:pPr>
      <w:r>
        <w:rPr>
          <w:rFonts w:ascii="楷体_GB2312" w:hAnsi="楷体_GB2312" w:eastAsia="楷体_GB2312"/>
          <w:b/>
          <w:sz w:val="32"/>
        </w:rPr>
        <w:t>（三）一般公共预算财政拨款支出决算具体情况</w:t>
      </w:r>
    </w:p>
    <w:p w14:paraId="7B45A7A8">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132.80万元，比上年决算增加75.94万元，增长133.56%,主要原因是：本年在职人员增加，养老保险缴费较上年增加。</w:t>
      </w:r>
    </w:p>
    <w:p w14:paraId="61057297">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2.社会保障和就业支出(类)行政事业单位养老支出(款)机关事业单位职业年金缴费支出(项):支出决算数为25.38万元，比上年决算增加25.38万元，增长100.00%,主要原因是：本单位今年下半年2名干部退休、补交</w:t>
      </w:r>
      <w:r>
        <w:rPr>
          <w:rFonts w:hint="eastAsia" w:ascii="仿宋_GB2312" w:hAnsi="仿宋_GB2312" w:eastAsia="仿宋_GB2312"/>
          <w:b w:val="0"/>
          <w:sz w:val="32"/>
          <w:lang w:val="en-US" w:eastAsia="zh-CN"/>
        </w:rPr>
        <w:t>以前年度</w:t>
      </w:r>
      <w:r>
        <w:rPr>
          <w:rFonts w:ascii="仿宋_GB2312" w:hAnsi="仿宋_GB2312" w:eastAsia="仿宋_GB2312"/>
          <w:b w:val="0"/>
          <w:sz w:val="32"/>
        </w:rPr>
        <w:t>人员职业年金，职业年金缴费支出增加。</w:t>
      </w:r>
    </w:p>
    <w:p w14:paraId="4B2CB83D">
      <w:pPr>
        <w:spacing w:line="580" w:lineRule="exact"/>
        <w:ind w:firstLine="640"/>
        <w:jc w:val="both"/>
      </w:pPr>
      <w:r>
        <w:rPr>
          <w:rFonts w:ascii="仿宋_GB2312" w:hAnsi="仿宋_GB2312" w:eastAsia="仿宋_GB2312"/>
          <w:b w:val="0"/>
          <w:sz w:val="32"/>
        </w:rPr>
        <w:t>3.卫生健康支出(类)公共卫生(款)疾病预防控制机构(项):支出决算数为721.69万元，比上年决算减少1.09万元，下降0.15%,主要原因是：本年减少办公费、劳务费等经费，导致相关经费减少。</w:t>
      </w:r>
    </w:p>
    <w:p w14:paraId="04109D43">
      <w:pPr>
        <w:spacing w:line="580" w:lineRule="exact"/>
        <w:ind w:firstLine="640"/>
        <w:jc w:val="both"/>
      </w:pPr>
      <w:r>
        <w:rPr>
          <w:rFonts w:ascii="仿宋_GB2312" w:hAnsi="仿宋_GB2312" w:eastAsia="仿宋_GB2312"/>
          <w:b w:val="0"/>
          <w:sz w:val="32"/>
        </w:rPr>
        <w:t>4.卫生健康支出(类)公共卫生(款)基本公共卫生服务(项):支出决算数为15.24万元，比上年决算增加1.30万元，增长9.33%,主要原因是：本年增加2024年中央</w:t>
      </w:r>
      <w:r>
        <w:rPr>
          <w:rFonts w:hint="eastAsia" w:ascii="仿宋_GB2312" w:hAnsi="仿宋_GB2312" w:eastAsia="仿宋_GB2312"/>
          <w:b w:val="0"/>
          <w:sz w:val="32"/>
          <w:lang w:eastAsia="zh-CN"/>
        </w:rPr>
        <w:t>基本公共卫生服务</w:t>
      </w:r>
      <w:r>
        <w:rPr>
          <w:rFonts w:ascii="仿宋_GB2312" w:hAnsi="仿宋_GB2312" w:eastAsia="仿宋_GB2312"/>
          <w:b w:val="0"/>
          <w:sz w:val="32"/>
        </w:rPr>
        <w:t>补助资金，导致相关经费增加。</w:t>
      </w:r>
    </w:p>
    <w:p w14:paraId="20E6A8A3">
      <w:pPr>
        <w:spacing w:line="580" w:lineRule="exact"/>
        <w:ind w:firstLine="640"/>
        <w:jc w:val="both"/>
      </w:pPr>
      <w:r>
        <w:rPr>
          <w:rFonts w:ascii="仿宋_GB2312" w:hAnsi="仿宋_GB2312" w:eastAsia="仿宋_GB2312"/>
          <w:b w:val="0"/>
          <w:sz w:val="32"/>
        </w:rPr>
        <w:t>5.卫生健康支出(类)公共卫生(款)重大公共卫生服务(项):支出决算数为256.80万元，比上年决算增加28.43万元，增长12.45%,主要原因是：本年增加2024年中央重大公共卫生服务补助资金项目经费，导致相关经费增加。</w:t>
      </w:r>
    </w:p>
    <w:p w14:paraId="7D1880E2">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6.卫生健康支出(类)公共卫生(款)突发公共卫生事件应急处理(项):支出决算数为0.00万元，比上年决算减少961.63万元，下降100.00%,主要原因是：本年</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减少突发公共卫生事件应急处理项目经费，导致相关经费减少。</w:t>
      </w:r>
    </w:p>
    <w:p w14:paraId="25E86CD6">
      <w:pPr>
        <w:spacing w:line="640" w:lineRule="exact"/>
        <w:ind w:firstLine="640"/>
        <w:jc w:val="both"/>
        <w:outlineLvl w:val="2"/>
      </w:pPr>
      <w:r>
        <w:rPr>
          <w:rFonts w:ascii="黑体" w:hAnsi="黑体" w:eastAsia="黑体"/>
          <w:sz w:val="32"/>
        </w:rPr>
        <w:t>六、一般公共预算财政拨款基本支出决算情况说明</w:t>
      </w:r>
    </w:p>
    <w:p w14:paraId="3568316D">
      <w:pPr>
        <w:spacing w:line="580" w:lineRule="exact"/>
        <w:ind w:firstLine="640"/>
        <w:jc w:val="both"/>
      </w:pPr>
      <w:r>
        <w:rPr>
          <w:rFonts w:ascii="仿宋_GB2312" w:hAnsi="仿宋_GB2312" w:eastAsia="仿宋_GB2312"/>
          <w:b w:val="0"/>
          <w:sz w:val="32"/>
        </w:rPr>
        <w:t>2024年度一般公共预算财政拨款基本支出879.88万元，其中：</w:t>
      </w:r>
      <w:r>
        <w:rPr>
          <w:rFonts w:ascii="仿宋_GB2312" w:hAnsi="仿宋_GB2312" w:eastAsia="仿宋_GB2312"/>
          <w:b/>
          <w:sz w:val="32"/>
        </w:rPr>
        <w:t>人员经费874.79万元，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包括：基本工资、津贴补贴、奖金、绩效工资、机关事业单位基本养老保险缴费、职业年金缴费、职工基本医疗保险缴费、其他社会保障缴费、住房公积金、退休费、生活补助、奖励金。</w:t>
      </w:r>
    </w:p>
    <w:p w14:paraId="0B2C1932">
      <w:pPr>
        <w:spacing w:line="580" w:lineRule="exact"/>
        <w:ind w:firstLine="640"/>
        <w:jc w:val="both"/>
      </w:pPr>
      <w:r>
        <w:rPr>
          <w:rFonts w:ascii="仿宋_GB2312" w:hAnsi="仿宋_GB2312" w:eastAsia="仿宋_GB2312"/>
          <w:b/>
          <w:sz w:val="32"/>
        </w:rPr>
        <w:t>公用经费5.10万元，</w:t>
      </w:r>
      <w:r>
        <w:rPr>
          <w:rFonts w:ascii="仿宋_GB2312" w:hAnsi="仿宋_GB2312" w:eastAsia="仿宋_GB2312"/>
          <w:b w:val="0"/>
          <w:sz w:val="32"/>
        </w:rPr>
        <w:t>包括：办公费、维修（护）费、公务用车运行维护费。</w:t>
      </w:r>
    </w:p>
    <w:p w14:paraId="1F03B89E">
      <w:pPr>
        <w:spacing w:line="640" w:lineRule="exact"/>
        <w:ind w:firstLine="640"/>
        <w:jc w:val="both"/>
        <w:outlineLvl w:val="2"/>
      </w:pPr>
      <w:r>
        <w:rPr>
          <w:rFonts w:ascii="黑体" w:hAnsi="黑体" w:eastAsia="黑体"/>
          <w:sz w:val="32"/>
        </w:rPr>
        <w:t>七、政府性基金预算财政拨款收入支出决算情况说明</w:t>
      </w:r>
    </w:p>
    <w:p w14:paraId="362E727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083EAE">
      <w:pPr>
        <w:spacing w:line="640" w:lineRule="exact"/>
        <w:ind w:firstLine="640"/>
        <w:jc w:val="both"/>
        <w:outlineLvl w:val="2"/>
      </w:pPr>
      <w:r>
        <w:rPr>
          <w:rFonts w:ascii="黑体" w:hAnsi="黑体" w:eastAsia="黑体"/>
          <w:sz w:val="32"/>
        </w:rPr>
        <w:t>八、国有资本经营预算财政拨款收入支出决算情况说明</w:t>
      </w:r>
    </w:p>
    <w:p w14:paraId="7B85A9E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3931592">
      <w:pPr>
        <w:spacing w:line="640" w:lineRule="exact"/>
        <w:ind w:firstLine="640"/>
        <w:jc w:val="both"/>
        <w:outlineLvl w:val="2"/>
      </w:pPr>
      <w:r>
        <w:rPr>
          <w:rFonts w:ascii="黑体" w:hAnsi="黑体" w:eastAsia="黑体"/>
          <w:sz w:val="32"/>
        </w:rPr>
        <w:t>九、财政拨款“三公”经费支出决算情况说明</w:t>
      </w:r>
    </w:p>
    <w:p w14:paraId="13392C1C">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减少3.43万元，下降54.79%，主要原因是：本年未安排公务接待工作，导致公务接待费较上年减少。其中：因公出国（境）费支出0.00万元，占0.00%，比上年增加0.00万元，增长0.00%，主要原因是：2023年与2024年均未安排因公出国（境）费支出。公务用车购置及运行维护费支出2.84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公务用车运行维护费与上年一致无变化。公务接待费支出0.00万元，占0.00%，比上年减少3.43万元，下降100.00%，主要原因是：本年未安排公务接待工作，导致公务接待费较上年减少。</w:t>
      </w:r>
    </w:p>
    <w:p w14:paraId="16A195C2">
      <w:pPr>
        <w:spacing w:line="580" w:lineRule="exact"/>
        <w:ind w:firstLine="640"/>
        <w:jc w:val="both"/>
      </w:pPr>
      <w:r>
        <w:rPr>
          <w:rFonts w:ascii="仿宋_GB2312" w:hAnsi="仿宋_GB2312" w:eastAsia="仿宋_GB2312"/>
          <w:b/>
          <w:sz w:val="32"/>
        </w:rPr>
        <w:t>具体情况如下：</w:t>
      </w:r>
    </w:p>
    <w:p w14:paraId="6717B76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00DFFB7">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加油费、维修费、保险费、审车费。公务用车购置数0辆，公务用车保有量4辆。国有资产占用情况中固定资产车辆4辆，与公务用车保有量差异原因是：本单位固定资产车辆与公务用车保有量一致无差异。</w:t>
      </w:r>
    </w:p>
    <w:p w14:paraId="47A10E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765E4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4B605927">
      <w:pPr>
        <w:spacing w:line="640" w:lineRule="exact"/>
        <w:ind w:firstLine="640"/>
        <w:jc w:val="both"/>
        <w:outlineLvl w:val="2"/>
      </w:pPr>
      <w:r>
        <w:rPr>
          <w:rFonts w:ascii="黑体" w:hAnsi="黑体" w:eastAsia="黑体"/>
          <w:sz w:val="32"/>
        </w:rPr>
        <w:t>十、其他重要事项的情况说明</w:t>
      </w:r>
    </w:p>
    <w:p w14:paraId="655FC1CE">
      <w:pPr>
        <w:spacing w:line="640" w:lineRule="exact"/>
        <w:ind w:firstLine="640"/>
        <w:jc w:val="both"/>
        <w:outlineLvl w:val="3"/>
      </w:pPr>
      <w:r>
        <w:rPr>
          <w:rFonts w:ascii="楷体_GB2312" w:hAnsi="楷体_GB2312" w:eastAsia="楷体_GB2312"/>
          <w:b/>
          <w:sz w:val="32"/>
        </w:rPr>
        <w:t>（一）机关运行经费及公用经费支出情况</w:t>
      </w:r>
    </w:p>
    <w:p w14:paraId="2BBC6DBD">
      <w:pPr>
        <w:spacing w:line="580" w:lineRule="exact"/>
        <w:ind w:firstLine="640"/>
        <w:jc w:val="both"/>
      </w:pPr>
      <w:r>
        <w:rPr>
          <w:rFonts w:ascii="仿宋_GB2312" w:hAnsi="仿宋_GB2312" w:eastAsia="仿宋_GB2312"/>
          <w:b w:val="0"/>
          <w:sz w:val="32"/>
        </w:rPr>
        <w:t>2024年度叶城县疾病预防控制中心（事业单位）公用经费支出5.10万元，比上年减少7.08万元，下降58.13%，主要原因是：本年减少办公费、劳务费等经费，导致公用经费减少。</w:t>
      </w:r>
    </w:p>
    <w:p w14:paraId="0B02F766">
      <w:pPr>
        <w:spacing w:line="640" w:lineRule="exact"/>
        <w:ind w:firstLine="640"/>
        <w:jc w:val="both"/>
        <w:outlineLvl w:val="3"/>
      </w:pPr>
      <w:r>
        <w:rPr>
          <w:rFonts w:ascii="楷体_GB2312" w:hAnsi="楷体_GB2312" w:eastAsia="楷体_GB2312"/>
          <w:b/>
          <w:sz w:val="32"/>
        </w:rPr>
        <w:t>（二）政府采购情况</w:t>
      </w:r>
    </w:p>
    <w:p w14:paraId="3298165C">
      <w:pPr>
        <w:spacing w:line="580" w:lineRule="exact"/>
        <w:ind w:firstLine="640"/>
        <w:jc w:val="both"/>
      </w:pPr>
      <w:r>
        <w:rPr>
          <w:rFonts w:ascii="仿宋_GB2312" w:hAnsi="仿宋_GB2312" w:eastAsia="仿宋_GB2312"/>
          <w:b w:val="0"/>
          <w:sz w:val="32"/>
        </w:rPr>
        <w:t>2024年度政府采购支出总额702.25万元，其中：政府采购货物支出211.30万元、政府采购工程支出0.00万元、政府采购服务支出490.95万元。</w:t>
      </w:r>
    </w:p>
    <w:p w14:paraId="11A31FBA">
      <w:pPr>
        <w:spacing w:line="580" w:lineRule="exact"/>
        <w:ind w:firstLine="640"/>
        <w:jc w:val="both"/>
      </w:pPr>
      <w:r>
        <w:rPr>
          <w:rFonts w:ascii="仿宋_GB2312" w:hAnsi="仿宋_GB2312" w:eastAsia="仿宋_GB2312"/>
          <w:b w:val="0"/>
          <w:sz w:val="32"/>
        </w:rPr>
        <w:t>授予中小企业合同金额617.46万元，占政府采购支出总额的87.93%，其中：授予小微企业合同金额543.24万元，占政府采购支出总额的77.36%。</w:t>
      </w:r>
    </w:p>
    <w:p w14:paraId="4BDF4857">
      <w:pPr>
        <w:spacing w:line="640" w:lineRule="exact"/>
        <w:ind w:firstLine="640"/>
        <w:jc w:val="both"/>
        <w:outlineLvl w:val="3"/>
      </w:pPr>
      <w:r>
        <w:rPr>
          <w:rFonts w:ascii="楷体_GB2312" w:hAnsi="楷体_GB2312" w:eastAsia="楷体_GB2312"/>
          <w:b/>
          <w:sz w:val="32"/>
        </w:rPr>
        <w:t>（三）国有资产占用情况说明</w:t>
      </w:r>
    </w:p>
    <w:p w14:paraId="4DB24D08">
      <w:pPr>
        <w:spacing w:line="580" w:lineRule="exact"/>
        <w:ind w:firstLine="640"/>
        <w:jc w:val="both"/>
      </w:pPr>
      <w:r>
        <w:rPr>
          <w:rFonts w:ascii="仿宋_GB2312" w:hAnsi="仿宋_GB2312" w:eastAsia="仿宋_GB2312"/>
          <w:b w:val="0"/>
          <w:sz w:val="32"/>
        </w:rPr>
        <w:t>截至2024年12月31日，房屋3,926.63平方米，价值780.00万元。车辆4辆，价值73.85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2台（套）。</w:t>
      </w:r>
    </w:p>
    <w:p w14:paraId="2C406CA3">
      <w:pPr>
        <w:spacing w:line="640" w:lineRule="exact"/>
        <w:ind w:firstLine="640"/>
        <w:jc w:val="both"/>
        <w:outlineLvl w:val="2"/>
      </w:pPr>
      <w:r>
        <w:rPr>
          <w:rFonts w:ascii="黑体" w:hAnsi="黑体" w:eastAsia="黑体"/>
          <w:sz w:val="32"/>
        </w:rPr>
        <w:t>十一、预算绩效的情况说明</w:t>
      </w:r>
    </w:p>
    <w:p w14:paraId="5F0DCB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根据预算绩效管理要求，本单位2024年度预算绩效管理形成整体支出绩效自评表1个，全年预算总额1,841.56万元，实际执行总额1,841.56万元；预算绩效评价项目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1021.26</w:t>
      </w:r>
      <w:r>
        <w:rPr>
          <w:rFonts w:ascii="仿宋_GB2312" w:hAnsi="仿宋_GB2312" w:eastAsia="仿宋_GB2312"/>
          <w:b w:val="0"/>
          <w:sz w:val="32"/>
        </w:rPr>
        <w:t>万元，全年执行数847.60万元。预算绩效管理取得的成效：一是预算绩效管理制度逐步建立，组织机构不断健全，增强了预算绩效管理的工作保障；二是绩效目标管理日益加强，绩效评价范围不断扩大，促进了资金使用效益的提高。发现的问题及原因：一是在绩效目标编制方面，绩效目标设置指向不清、预算和目标匹配不足，数量目标和质量目标量化不细，效益目标编制不完整。目前单位绩效评价结果还停留在反映情况、找问题、提建议层面，评价结果和预算安排有机结合的机制尚未真正建立；二是通过预算绩效管理，发现了工作中存在的不足，如前期资金使用因项目计划、支付资料不完整等原因未按期支付，导致了资金滞缓，造成了部分资金的浪费。下一步改进措施：一是加大绩效工作宣传力度，强化绩效理念。加强预算绩效动态监控管理，及时跟踪项目进度，对项目实施中存在的具体问题采取纠偏措施。加强相关专业技术人员的业务培训，进一步提高预算绩效评价质量；二是年初做好资金计划，按照项目进度及时拨付资金，使资金使用效益最大化，减少不必要的浪费，节约成本。加强单位绩效管理制度体系的建立，保证资金合规合理</w:t>
      </w:r>
      <w:r>
        <w:rPr>
          <w:rFonts w:hint="eastAsia" w:ascii="仿宋_GB2312" w:hAnsi="仿宋_GB2312" w:eastAsia="仿宋_GB2312"/>
          <w:b w:val="0"/>
          <w:sz w:val="32"/>
          <w:lang w:eastAsia="zh-CN"/>
        </w:rPr>
        <w:t>地</w:t>
      </w:r>
      <w:r>
        <w:rPr>
          <w:rFonts w:ascii="仿宋_GB2312" w:hAnsi="仿宋_GB2312" w:eastAsia="仿宋_GB2312"/>
          <w:b w:val="0"/>
          <w:sz w:val="32"/>
        </w:rPr>
        <w:t>使用，为叶城县发展和改革委员会资金拨付工作提供有效依据。具体附整体支出绩效自评表，项目支出绩效自评表。</w:t>
      </w:r>
    </w:p>
    <w:p w14:paraId="6B5497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572F50">
        <w:tc>
          <w:tcPr>
            <w:tcW w:w="8847" w:type="dxa"/>
            <w:gridSpan w:val="9"/>
            <w:vAlign w:val="center"/>
          </w:tcPr>
          <w:p w14:paraId="66C35B73">
            <w:pPr>
              <w:jc w:val="center"/>
            </w:pPr>
            <w:r>
              <w:rPr>
                <w:rFonts w:ascii="宋体" w:hAnsi="宋体" w:eastAsia="宋体"/>
                <w:sz w:val="24"/>
              </w:rPr>
              <w:t>单位整体支出绩效自评表</w:t>
            </w:r>
          </w:p>
        </w:tc>
      </w:tr>
      <w:tr w14:paraId="286317BF">
        <w:tblPrEx>
          <w:tblCellMar>
            <w:top w:w="0" w:type="dxa"/>
            <w:left w:w="108" w:type="dxa"/>
            <w:bottom w:w="0" w:type="dxa"/>
            <w:right w:w="108" w:type="dxa"/>
          </w:tblCellMar>
        </w:tblPrEx>
        <w:tc>
          <w:tcPr>
            <w:tcW w:w="8847" w:type="dxa"/>
            <w:gridSpan w:val="9"/>
            <w:vAlign w:val="center"/>
          </w:tcPr>
          <w:p w14:paraId="71F77D9B">
            <w:pPr>
              <w:jc w:val="center"/>
            </w:pPr>
            <w:r>
              <w:rPr>
                <w:rFonts w:ascii="宋体" w:hAnsi="宋体" w:eastAsia="宋体"/>
                <w:sz w:val="24"/>
              </w:rPr>
              <w:t>（2024年度）</w:t>
            </w:r>
          </w:p>
        </w:tc>
      </w:tr>
      <w:tr w14:paraId="42720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B55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68D2D4">
            <w:pPr>
              <w:jc w:val="center"/>
            </w:pPr>
            <w:r>
              <w:rPr>
                <w:rFonts w:ascii="宋体" w:hAnsi="宋体" w:eastAsia="宋体"/>
                <w:sz w:val="16"/>
              </w:rPr>
              <w:t>叶城县疾病预防控制中心</w:t>
            </w:r>
          </w:p>
        </w:tc>
      </w:tr>
      <w:tr w14:paraId="2E1048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EC3A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6A18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DA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16A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B56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EA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AD4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C9E5">
            <w:pPr>
              <w:jc w:val="center"/>
            </w:pPr>
            <w:r>
              <w:rPr>
                <w:rFonts w:ascii="宋体" w:hAnsi="宋体" w:eastAsia="宋体"/>
                <w:sz w:val="16"/>
              </w:rPr>
              <w:t>得分</w:t>
            </w:r>
          </w:p>
        </w:tc>
      </w:tr>
      <w:tr w14:paraId="5208A2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94E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1FE6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E0026">
            <w:pPr>
              <w:jc w:val="center"/>
            </w:pPr>
            <w:r>
              <w:rPr>
                <w:rFonts w:ascii="宋体" w:hAnsi="宋体" w:eastAsia="宋体"/>
                <w:sz w:val="16"/>
              </w:rPr>
              <w:t>847.13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7989C">
            <w:pPr>
              <w:jc w:val="center"/>
            </w:pPr>
            <w:r>
              <w:rPr>
                <w:rFonts w:ascii="宋体" w:hAnsi="宋体" w:eastAsia="宋体"/>
                <w:sz w:val="16"/>
              </w:rPr>
              <w:t>1,841.56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E457E">
            <w:pPr>
              <w:jc w:val="center"/>
            </w:pPr>
            <w:r>
              <w:rPr>
                <w:rFonts w:ascii="宋体" w:hAnsi="宋体" w:eastAsia="宋体"/>
                <w:sz w:val="16"/>
              </w:rPr>
              <w:t>1,841.56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1E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84F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EF86">
            <w:pPr>
              <w:jc w:val="center"/>
            </w:pPr>
            <w:r>
              <w:rPr>
                <w:rFonts w:ascii="宋体" w:hAnsi="宋体" w:eastAsia="宋体"/>
                <w:sz w:val="16"/>
              </w:rPr>
              <w:t>10</w:t>
            </w:r>
          </w:p>
        </w:tc>
      </w:tr>
      <w:tr w14:paraId="20392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ADF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1D0D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E340">
            <w:pPr>
              <w:jc w:val="center"/>
            </w:pPr>
            <w:r>
              <w:rPr>
                <w:rFonts w:ascii="宋体" w:hAnsi="宋体" w:eastAsia="宋体"/>
                <w:sz w:val="16"/>
              </w:rPr>
              <w:t>5.87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6C7C">
            <w:pPr>
              <w:jc w:val="center"/>
            </w:pPr>
            <w:r>
              <w:rPr>
                <w:rFonts w:ascii="宋体" w:hAnsi="宋体" w:eastAsia="宋体"/>
                <w:sz w:val="16"/>
              </w:rPr>
              <w:t>272.04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E6035">
            <w:pPr>
              <w:jc w:val="center"/>
            </w:pPr>
            <w:r>
              <w:rPr>
                <w:rFonts w:ascii="宋体" w:hAnsi="宋体" w:eastAsia="宋体"/>
                <w:sz w:val="16"/>
              </w:rPr>
              <w:t>272.04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DB5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3EBD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08A1D">
            <w:pPr>
              <w:jc w:val="center"/>
            </w:pPr>
            <w:r>
              <w:rPr>
                <w:rFonts w:ascii="宋体" w:hAnsi="宋体" w:eastAsia="宋体"/>
                <w:sz w:val="16"/>
              </w:rPr>
              <w:t>—</w:t>
            </w:r>
          </w:p>
        </w:tc>
      </w:tr>
      <w:tr w14:paraId="62B3D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B76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AD8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FBBF">
            <w:pPr>
              <w:jc w:val="center"/>
            </w:pPr>
            <w:r>
              <w:rPr>
                <w:rFonts w:ascii="宋体" w:hAnsi="宋体" w:eastAsia="宋体"/>
                <w:sz w:val="16"/>
              </w:rPr>
              <w:t>841.26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D62D5">
            <w:pPr>
              <w:jc w:val="center"/>
            </w:pPr>
            <w:r>
              <w:rPr>
                <w:rFonts w:ascii="宋体" w:hAnsi="宋体" w:eastAsia="宋体"/>
                <w:sz w:val="16"/>
              </w:rPr>
              <w:t>879.88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CD3BC">
            <w:pPr>
              <w:jc w:val="center"/>
            </w:pPr>
            <w:r>
              <w:rPr>
                <w:rFonts w:ascii="宋体" w:hAnsi="宋体" w:eastAsia="宋体"/>
                <w:sz w:val="16"/>
              </w:rPr>
              <w:t>879.88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EEF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B7E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133C">
            <w:pPr>
              <w:jc w:val="center"/>
            </w:pPr>
            <w:r>
              <w:rPr>
                <w:rFonts w:ascii="宋体" w:hAnsi="宋体" w:eastAsia="宋体"/>
                <w:sz w:val="16"/>
              </w:rPr>
              <w:t>—</w:t>
            </w:r>
          </w:p>
        </w:tc>
      </w:tr>
      <w:tr w14:paraId="2BC73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B33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F0E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50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0203">
            <w:pPr>
              <w:jc w:val="center"/>
            </w:pPr>
            <w:r>
              <w:rPr>
                <w:rFonts w:ascii="宋体" w:hAnsi="宋体" w:eastAsia="宋体"/>
                <w:sz w:val="16"/>
              </w:rPr>
              <w:t>689.64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2A72">
            <w:pPr>
              <w:jc w:val="center"/>
            </w:pPr>
            <w:r>
              <w:rPr>
                <w:rFonts w:ascii="宋体" w:hAnsi="宋体" w:eastAsia="宋体"/>
                <w:sz w:val="16"/>
              </w:rPr>
              <w:t>689.64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18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2A1F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EA21C">
            <w:pPr>
              <w:jc w:val="center"/>
            </w:pPr>
            <w:r>
              <w:rPr>
                <w:rFonts w:ascii="宋体" w:hAnsi="宋体" w:eastAsia="宋体"/>
                <w:sz w:val="16"/>
              </w:rPr>
              <w:t>—</w:t>
            </w:r>
          </w:p>
        </w:tc>
      </w:tr>
      <w:tr w14:paraId="123868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D6E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3B3E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C52BF0">
            <w:pPr>
              <w:jc w:val="center"/>
            </w:pPr>
            <w:r>
              <w:rPr>
                <w:rFonts w:ascii="宋体" w:hAnsi="宋体" w:eastAsia="宋体"/>
                <w:sz w:val="16"/>
              </w:rPr>
              <w:t>实际完成情况</w:t>
            </w:r>
          </w:p>
        </w:tc>
      </w:tr>
      <w:tr w14:paraId="55900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21A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17F3F2">
            <w:pPr>
              <w:jc w:val="both"/>
            </w:pPr>
            <w:r>
              <w:rPr>
                <w:rFonts w:ascii="宋体" w:hAnsi="宋体" w:eastAsia="宋体"/>
                <w:sz w:val="16"/>
              </w:rPr>
              <w:t>为人民身体健康防疫保障、疫病监测、疫病预防与控制、卫生监督与检查监测、突发公共卫生事件处理、卫生宣传与健康教育、卫生防疫培训与技术指导。</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072F6">
            <w:pPr>
              <w:jc w:val="both"/>
            </w:pPr>
            <w:r>
              <w:rPr>
                <w:rFonts w:ascii="宋体" w:hAnsi="宋体" w:eastAsia="宋体"/>
                <w:sz w:val="16"/>
              </w:rPr>
              <w:t>截至2024年12月31日，本单位开展基本公共卫生</w:t>
            </w:r>
            <w:r>
              <w:rPr>
                <w:rFonts w:hint="eastAsia" w:ascii="宋体" w:hAnsi="宋体"/>
                <w:sz w:val="16"/>
                <w:lang w:eastAsia="zh-CN"/>
              </w:rPr>
              <w:t>服务项目</w:t>
            </w:r>
            <w:r>
              <w:rPr>
                <w:rFonts w:ascii="宋体" w:hAnsi="宋体" w:eastAsia="宋体"/>
                <w:sz w:val="16"/>
              </w:rPr>
              <w:t>全面掌握了城乡居民健康状况，分析影响城乡居民健康的主要因素，对危害群众健康的各类疾病做到了“早发现、早诊断、早预防、早治疗”。 为人民身体健康防疫保障、疫病监测、疫病预防与控制、卫生监督与检查监测、突发公共卫生事件处理、卫生宣传与健康教育、卫生防疫培训与技术指导。对全县范围内居民健康问题实施了干预措施落实、查找主要健康危险因素、有效预防和控制传染病、慢性病、提高公共卫生服务和突发公共卫生事件应急处置能力</w:t>
            </w:r>
            <w:r>
              <w:rPr>
                <w:rFonts w:hint="eastAsia" w:ascii="宋体" w:hAnsi="宋体"/>
                <w:sz w:val="16"/>
                <w:lang w:eastAsia="zh-CN"/>
              </w:rPr>
              <w:t>等基</w:t>
            </w:r>
            <w:r>
              <w:rPr>
                <w:rFonts w:ascii="宋体" w:hAnsi="宋体" w:eastAsia="宋体"/>
                <w:sz w:val="16"/>
              </w:rPr>
              <w:t>本公共卫生服务，逐步实现了均等化的机制，重大疾病和主要健康危险因素得到了有效的控制，使城乡居民健康水平得到了明显提升。主要完成卫生宣讲与健康教育工作次数12次、全县各级医疗机构网报传染病及时审核率100%，结核病人筛查和救治工作总体到位率98%，各类疫苗接种率97.83%，网络报告死亡卡审核率100%。</w:t>
            </w:r>
          </w:p>
        </w:tc>
      </w:tr>
      <w:tr w14:paraId="175AAB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D8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49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B3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3C46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FF8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96D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93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1EB0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0A5EC">
            <w:pPr>
              <w:jc w:val="center"/>
            </w:pPr>
            <w:r>
              <w:rPr>
                <w:rFonts w:ascii="宋体" w:hAnsi="宋体" w:eastAsia="宋体"/>
                <w:sz w:val="16"/>
              </w:rPr>
              <w:t>得分</w:t>
            </w:r>
          </w:p>
        </w:tc>
      </w:tr>
      <w:tr w14:paraId="379261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0D4F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461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CB13">
            <w:pPr>
              <w:jc w:val="center"/>
            </w:pPr>
            <w:r>
              <w:rPr>
                <w:rFonts w:ascii="宋体" w:hAnsi="宋体" w:eastAsia="宋体"/>
                <w:sz w:val="16"/>
              </w:rPr>
              <w:t>卫生宣讲与健康教育工作次数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FE9C">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A22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866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E99EF">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409CB">
            <w:pPr>
              <w:jc w:val="center"/>
            </w:pPr>
            <w:r>
              <w:rPr>
                <w:rFonts w:ascii="宋体" w:hAnsi="宋体" w:eastAsia="宋体"/>
                <w:sz w:val="16"/>
              </w:rPr>
              <w:t>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3295">
            <w:pPr>
              <w:jc w:val="center"/>
            </w:pPr>
            <w:r>
              <w:rPr>
                <w:rFonts w:ascii="宋体" w:hAnsi="宋体" w:eastAsia="宋体"/>
                <w:sz w:val="16"/>
              </w:rPr>
              <w:t>18</w:t>
            </w:r>
          </w:p>
        </w:tc>
      </w:tr>
      <w:tr w14:paraId="082A0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0F6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4CF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8A4FD">
            <w:pPr>
              <w:jc w:val="center"/>
            </w:pPr>
            <w:r>
              <w:rPr>
                <w:rFonts w:ascii="宋体" w:hAnsi="宋体" w:eastAsia="宋体"/>
                <w:sz w:val="16"/>
              </w:rPr>
              <w:t>全县各级医疗机构网报传染病及时审核率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8A1F">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B10D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B042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6F6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A57C">
            <w:pPr>
              <w:jc w:val="center"/>
            </w:pPr>
            <w:r>
              <w:rPr>
                <w:rFonts w:ascii="宋体" w:hAnsi="宋体" w:eastAsia="宋体"/>
                <w:sz w:val="16"/>
              </w:rPr>
              <w:t>102.04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9430">
            <w:pPr>
              <w:jc w:val="center"/>
            </w:pPr>
            <w:r>
              <w:rPr>
                <w:rFonts w:ascii="宋体" w:hAnsi="宋体" w:eastAsia="宋体"/>
                <w:sz w:val="16"/>
              </w:rPr>
              <w:t>18</w:t>
            </w:r>
          </w:p>
        </w:tc>
      </w:tr>
      <w:tr w14:paraId="2C357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14A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124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7A13A">
            <w:pPr>
              <w:jc w:val="center"/>
            </w:pPr>
            <w:r>
              <w:rPr>
                <w:rFonts w:ascii="宋体" w:hAnsi="宋体" w:eastAsia="宋体"/>
                <w:sz w:val="16"/>
              </w:rPr>
              <w:t>结核病人筛查和救治工作总体到位率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FD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7012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395C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E8B5">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3815A">
            <w:pPr>
              <w:jc w:val="center"/>
            </w:pPr>
            <w:r>
              <w:rPr>
                <w:rFonts w:ascii="宋体" w:hAnsi="宋体" w:eastAsia="宋体"/>
                <w:sz w:val="16"/>
              </w:rPr>
              <w:t>103.16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FD36F">
            <w:pPr>
              <w:jc w:val="center"/>
            </w:pPr>
            <w:r>
              <w:rPr>
                <w:rFonts w:ascii="宋体" w:hAnsi="宋体" w:eastAsia="宋体"/>
                <w:sz w:val="16"/>
              </w:rPr>
              <w:t>18</w:t>
            </w:r>
          </w:p>
        </w:tc>
      </w:tr>
      <w:tr w14:paraId="4A2F7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97D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062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44C01">
            <w:pPr>
              <w:jc w:val="center"/>
            </w:pPr>
            <w:r>
              <w:rPr>
                <w:rFonts w:ascii="宋体" w:hAnsi="宋体" w:eastAsia="宋体"/>
                <w:sz w:val="16"/>
              </w:rPr>
              <w:t>各类疫苗接种率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EBD60">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9A3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076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B7050">
            <w:pPr>
              <w:jc w:val="center"/>
            </w:pPr>
            <w:r>
              <w:rPr>
                <w:rFonts w:ascii="宋体" w:hAnsi="宋体" w:eastAsia="宋体"/>
                <w:sz w:val="16"/>
              </w:rPr>
              <w:t>97.83%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DF75">
            <w:pPr>
              <w:jc w:val="center"/>
            </w:pPr>
            <w:r>
              <w:rPr>
                <w:rFonts w:ascii="宋体" w:hAnsi="宋体" w:eastAsia="宋体"/>
                <w:sz w:val="16"/>
              </w:rPr>
              <w:t>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5B9DD">
            <w:pPr>
              <w:jc w:val="center"/>
            </w:pPr>
            <w:r>
              <w:rPr>
                <w:rFonts w:ascii="宋体" w:hAnsi="宋体" w:eastAsia="宋体"/>
                <w:sz w:val="16"/>
              </w:rPr>
              <w:t>18</w:t>
            </w:r>
          </w:p>
        </w:tc>
      </w:tr>
      <w:tr w14:paraId="23C7B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700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182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A95A">
            <w:pPr>
              <w:jc w:val="center"/>
            </w:pPr>
            <w:r>
              <w:rPr>
                <w:rFonts w:ascii="宋体" w:hAnsi="宋体" w:eastAsia="宋体"/>
                <w:sz w:val="16"/>
              </w:rPr>
              <w:t>网络报告死亡卡审核率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6E9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32E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104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B6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34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977A">
            <w:pPr>
              <w:jc w:val="center"/>
            </w:pPr>
            <w:r>
              <w:rPr>
                <w:rFonts w:ascii="宋体" w:hAnsi="宋体" w:eastAsia="宋体"/>
                <w:sz w:val="16"/>
              </w:rPr>
              <w:t>18</w:t>
            </w:r>
          </w:p>
        </w:tc>
      </w:tr>
    </w:tbl>
    <w:p w14:paraId="23F264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1637B979">
        <w:tblPrEx>
          <w:tblCellMar>
            <w:top w:w="0" w:type="dxa"/>
            <w:left w:w="108" w:type="dxa"/>
            <w:bottom w:w="0" w:type="dxa"/>
            <w:right w:w="108" w:type="dxa"/>
          </w:tblCellMar>
        </w:tblPrEx>
        <w:tc>
          <w:tcPr>
            <w:tcW w:w="8848" w:type="dxa"/>
            <w:gridSpan w:val="14"/>
            <w:vAlign w:val="center"/>
          </w:tcPr>
          <w:p w14:paraId="66652529">
            <w:pPr>
              <w:jc w:val="center"/>
            </w:pPr>
            <w:r>
              <w:rPr>
                <w:rFonts w:ascii="宋体" w:hAnsi="宋体" w:eastAsia="宋体"/>
                <w:sz w:val="24"/>
              </w:rPr>
              <w:t>项目支出绩效自评表</w:t>
            </w:r>
          </w:p>
        </w:tc>
      </w:tr>
      <w:tr w14:paraId="5BE9B9F9">
        <w:tblPrEx>
          <w:tblCellMar>
            <w:top w:w="0" w:type="dxa"/>
            <w:left w:w="108" w:type="dxa"/>
            <w:bottom w:w="0" w:type="dxa"/>
            <w:right w:w="108" w:type="dxa"/>
          </w:tblCellMar>
        </w:tblPrEx>
        <w:tc>
          <w:tcPr>
            <w:tcW w:w="8848" w:type="dxa"/>
            <w:gridSpan w:val="14"/>
            <w:vAlign w:val="center"/>
          </w:tcPr>
          <w:p w14:paraId="47E14A0C">
            <w:pPr>
              <w:jc w:val="center"/>
            </w:pPr>
            <w:r>
              <w:rPr>
                <w:rFonts w:ascii="宋体" w:hAnsi="宋体" w:eastAsia="宋体"/>
                <w:sz w:val="24"/>
              </w:rPr>
              <w:t>(2024年度)</w:t>
            </w:r>
          </w:p>
        </w:tc>
      </w:tr>
      <w:tr w14:paraId="72EF4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0F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60D8B4">
            <w:pPr>
              <w:jc w:val="center"/>
            </w:pPr>
            <w:r>
              <w:rPr>
                <w:rFonts w:ascii="宋体" w:hAnsi="宋体" w:eastAsia="宋体"/>
                <w:sz w:val="16"/>
              </w:rPr>
              <w:t>2024年中央基本公共卫生服务补助资金项目</w:t>
            </w:r>
          </w:p>
        </w:tc>
      </w:tr>
      <w:tr w14:paraId="2D431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FD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0B3EBA">
            <w:pPr>
              <w:jc w:val="center"/>
            </w:pPr>
            <w:r>
              <w:rPr>
                <w:rFonts w:ascii="宋体" w:hAnsi="宋体" w:eastAsia="宋体"/>
                <w:sz w:val="16"/>
              </w:rPr>
              <w:t>叶城县疾病预防控制中心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33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EEC3B">
            <w:pPr>
              <w:jc w:val="center"/>
            </w:pPr>
            <w:r>
              <w:rPr>
                <w:rFonts w:ascii="宋体" w:hAnsi="宋体" w:eastAsia="宋体"/>
                <w:sz w:val="16"/>
              </w:rPr>
              <w:t>叶城县疾病预防控制中心</w:t>
            </w:r>
          </w:p>
        </w:tc>
      </w:tr>
      <w:tr w14:paraId="78E22B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891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CB1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D2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BC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98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046E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B7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B84B">
            <w:pPr>
              <w:jc w:val="center"/>
            </w:pPr>
            <w:r>
              <w:rPr>
                <w:rFonts w:ascii="宋体" w:hAnsi="宋体" w:eastAsia="宋体"/>
                <w:sz w:val="16"/>
              </w:rPr>
              <w:t>得分</w:t>
            </w:r>
          </w:p>
        </w:tc>
      </w:tr>
      <w:tr w14:paraId="66B68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AB6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1CD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46B5">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137F">
            <w:pPr>
              <w:jc w:val="center"/>
            </w:pPr>
            <w:r>
              <w:rPr>
                <w:rFonts w:ascii="宋体" w:hAnsi="宋体" w:eastAsia="宋体"/>
                <w:sz w:val="16"/>
              </w:rPr>
              <w:t>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B002">
            <w:pPr>
              <w:jc w:val="center"/>
            </w:pPr>
            <w:r>
              <w:rPr>
                <w:rFonts w:ascii="宋体" w:hAnsi="宋体" w:eastAsia="宋体"/>
                <w:sz w:val="16"/>
              </w:rPr>
              <w:t>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7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7570">
            <w:pPr>
              <w:jc w:val="center"/>
            </w:pPr>
            <w:r>
              <w:rPr>
                <w:rFonts w:ascii="宋体" w:hAnsi="宋体" w:eastAsia="宋体"/>
                <w:sz w:val="16"/>
              </w:rPr>
              <w:t>85.00%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BC6F">
            <w:pPr>
              <w:jc w:val="center"/>
            </w:pPr>
            <w:r>
              <w:rPr>
                <w:rFonts w:ascii="宋体" w:hAnsi="宋体" w:eastAsia="宋体"/>
                <w:sz w:val="16"/>
              </w:rPr>
              <w:t>10.00分</w:t>
            </w:r>
          </w:p>
        </w:tc>
      </w:tr>
      <w:tr w14:paraId="0A450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727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FC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31DC">
            <w:pPr>
              <w:jc w:val="center"/>
            </w:pPr>
            <w:r>
              <w:rPr>
                <w:rFonts w:ascii="宋体" w:hAnsi="宋体" w:eastAsia="宋体"/>
                <w:sz w:val="16"/>
              </w:rPr>
              <w:t>15.10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CCDF6">
            <w:pPr>
              <w:jc w:val="center"/>
            </w:pPr>
            <w:r>
              <w:rPr>
                <w:rFonts w:ascii="宋体" w:hAnsi="宋体" w:eastAsia="宋体"/>
                <w:sz w:val="16"/>
              </w:rPr>
              <w:t>16.40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51689">
            <w:pPr>
              <w:jc w:val="center"/>
            </w:pPr>
            <w:r>
              <w:rPr>
                <w:rFonts w:ascii="宋体" w:hAnsi="宋体" w:eastAsia="宋体"/>
                <w:sz w:val="16"/>
              </w:rPr>
              <w:t>13.94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9FE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728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011C">
            <w:pPr>
              <w:jc w:val="center"/>
            </w:pPr>
            <w:r>
              <w:rPr>
                <w:rFonts w:ascii="宋体" w:hAnsi="宋体" w:eastAsia="宋体"/>
                <w:sz w:val="16"/>
              </w:rPr>
              <w:t>—</w:t>
            </w:r>
          </w:p>
        </w:tc>
      </w:tr>
      <w:tr w14:paraId="4DF5B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80E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3B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6F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31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3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CE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028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3C41">
            <w:pPr>
              <w:jc w:val="center"/>
            </w:pPr>
            <w:r>
              <w:rPr>
                <w:rFonts w:ascii="宋体" w:hAnsi="宋体" w:eastAsia="宋体"/>
                <w:sz w:val="16"/>
              </w:rPr>
              <w:t>—</w:t>
            </w:r>
          </w:p>
        </w:tc>
      </w:tr>
      <w:tr w14:paraId="041590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1B6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8841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64B7BA">
            <w:pPr>
              <w:jc w:val="center"/>
            </w:pPr>
            <w:r>
              <w:rPr>
                <w:rFonts w:ascii="宋体" w:hAnsi="宋体" w:eastAsia="宋体"/>
                <w:sz w:val="16"/>
              </w:rPr>
              <w:t>实际完成情况</w:t>
            </w:r>
          </w:p>
        </w:tc>
      </w:tr>
      <w:tr w14:paraId="08172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2D9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323A18">
            <w:pPr>
              <w:jc w:val="both"/>
            </w:pPr>
            <w:r>
              <w:rPr>
                <w:rFonts w:ascii="宋体" w:hAnsi="宋体" w:eastAsia="宋体"/>
                <w:sz w:val="16"/>
              </w:rPr>
              <w:t>项目预算安排资金16.4万元，开展重大公共卫生服务工作，进一步加强疾病</w:t>
            </w:r>
            <w:r>
              <w:rPr>
                <w:rFonts w:hint="eastAsia" w:ascii="宋体" w:hAnsi="宋体"/>
                <w:sz w:val="16"/>
                <w:lang w:eastAsia="zh-CN"/>
              </w:rPr>
              <w:t>预防</w:t>
            </w:r>
            <w:r>
              <w:rPr>
                <w:rFonts w:ascii="宋体" w:hAnsi="宋体" w:eastAsia="宋体"/>
                <w:sz w:val="16"/>
              </w:rPr>
              <w:t>宣传，增强人民群众疾病预防意识，提高人民群众健康水平。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BB513">
            <w:pPr>
              <w:jc w:val="both"/>
            </w:pPr>
            <w:r>
              <w:rPr>
                <w:rFonts w:hint="eastAsia" w:ascii="宋体" w:hAnsi="宋体"/>
                <w:sz w:val="16"/>
                <w:lang w:eastAsia="zh-CN"/>
              </w:rPr>
              <w:t>截至</w:t>
            </w:r>
            <w:r>
              <w:rPr>
                <w:rFonts w:ascii="宋体" w:hAnsi="宋体" w:eastAsia="宋体"/>
                <w:sz w:val="16"/>
              </w:rPr>
              <w:t>2024年12月31日，该项目总资金16.4万元，到位资金16.4万元，执行资金13.94万元，执行率85%。重大职业病筛选任务完成率100%,水质检测合格率100%,开展重大公共卫生服务工作，进一步加强疾病</w:t>
            </w:r>
            <w:r>
              <w:rPr>
                <w:rFonts w:hint="eastAsia" w:ascii="宋体" w:hAnsi="宋体"/>
                <w:sz w:val="16"/>
                <w:lang w:eastAsia="zh-CN"/>
              </w:rPr>
              <w:t>预防</w:t>
            </w:r>
            <w:r>
              <w:rPr>
                <w:rFonts w:ascii="宋体" w:hAnsi="宋体" w:eastAsia="宋体"/>
                <w:sz w:val="16"/>
              </w:rPr>
              <w:t>宣传，增强人民群众疾病预防意识，提高人民群众健康水平。</w:t>
            </w:r>
          </w:p>
        </w:tc>
      </w:tr>
      <w:tr w14:paraId="123F2A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A6B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BE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88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F5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6D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B0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87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47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EB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14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74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A9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52C0A">
            <w:pPr>
              <w:jc w:val="center"/>
            </w:pPr>
            <w:r>
              <w:rPr>
                <w:rFonts w:ascii="宋体" w:hAnsi="宋体" w:eastAsia="宋体"/>
                <w:sz w:val="16"/>
              </w:rPr>
              <w:t>偏差原因分析及改进措施</w:t>
            </w:r>
          </w:p>
        </w:tc>
      </w:tr>
      <w:tr w14:paraId="60AB6B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F5B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F74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FD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6B5E">
            <w:pPr>
              <w:jc w:val="center"/>
            </w:pPr>
            <w:r>
              <w:rPr>
                <w:rFonts w:ascii="宋体" w:hAnsi="宋体" w:eastAsia="宋体"/>
                <w:sz w:val="16"/>
              </w:rPr>
              <w:t>重大职业病筛选任务完成率（%）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6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5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C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E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7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B6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4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8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5DA4">
            <w:pPr>
              <w:jc w:val="center"/>
            </w:pPr>
          </w:p>
        </w:tc>
      </w:tr>
      <w:tr w14:paraId="147F8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CE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CE2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1FC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303D">
            <w:pPr>
              <w:jc w:val="center"/>
            </w:pPr>
            <w:r>
              <w:rPr>
                <w:rFonts w:ascii="宋体" w:hAnsi="宋体" w:eastAsia="宋体"/>
                <w:sz w:val="16"/>
              </w:rPr>
              <w:t>水质检测合格率（%）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5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D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C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4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3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D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C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DC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EC48">
            <w:pPr>
              <w:jc w:val="center"/>
            </w:pPr>
          </w:p>
        </w:tc>
      </w:tr>
      <w:tr w14:paraId="41A49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AF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4B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79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AE93">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2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8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5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2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1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9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7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3C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35231">
            <w:pPr>
              <w:jc w:val="center"/>
            </w:pPr>
          </w:p>
        </w:tc>
      </w:tr>
      <w:tr w14:paraId="2FC5D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4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9D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64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DEE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E10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F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445F">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6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A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6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EB2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705E">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A05A">
            <w:pPr>
              <w:jc w:val="center"/>
            </w:pPr>
            <w:r>
              <w:rPr>
                <w:rFonts w:ascii="宋体" w:hAnsi="宋体" w:eastAsia="宋体"/>
                <w:sz w:val="16"/>
              </w:rPr>
              <w:t>项目部分资金未支完，未达到预期效益；做好年初预算</w:t>
            </w:r>
          </w:p>
        </w:tc>
      </w:tr>
      <w:tr w14:paraId="5480E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8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8B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6E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8B52">
            <w:pPr>
              <w:jc w:val="center"/>
            </w:pPr>
            <w:r>
              <w:rPr>
                <w:rFonts w:ascii="宋体" w:hAnsi="宋体" w:eastAsia="宋体"/>
                <w:sz w:val="16"/>
              </w:rPr>
              <w:t>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9C97">
            <w:pPr>
              <w:jc w:val="center"/>
            </w:pPr>
            <w:r>
              <w:rPr>
                <w:rFonts w:ascii="宋体" w:hAnsi="宋体" w:eastAsia="宋体"/>
                <w:sz w:val="16"/>
              </w:rPr>
              <w: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25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F56F">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4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19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CE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E614">
            <w:pPr>
              <w:jc w:val="center"/>
            </w:pPr>
            <w:r>
              <w:rPr>
                <w:rFonts w:ascii="宋体" w:hAnsi="宋体" w:eastAsia="宋体"/>
                <w:sz w:val="16"/>
              </w:rPr>
              <w:t>=13.94%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563B">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4575">
            <w:pPr>
              <w:jc w:val="center"/>
            </w:pPr>
            <w:r>
              <w:rPr>
                <w:rFonts w:ascii="宋体" w:hAnsi="宋体" w:eastAsia="宋体"/>
                <w:sz w:val="16"/>
              </w:rPr>
              <w:t>资金拨付手续提交不及时，资金支付进度缓慢；加快资金支付进度</w:t>
            </w:r>
          </w:p>
        </w:tc>
      </w:tr>
      <w:tr w14:paraId="13852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76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FC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37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A2BF">
            <w:pPr>
              <w:jc w:val="center"/>
            </w:pPr>
            <w:r>
              <w:rPr>
                <w:rFonts w:ascii="宋体" w:hAnsi="宋体" w:eastAsia="宋体"/>
                <w:sz w:val="16"/>
              </w:rPr>
              <w:t>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D5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040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8E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F2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88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FAC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9B0D">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E5D7">
            <w:pPr>
              <w:jc w:val="center"/>
            </w:pPr>
            <w:r>
              <w:rPr>
                <w:rFonts w:ascii="宋体" w:hAnsi="宋体" w:eastAsia="宋体"/>
                <w:sz w:val="16"/>
              </w:rPr>
              <w:t>项目部分资金未支完，未达到预期效益；做好年初预算</w:t>
            </w:r>
          </w:p>
        </w:tc>
      </w:tr>
      <w:tr w14:paraId="62D07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C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5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83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7DD2">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36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4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E2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E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DE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EA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26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5F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A2AEF">
            <w:pPr>
              <w:jc w:val="center"/>
            </w:pPr>
          </w:p>
        </w:tc>
      </w:tr>
      <w:tr w14:paraId="4B475DB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E7A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FF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2CF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4413">
            <w:pPr>
              <w:jc w:val="center"/>
            </w:pPr>
            <w:r>
              <w:rPr>
                <w:rFonts w:ascii="宋体" w:hAnsi="宋体" w:eastAsia="宋体"/>
                <w:sz w:val="16"/>
              </w:rPr>
              <w:t>84.75分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743B2E"/>
        </w:tc>
      </w:tr>
    </w:tbl>
    <w:p w14:paraId="4E7BB2F6">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30"/>
        <w:gridCol w:w="856"/>
        <w:gridCol w:w="603"/>
        <w:gridCol w:w="696"/>
        <w:gridCol w:w="612"/>
        <w:gridCol w:w="603"/>
        <w:gridCol w:w="603"/>
        <w:gridCol w:w="776"/>
        <w:gridCol w:w="633"/>
        <w:gridCol w:w="588"/>
        <w:gridCol w:w="633"/>
      </w:tblGrid>
      <w:tr w14:paraId="2B78386A">
        <w:tblPrEx>
          <w:tblCellMar>
            <w:top w:w="0" w:type="dxa"/>
            <w:left w:w="108" w:type="dxa"/>
            <w:bottom w:w="0" w:type="dxa"/>
            <w:right w:w="108" w:type="dxa"/>
          </w:tblCellMar>
        </w:tblPrEx>
        <w:tc>
          <w:tcPr>
            <w:tcW w:w="8848" w:type="dxa"/>
            <w:gridSpan w:val="14"/>
            <w:vAlign w:val="center"/>
          </w:tcPr>
          <w:p w14:paraId="0CC7C52C">
            <w:pPr>
              <w:jc w:val="center"/>
            </w:pPr>
            <w:r>
              <w:rPr>
                <w:rFonts w:ascii="宋体" w:hAnsi="宋体" w:eastAsia="宋体"/>
                <w:sz w:val="24"/>
              </w:rPr>
              <w:t>项目支出绩效自评表</w:t>
            </w:r>
          </w:p>
        </w:tc>
      </w:tr>
      <w:tr w14:paraId="5FC75C4D">
        <w:tblPrEx>
          <w:tblCellMar>
            <w:top w:w="0" w:type="dxa"/>
            <w:left w:w="108" w:type="dxa"/>
            <w:bottom w:w="0" w:type="dxa"/>
            <w:right w:w="108" w:type="dxa"/>
          </w:tblCellMar>
        </w:tblPrEx>
        <w:tc>
          <w:tcPr>
            <w:tcW w:w="8848" w:type="dxa"/>
            <w:gridSpan w:val="14"/>
            <w:vAlign w:val="center"/>
          </w:tcPr>
          <w:p w14:paraId="396ED03D">
            <w:pPr>
              <w:jc w:val="center"/>
            </w:pPr>
            <w:r>
              <w:rPr>
                <w:rFonts w:ascii="宋体" w:hAnsi="宋体" w:eastAsia="宋体"/>
                <w:sz w:val="24"/>
              </w:rPr>
              <w:t>(2024年度)</w:t>
            </w:r>
          </w:p>
        </w:tc>
      </w:tr>
      <w:tr w14:paraId="523487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27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A38E03">
            <w:pPr>
              <w:jc w:val="center"/>
            </w:pPr>
            <w:r>
              <w:rPr>
                <w:rFonts w:ascii="宋体" w:hAnsi="宋体" w:eastAsia="宋体"/>
                <w:sz w:val="16"/>
              </w:rPr>
              <w:t>2024年中央重大传染病防控经费项目</w:t>
            </w:r>
          </w:p>
        </w:tc>
      </w:tr>
      <w:tr w14:paraId="4D3D7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77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064BF">
            <w:pPr>
              <w:jc w:val="center"/>
            </w:pPr>
            <w:r>
              <w:rPr>
                <w:rFonts w:ascii="宋体" w:hAnsi="宋体" w:eastAsia="宋体"/>
                <w:sz w:val="16"/>
              </w:rPr>
              <w:t>叶城县卫健委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75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820937">
            <w:pPr>
              <w:jc w:val="center"/>
            </w:pPr>
            <w:r>
              <w:rPr>
                <w:rFonts w:ascii="宋体" w:hAnsi="宋体" w:eastAsia="宋体"/>
                <w:sz w:val="16"/>
              </w:rPr>
              <w:t>叶城县疾病预防控制中心</w:t>
            </w:r>
          </w:p>
        </w:tc>
      </w:tr>
      <w:tr w14:paraId="66E779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836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04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C2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E3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D5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3A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284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08D8">
            <w:pPr>
              <w:jc w:val="center"/>
            </w:pPr>
            <w:r>
              <w:rPr>
                <w:rFonts w:ascii="宋体" w:hAnsi="宋体" w:eastAsia="宋体"/>
                <w:sz w:val="16"/>
              </w:rPr>
              <w:t>得分</w:t>
            </w:r>
          </w:p>
        </w:tc>
      </w:tr>
      <w:tr w14:paraId="34448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6D9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43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BD8F9">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207B">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876B">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F6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13A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EB84">
            <w:pPr>
              <w:jc w:val="center"/>
            </w:pPr>
            <w:r>
              <w:rPr>
                <w:rFonts w:ascii="宋体" w:hAnsi="宋体" w:eastAsia="宋体"/>
                <w:sz w:val="16"/>
              </w:rPr>
              <w:t>10.00分</w:t>
            </w:r>
          </w:p>
        </w:tc>
      </w:tr>
      <w:tr w14:paraId="2C57B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6C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5BC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8E57D">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D7D0E">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B120">
            <w:pPr>
              <w:jc w:val="center"/>
            </w:pPr>
            <w:r>
              <w:rPr>
                <w:rFonts w:ascii="宋体" w:hAnsi="宋体" w:eastAsia="宋体"/>
                <w:sz w:val="16"/>
              </w:rPr>
              <w:t>130.96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B2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C13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210C">
            <w:pPr>
              <w:jc w:val="center"/>
            </w:pPr>
            <w:r>
              <w:rPr>
                <w:rFonts w:ascii="宋体" w:hAnsi="宋体" w:eastAsia="宋体"/>
                <w:sz w:val="16"/>
              </w:rPr>
              <w:t>—</w:t>
            </w:r>
          </w:p>
        </w:tc>
      </w:tr>
      <w:tr w14:paraId="08F58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5CD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E4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D5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6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BA1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7E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BEA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783D">
            <w:pPr>
              <w:jc w:val="center"/>
            </w:pPr>
            <w:r>
              <w:rPr>
                <w:rFonts w:ascii="宋体" w:hAnsi="宋体" w:eastAsia="宋体"/>
                <w:sz w:val="16"/>
              </w:rPr>
              <w:t>—</w:t>
            </w:r>
          </w:p>
        </w:tc>
      </w:tr>
      <w:tr w14:paraId="6757BE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EE3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CF6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5413B3">
            <w:pPr>
              <w:jc w:val="center"/>
            </w:pPr>
            <w:r>
              <w:rPr>
                <w:rFonts w:ascii="宋体" w:hAnsi="宋体" w:eastAsia="宋体"/>
                <w:sz w:val="16"/>
              </w:rPr>
              <w:t>实际完成情况</w:t>
            </w:r>
          </w:p>
        </w:tc>
      </w:tr>
      <w:tr w14:paraId="18922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FEC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ECF77">
            <w:pPr>
              <w:jc w:val="both"/>
            </w:pPr>
            <w:r>
              <w:rPr>
                <w:rFonts w:ascii="宋体" w:hAnsi="宋体" w:eastAsia="宋体"/>
                <w:sz w:val="16"/>
              </w:rPr>
              <w:t>项目预算安排资金130.96万元，开展重大传染病防控工作，进一步减少结核感染，患病和死亡，切实降低结核病负担，控制包虫病等重点寄生虫病的流行，提高人民群众健康水平。健全完善慢性疾病及危险因素监测网络，以慢性病综合防治示范区和全面健康生活方式行动为抓手，加强慢性病防控能力建设，加强严重精神障碍患者筛查、登记报告和随访服务，开展社会心理服务体系建设试点，提高患者治疗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AAA46">
            <w:pPr>
              <w:jc w:val="both"/>
            </w:pPr>
            <w:r>
              <w:rPr>
                <w:rFonts w:ascii="宋体" w:hAnsi="宋体" w:eastAsia="宋体"/>
                <w:sz w:val="16"/>
              </w:rPr>
              <w:t>2024年中央重大传染病防控经费项目，该项目总</w:t>
            </w:r>
            <w:r>
              <w:rPr>
                <w:rFonts w:hint="eastAsia" w:ascii="宋体" w:hAnsi="宋体"/>
                <w:sz w:val="16"/>
                <w:lang w:eastAsia="zh-CN"/>
              </w:rPr>
              <w:t>资金</w:t>
            </w:r>
            <w:r>
              <w:rPr>
                <w:rFonts w:ascii="宋体" w:hAnsi="宋体" w:eastAsia="宋体"/>
                <w:sz w:val="16"/>
              </w:rPr>
              <w:t>130.96万元，截至2024年12月31日，到位资金130.96万元，执行资金130.96万元，执行率100%。重大传染病筛查任务完成率100%，重大传染病普查覆盖率100%，有效提高患者治疗率。受益患者满意度95%。</w:t>
            </w:r>
          </w:p>
        </w:tc>
      </w:tr>
      <w:tr w14:paraId="45E268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C8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AE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76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90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F8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47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B7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57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CD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6F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17C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C9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3A29">
            <w:pPr>
              <w:jc w:val="center"/>
            </w:pPr>
            <w:r>
              <w:rPr>
                <w:rFonts w:ascii="宋体" w:hAnsi="宋体" w:eastAsia="宋体"/>
                <w:sz w:val="16"/>
              </w:rPr>
              <w:t>偏差原因分析及改进措施</w:t>
            </w:r>
          </w:p>
        </w:tc>
      </w:tr>
      <w:tr w14:paraId="77122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105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A80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A1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71C3">
            <w:pPr>
              <w:jc w:val="center"/>
            </w:pPr>
            <w:r>
              <w:rPr>
                <w:rFonts w:ascii="宋体" w:hAnsi="宋体" w:eastAsia="宋体"/>
                <w:sz w:val="16"/>
              </w:rPr>
              <w:t>重大传染病筛查任务完成率（%）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E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B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8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9A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3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1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0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BB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084CB">
            <w:pPr>
              <w:jc w:val="center"/>
            </w:pPr>
          </w:p>
        </w:tc>
      </w:tr>
      <w:tr w14:paraId="3EB5F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6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83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23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7362">
            <w:pPr>
              <w:jc w:val="center"/>
            </w:pPr>
            <w:r>
              <w:rPr>
                <w:rFonts w:ascii="宋体" w:hAnsi="宋体" w:eastAsia="宋体"/>
                <w:sz w:val="16"/>
              </w:rPr>
              <w:t>重大传染病普查覆盖率（%）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D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0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C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73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B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7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A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6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AF63">
            <w:pPr>
              <w:jc w:val="center"/>
            </w:pPr>
          </w:p>
        </w:tc>
      </w:tr>
      <w:tr w14:paraId="66DF0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8B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F0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88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6D7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954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D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D29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D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4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3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660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1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CE8E">
            <w:pPr>
              <w:jc w:val="center"/>
            </w:pPr>
          </w:p>
        </w:tc>
      </w:tr>
      <w:tr w14:paraId="52B55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E0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58F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621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447D">
            <w:pPr>
              <w:jc w:val="center"/>
            </w:pPr>
            <w:r>
              <w:rPr>
                <w:rFonts w:ascii="宋体" w:hAnsi="宋体" w:eastAsia="宋体"/>
                <w:sz w:val="16"/>
              </w:rPr>
              <w:t>疾病防治（万元）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AB20">
            <w:pPr>
              <w:jc w:val="center"/>
            </w:pPr>
            <w:r>
              <w:rPr>
                <w:rFonts w:ascii="宋体" w:hAnsi="宋体" w:eastAsia="宋体"/>
                <w:sz w:val="16"/>
              </w:rPr>
              <w:t>&lt;=125.96万元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ED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F490">
            <w:pPr>
              <w:jc w:val="center"/>
            </w:pPr>
            <w:r>
              <w:rPr>
                <w:rFonts w:ascii="宋体" w:hAnsi="宋体" w:eastAsia="宋体"/>
                <w:sz w:val="16"/>
              </w:rPr>
              <w:t>125.96万元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18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5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3C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A8C3">
            <w:pPr>
              <w:jc w:val="center"/>
            </w:pPr>
            <w:r>
              <w:rPr>
                <w:rFonts w:ascii="宋体" w:hAnsi="宋体" w:eastAsia="宋体"/>
                <w:sz w:val="16"/>
              </w:rPr>
              <w:t>=125.96万元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A9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F379">
            <w:pPr>
              <w:jc w:val="center"/>
            </w:pPr>
          </w:p>
        </w:tc>
      </w:tr>
      <w:tr w14:paraId="08E49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7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CD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B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9B13">
            <w:pPr>
              <w:jc w:val="center"/>
            </w:pPr>
            <w:r>
              <w:rPr>
                <w:rFonts w:ascii="宋体" w:hAnsi="宋体" w:eastAsia="宋体"/>
                <w:sz w:val="16"/>
              </w:rPr>
              <w:t>其他（万元）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0CA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04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A27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A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A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CF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2F7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DA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B1E0">
            <w:pPr>
              <w:jc w:val="center"/>
            </w:pPr>
            <w:r>
              <w:rPr>
                <w:rFonts w:ascii="宋体" w:hAnsi="宋体" w:eastAsia="宋体"/>
                <w:sz w:val="16"/>
              </w:rPr>
              <w:t>该项目总资金130.96，执行率130.0049万元，由于资金拨付手续提交不及时，导致剩余资金未支付出去</w:t>
            </w:r>
          </w:p>
        </w:tc>
      </w:tr>
      <w:tr w14:paraId="2FAFC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A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98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02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6159">
            <w:pPr>
              <w:jc w:val="center"/>
            </w:pPr>
            <w:r>
              <w:rPr>
                <w:rFonts w:ascii="宋体" w:hAnsi="宋体" w:eastAsia="宋体"/>
                <w:sz w:val="16"/>
              </w:rPr>
              <w:t>提高患者治疗率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33C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F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E13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07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A2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61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18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36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85B2">
            <w:pPr>
              <w:jc w:val="center"/>
            </w:pPr>
          </w:p>
        </w:tc>
      </w:tr>
      <w:tr w14:paraId="3B091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FD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62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0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29F1">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C8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A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5E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7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A9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2D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D7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57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F64C">
            <w:pPr>
              <w:jc w:val="center"/>
            </w:pPr>
          </w:p>
        </w:tc>
      </w:tr>
      <w:tr w14:paraId="7D83A8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632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D73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025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F0C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B4E670"/>
        </w:tc>
      </w:tr>
    </w:tbl>
    <w:p w14:paraId="6B37D7AC">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00764CD1">
        <w:tblPrEx>
          <w:tblCellMar>
            <w:top w:w="0" w:type="dxa"/>
            <w:left w:w="108" w:type="dxa"/>
            <w:bottom w:w="0" w:type="dxa"/>
            <w:right w:w="108" w:type="dxa"/>
          </w:tblCellMar>
        </w:tblPrEx>
        <w:tc>
          <w:tcPr>
            <w:tcW w:w="8848" w:type="dxa"/>
            <w:gridSpan w:val="14"/>
            <w:vAlign w:val="center"/>
          </w:tcPr>
          <w:p w14:paraId="476A0F0E">
            <w:pPr>
              <w:jc w:val="center"/>
            </w:pPr>
            <w:r>
              <w:rPr>
                <w:rFonts w:ascii="宋体" w:hAnsi="宋体" w:eastAsia="宋体"/>
                <w:sz w:val="24"/>
              </w:rPr>
              <w:t>项目支出绩效自评表</w:t>
            </w:r>
          </w:p>
        </w:tc>
      </w:tr>
      <w:tr w14:paraId="42A7B024">
        <w:tblPrEx>
          <w:tblCellMar>
            <w:top w:w="0" w:type="dxa"/>
            <w:left w:w="108" w:type="dxa"/>
            <w:bottom w:w="0" w:type="dxa"/>
            <w:right w:w="108" w:type="dxa"/>
          </w:tblCellMar>
        </w:tblPrEx>
        <w:tc>
          <w:tcPr>
            <w:tcW w:w="8848" w:type="dxa"/>
            <w:gridSpan w:val="14"/>
            <w:vAlign w:val="center"/>
          </w:tcPr>
          <w:p w14:paraId="0DDBC129">
            <w:pPr>
              <w:jc w:val="center"/>
            </w:pPr>
            <w:r>
              <w:rPr>
                <w:rFonts w:ascii="宋体" w:hAnsi="宋体" w:eastAsia="宋体"/>
                <w:sz w:val="24"/>
              </w:rPr>
              <w:t>(2024年度)</w:t>
            </w:r>
          </w:p>
        </w:tc>
      </w:tr>
      <w:tr w14:paraId="3BFE6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2E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60EA06">
            <w:pPr>
              <w:jc w:val="center"/>
            </w:pPr>
            <w:r>
              <w:rPr>
                <w:rFonts w:ascii="宋体" w:hAnsi="宋体" w:eastAsia="宋体"/>
                <w:sz w:val="16"/>
              </w:rPr>
              <w:t>2024年中央重大公共卫生服务补助资金项目</w:t>
            </w:r>
          </w:p>
        </w:tc>
      </w:tr>
      <w:tr w14:paraId="2975A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12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D1BEA">
            <w:pPr>
              <w:jc w:val="center"/>
            </w:pPr>
            <w:r>
              <w:rPr>
                <w:rFonts w:ascii="宋体" w:hAnsi="宋体" w:eastAsia="宋体"/>
                <w:sz w:val="16"/>
              </w:rPr>
              <w:t>叶城县疾病预防控制中心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60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015FD1">
            <w:pPr>
              <w:jc w:val="center"/>
            </w:pPr>
            <w:r>
              <w:rPr>
                <w:rFonts w:ascii="宋体" w:hAnsi="宋体" w:eastAsia="宋体"/>
                <w:sz w:val="16"/>
              </w:rPr>
              <w:t>叶城县疾病预防控制中心</w:t>
            </w:r>
          </w:p>
        </w:tc>
      </w:tr>
      <w:tr w14:paraId="4C227C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A91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A1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3DA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AD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44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122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43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5FAE">
            <w:pPr>
              <w:jc w:val="center"/>
            </w:pPr>
            <w:r>
              <w:rPr>
                <w:rFonts w:ascii="宋体" w:hAnsi="宋体" w:eastAsia="宋体"/>
                <w:sz w:val="16"/>
              </w:rPr>
              <w:t>得分</w:t>
            </w:r>
          </w:p>
        </w:tc>
      </w:tr>
      <w:tr w14:paraId="57A29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A6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BE0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7AF6">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077DA">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5A1F">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8C8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A46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19F2">
            <w:pPr>
              <w:jc w:val="center"/>
            </w:pPr>
            <w:r>
              <w:rPr>
                <w:rFonts w:ascii="宋体" w:hAnsi="宋体" w:eastAsia="宋体"/>
                <w:sz w:val="16"/>
              </w:rPr>
              <w:t>10.00分</w:t>
            </w:r>
          </w:p>
        </w:tc>
      </w:tr>
      <w:tr w14:paraId="1C83C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AD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3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DBB4">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98CEF">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9C92">
            <w:pPr>
              <w:jc w:val="center"/>
            </w:pPr>
            <w:r>
              <w:rPr>
                <w:rFonts w:ascii="宋体" w:hAnsi="宋体" w:eastAsia="宋体"/>
                <w:sz w:val="16"/>
              </w:rPr>
              <w:t>126.90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E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B2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3C4D">
            <w:pPr>
              <w:jc w:val="center"/>
            </w:pPr>
            <w:r>
              <w:rPr>
                <w:rFonts w:ascii="宋体" w:hAnsi="宋体" w:eastAsia="宋体"/>
                <w:sz w:val="16"/>
              </w:rPr>
              <w:t>—</w:t>
            </w:r>
          </w:p>
        </w:tc>
      </w:tr>
      <w:tr w14:paraId="54C78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E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B98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825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FD7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C2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AD6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32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228E">
            <w:pPr>
              <w:jc w:val="center"/>
            </w:pPr>
            <w:r>
              <w:rPr>
                <w:rFonts w:ascii="宋体" w:hAnsi="宋体" w:eastAsia="宋体"/>
                <w:sz w:val="16"/>
              </w:rPr>
              <w:t>—</w:t>
            </w:r>
          </w:p>
        </w:tc>
      </w:tr>
      <w:tr w14:paraId="2C51C3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1A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F07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4CF5F">
            <w:pPr>
              <w:jc w:val="center"/>
            </w:pPr>
            <w:r>
              <w:rPr>
                <w:rFonts w:ascii="宋体" w:hAnsi="宋体" w:eastAsia="宋体"/>
                <w:sz w:val="16"/>
              </w:rPr>
              <w:t>实际完成情况</w:t>
            </w:r>
          </w:p>
        </w:tc>
      </w:tr>
      <w:tr w14:paraId="49E23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6D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9CAD2">
            <w:pPr>
              <w:jc w:val="both"/>
            </w:pPr>
            <w:r>
              <w:rPr>
                <w:rFonts w:ascii="宋体" w:hAnsi="宋体" w:eastAsia="宋体"/>
                <w:sz w:val="16"/>
              </w:rPr>
              <w:t>项目资金126.9万元，进一步完善“政府组织领导、部门各负其责、全社会共同参与”的防治机制,全面落实各项</w:t>
            </w:r>
            <w:r>
              <w:rPr>
                <w:rFonts w:hint="eastAsia" w:ascii="宋体" w:hAnsi="宋体"/>
                <w:sz w:val="16"/>
                <w:lang w:eastAsia="zh-CN"/>
              </w:rPr>
              <w:t>AZB</w:t>
            </w:r>
            <w:r>
              <w:rPr>
                <w:rFonts w:ascii="宋体" w:hAnsi="宋体" w:eastAsia="宋体"/>
                <w:sz w:val="16"/>
              </w:rPr>
              <w:t>预防控制措施，提高发现率，扩大治疗覆盖面，提升治疗成功率，降低</w:t>
            </w:r>
            <w:bookmarkStart w:id="0" w:name="_GoBack"/>
            <w:r>
              <w:rPr>
                <w:rFonts w:ascii="宋体" w:hAnsi="宋体" w:eastAsia="宋体"/>
                <w:sz w:val="16"/>
              </w:rPr>
              <w:t>死亡率</w:t>
            </w:r>
            <w:bookmarkEnd w:id="0"/>
            <w:r>
              <w:rPr>
                <w:rFonts w:ascii="宋体" w:hAnsi="宋体" w:eastAsia="宋体"/>
                <w:sz w:val="16"/>
              </w:rPr>
              <w:t>，降低新发感染，提高感染者和病人的生活质量；及时发现和规范治疗管理结核病患者，持续降低结核病的感染、发病与死亡，确保结核病稳步下降；全面开展包虫病综合防治，提升我县包虫病防治成效，提高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BC1D4">
            <w:pPr>
              <w:jc w:val="both"/>
            </w:pPr>
            <w:r>
              <w:rPr>
                <w:rFonts w:hint="eastAsia" w:ascii="宋体" w:hAnsi="宋体"/>
                <w:sz w:val="16"/>
                <w:lang w:eastAsia="zh-CN"/>
              </w:rPr>
              <w:t>截至2024</w:t>
            </w:r>
            <w:r>
              <w:rPr>
                <w:rFonts w:ascii="宋体" w:hAnsi="宋体" w:eastAsia="宋体"/>
                <w:sz w:val="16"/>
              </w:rPr>
              <w:t>年12月31日，项目总资金126.9万元，实际支出合计126.9万元，进一步完善“政府组织领导、部门各负其责、全社会共同参与”的防治机制,全面落实各项</w:t>
            </w:r>
            <w:r>
              <w:rPr>
                <w:rFonts w:hint="eastAsia" w:ascii="宋体" w:hAnsi="宋体"/>
                <w:sz w:val="16"/>
                <w:lang w:eastAsia="zh-CN"/>
              </w:rPr>
              <w:t>AZB</w:t>
            </w:r>
            <w:r>
              <w:rPr>
                <w:rFonts w:ascii="宋体" w:hAnsi="宋体" w:eastAsia="宋体"/>
                <w:sz w:val="16"/>
              </w:rPr>
              <w:t>预防控制措施，提高发现率，扩大治疗覆盖面，提升治疗成功率，降低死亡率，降低新发感染，提高感染者和病人的生活质量；</w:t>
            </w:r>
          </w:p>
        </w:tc>
      </w:tr>
      <w:tr w14:paraId="1CCBD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9C0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F2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B7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C3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BB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72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FD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4B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DF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C9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CA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B9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37FF9">
            <w:pPr>
              <w:jc w:val="center"/>
            </w:pPr>
            <w:r>
              <w:rPr>
                <w:rFonts w:ascii="宋体" w:hAnsi="宋体" w:eastAsia="宋体"/>
                <w:sz w:val="16"/>
              </w:rPr>
              <w:t>偏差原因分析及改进措施</w:t>
            </w:r>
          </w:p>
        </w:tc>
      </w:tr>
      <w:tr w14:paraId="545E0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262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DD1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18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15E8">
            <w:pPr>
              <w:jc w:val="center"/>
            </w:pPr>
            <w:r>
              <w:rPr>
                <w:rFonts w:hint="eastAsia" w:ascii="宋体" w:hAnsi="宋体"/>
                <w:sz w:val="16"/>
                <w:lang w:eastAsia="zh-CN"/>
              </w:rPr>
              <w:t>AZB</w:t>
            </w:r>
            <w:r>
              <w:rPr>
                <w:rFonts w:ascii="宋体" w:hAnsi="宋体" w:eastAsia="宋体"/>
                <w:sz w:val="16"/>
              </w:rPr>
              <w:t>专题讲座（场）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B808">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2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0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0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2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3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7E07">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C9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EE0D">
            <w:pPr>
              <w:jc w:val="center"/>
            </w:pPr>
          </w:p>
        </w:tc>
      </w:tr>
      <w:tr w14:paraId="34DA1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2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EE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0DE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8D00">
            <w:pPr>
              <w:jc w:val="center"/>
            </w:pPr>
            <w:r>
              <w:rPr>
                <w:rFonts w:ascii="宋体" w:hAnsi="宋体" w:eastAsia="宋体"/>
                <w:sz w:val="16"/>
              </w:rPr>
              <w:t>麻风病，布病传染病监测覆盖率（%）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BB83">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C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09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F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5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2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5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6D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F43A">
            <w:pPr>
              <w:jc w:val="center"/>
            </w:pPr>
          </w:p>
        </w:tc>
      </w:tr>
      <w:tr w14:paraId="4B949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9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DD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5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73AB">
            <w:pPr>
              <w:jc w:val="center"/>
            </w:pPr>
            <w:r>
              <w:rPr>
                <w:rFonts w:ascii="宋体" w:hAnsi="宋体" w:eastAsia="宋体"/>
                <w:sz w:val="16"/>
              </w:rPr>
              <w:t>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BE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2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8C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7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B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4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C6C7">
            <w:pPr>
              <w:jc w:val="center"/>
            </w:pPr>
            <w:r>
              <w:rPr>
                <w:rFonts w:ascii="宋体" w:hAnsi="宋体" w:eastAsia="宋体"/>
                <w:sz w:val="16"/>
              </w:rPr>
              <w:t>=99.18%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91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5162C">
            <w:pPr>
              <w:jc w:val="center"/>
            </w:pPr>
          </w:p>
        </w:tc>
      </w:tr>
      <w:tr w14:paraId="43830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E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AB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AE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CB72">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C5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5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A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8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D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7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A59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D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7577">
            <w:pPr>
              <w:jc w:val="center"/>
            </w:pPr>
          </w:p>
        </w:tc>
      </w:tr>
      <w:tr w14:paraId="76138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B2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21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89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2654">
            <w:pPr>
              <w:jc w:val="center"/>
            </w:pPr>
            <w:r>
              <w:rPr>
                <w:rFonts w:ascii="宋体" w:hAnsi="宋体" w:eastAsia="宋体"/>
                <w:sz w:val="16"/>
              </w:rPr>
              <w:t>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0E13">
            <w:pPr>
              <w:jc w:val="center"/>
            </w:pPr>
            <w:r>
              <w:rPr>
                <w:rFonts w:ascii="宋体" w:hAnsi="宋体" w:eastAsia="宋体"/>
                <w:sz w:val="16"/>
              </w:rPr>
              <w:t>&lt;=126.90万元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24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8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35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5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F4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BF9E">
            <w:pPr>
              <w:jc w:val="center"/>
            </w:pPr>
            <w:r>
              <w:rPr>
                <w:rFonts w:ascii="宋体" w:hAnsi="宋体" w:eastAsia="宋体"/>
                <w:sz w:val="16"/>
              </w:rPr>
              <w:t>=126.9万元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4B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6FA4C">
            <w:pPr>
              <w:jc w:val="center"/>
            </w:pPr>
          </w:p>
        </w:tc>
      </w:tr>
      <w:tr w14:paraId="19AD1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7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7B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2B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9A89">
            <w:pPr>
              <w:jc w:val="center"/>
            </w:pPr>
            <w:r>
              <w:rPr>
                <w:rFonts w:ascii="宋体" w:hAnsi="宋体" w:eastAsia="宋体"/>
                <w:sz w:val="16"/>
              </w:rPr>
              <w:t>提高群众预防传染病意识，减少辖区传染病传播率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0F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6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0B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D8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B0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3C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78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D9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1E22">
            <w:pPr>
              <w:jc w:val="center"/>
            </w:pPr>
          </w:p>
        </w:tc>
      </w:tr>
      <w:tr w14:paraId="01144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C3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81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5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4538">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A8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F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6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7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B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68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E6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0A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3BB5E">
            <w:pPr>
              <w:jc w:val="center"/>
            </w:pPr>
          </w:p>
        </w:tc>
      </w:tr>
      <w:tr w14:paraId="520D01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6FB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F2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1E2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69A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B8DC00"/>
        </w:tc>
      </w:tr>
    </w:tbl>
    <w:p w14:paraId="6704F32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26"/>
        <w:gridCol w:w="628"/>
        <w:gridCol w:w="626"/>
        <w:gridCol w:w="626"/>
        <w:gridCol w:w="696"/>
        <w:gridCol w:w="632"/>
        <w:gridCol w:w="618"/>
        <w:gridCol w:w="631"/>
      </w:tblGrid>
      <w:tr w14:paraId="43F01402">
        <w:tblPrEx>
          <w:tblCellMar>
            <w:top w:w="0" w:type="dxa"/>
            <w:left w:w="108" w:type="dxa"/>
            <w:bottom w:w="0" w:type="dxa"/>
            <w:right w:w="108" w:type="dxa"/>
          </w:tblCellMar>
        </w:tblPrEx>
        <w:tc>
          <w:tcPr>
            <w:tcW w:w="8848" w:type="dxa"/>
            <w:gridSpan w:val="14"/>
            <w:vAlign w:val="center"/>
          </w:tcPr>
          <w:p w14:paraId="56F9D7C8">
            <w:pPr>
              <w:jc w:val="center"/>
            </w:pPr>
            <w:r>
              <w:rPr>
                <w:rFonts w:ascii="宋体" w:hAnsi="宋体" w:eastAsia="宋体"/>
                <w:sz w:val="24"/>
              </w:rPr>
              <w:t>项目支出绩效自评表</w:t>
            </w:r>
          </w:p>
        </w:tc>
      </w:tr>
      <w:tr w14:paraId="2331E49F">
        <w:tblPrEx>
          <w:tblCellMar>
            <w:top w:w="0" w:type="dxa"/>
            <w:left w:w="108" w:type="dxa"/>
            <w:bottom w:w="0" w:type="dxa"/>
            <w:right w:w="108" w:type="dxa"/>
          </w:tblCellMar>
        </w:tblPrEx>
        <w:tc>
          <w:tcPr>
            <w:tcW w:w="8848" w:type="dxa"/>
            <w:gridSpan w:val="14"/>
            <w:vAlign w:val="center"/>
          </w:tcPr>
          <w:p w14:paraId="6CAC0DEE">
            <w:pPr>
              <w:jc w:val="center"/>
            </w:pPr>
            <w:r>
              <w:rPr>
                <w:rFonts w:ascii="宋体" w:hAnsi="宋体" w:eastAsia="宋体"/>
                <w:sz w:val="24"/>
              </w:rPr>
              <w:t>(2024年度)</w:t>
            </w:r>
          </w:p>
        </w:tc>
      </w:tr>
      <w:tr w14:paraId="4021E2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E5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B7CEF5">
            <w:pPr>
              <w:jc w:val="center"/>
            </w:pPr>
            <w:r>
              <w:rPr>
                <w:rFonts w:ascii="宋体" w:hAnsi="宋体" w:eastAsia="宋体"/>
                <w:sz w:val="16"/>
              </w:rPr>
              <w:t>上海援疆项目-2024年叶城县“三降一提高”公共卫生能力建设项目</w:t>
            </w:r>
          </w:p>
        </w:tc>
      </w:tr>
      <w:tr w14:paraId="742CF7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0D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33EBC">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85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C58544">
            <w:pPr>
              <w:jc w:val="center"/>
            </w:pPr>
            <w:r>
              <w:rPr>
                <w:rFonts w:ascii="宋体" w:hAnsi="宋体" w:eastAsia="宋体"/>
                <w:sz w:val="16"/>
              </w:rPr>
              <w:t>叶城县疾病预防控制中心</w:t>
            </w:r>
          </w:p>
        </w:tc>
      </w:tr>
      <w:tr w14:paraId="53D233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1D7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CA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D1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56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2C3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EE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435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82E2">
            <w:pPr>
              <w:jc w:val="center"/>
            </w:pPr>
            <w:r>
              <w:rPr>
                <w:rFonts w:ascii="宋体" w:hAnsi="宋体" w:eastAsia="宋体"/>
                <w:sz w:val="16"/>
              </w:rPr>
              <w:t>得分</w:t>
            </w:r>
          </w:p>
        </w:tc>
      </w:tr>
      <w:tr w14:paraId="129A7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E2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921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4C3B">
            <w:pPr>
              <w:jc w:val="center"/>
            </w:pPr>
            <w:r>
              <w:rPr>
                <w:rFonts w:ascii="宋体" w:hAnsi="宋体" w:eastAsia="宋体"/>
                <w:sz w:val="16"/>
              </w:rPr>
              <w:t>507.00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7261">
            <w:pPr>
              <w:jc w:val="center"/>
            </w:pPr>
            <w:r>
              <w:rPr>
                <w:rFonts w:ascii="宋体" w:hAnsi="宋体" w:eastAsia="宋体"/>
                <w:sz w:val="16"/>
              </w:rPr>
              <w:t>507.00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2F7DA">
            <w:pPr>
              <w:jc w:val="center"/>
            </w:pPr>
            <w:r>
              <w:rPr>
                <w:rFonts w:ascii="宋体" w:hAnsi="宋体" w:eastAsia="宋体"/>
                <w:sz w:val="16"/>
              </w:rPr>
              <w:t>416.28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7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A4D68">
            <w:pPr>
              <w:jc w:val="center"/>
            </w:pPr>
            <w:r>
              <w:rPr>
                <w:rFonts w:ascii="宋体" w:hAnsi="宋体" w:eastAsia="宋体"/>
                <w:sz w:val="16"/>
              </w:rPr>
              <w:t>82.1%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D92F">
            <w:pPr>
              <w:jc w:val="center"/>
            </w:pPr>
            <w:r>
              <w:rPr>
                <w:rFonts w:ascii="宋体" w:hAnsi="宋体" w:eastAsia="宋体"/>
                <w:sz w:val="16"/>
              </w:rPr>
              <w:t>5.53分</w:t>
            </w:r>
          </w:p>
        </w:tc>
      </w:tr>
      <w:tr w14:paraId="2DD58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2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5A2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22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74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1F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05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47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508E">
            <w:pPr>
              <w:jc w:val="center"/>
            </w:pPr>
            <w:r>
              <w:rPr>
                <w:rFonts w:ascii="宋体" w:hAnsi="宋体" w:eastAsia="宋体"/>
                <w:sz w:val="16"/>
              </w:rPr>
              <w:t>—</w:t>
            </w:r>
          </w:p>
        </w:tc>
      </w:tr>
      <w:tr w14:paraId="32FA2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99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61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5482">
            <w:pPr>
              <w:jc w:val="center"/>
            </w:pPr>
            <w:r>
              <w:rPr>
                <w:rFonts w:ascii="宋体" w:hAnsi="宋体" w:eastAsia="宋体"/>
                <w:sz w:val="16"/>
              </w:rPr>
              <w:t>507.00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56314">
            <w:pPr>
              <w:jc w:val="center"/>
            </w:pPr>
            <w:r>
              <w:rPr>
                <w:rFonts w:ascii="宋体" w:hAnsi="宋体" w:eastAsia="宋体"/>
                <w:sz w:val="16"/>
              </w:rPr>
              <w:t>507.00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EBF4">
            <w:pPr>
              <w:jc w:val="center"/>
            </w:pPr>
            <w:r>
              <w:rPr>
                <w:rFonts w:ascii="宋体" w:hAnsi="宋体" w:eastAsia="宋体"/>
                <w:sz w:val="16"/>
              </w:rPr>
              <w:t>416.28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AC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2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7DD9">
            <w:pPr>
              <w:jc w:val="center"/>
            </w:pPr>
            <w:r>
              <w:rPr>
                <w:rFonts w:ascii="宋体" w:hAnsi="宋体" w:eastAsia="宋体"/>
                <w:sz w:val="16"/>
              </w:rPr>
              <w:t>—</w:t>
            </w:r>
          </w:p>
        </w:tc>
      </w:tr>
      <w:tr w14:paraId="68CB2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C39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A7A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4AED5">
            <w:pPr>
              <w:jc w:val="center"/>
            </w:pPr>
            <w:r>
              <w:rPr>
                <w:rFonts w:ascii="宋体" w:hAnsi="宋体" w:eastAsia="宋体"/>
                <w:sz w:val="16"/>
              </w:rPr>
              <w:t>实际完成情况</w:t>
            </w:r>
          </w:p>
        </w:tc>
      </w:tr>
      <w:tr w14:paraId="26167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0AF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DA596">
            <w:pPr>
              <w:jc w:val="both"/>
            </w:pPr>
            <w:r>
              <w:rPr>
                <w:rFonts w:ascii="宋体" w:hAnsi="宋体" w:eastAsia="宋体"/>
                <w:sz w:val="16"/>
              </w:rPr>
              <w:t>项目投资507万元，</w:t>
            </w:r>
            <w:r>
              <w:rPr>
                <w:rFonts w:hint="eastAsia" w:ascii="宋体" w:hAnsi="宋体"/>
                <w:sz w:val="16"/>
                <w:lang w:eastAsia="zh-CN"/>
              </w:rPr>
              <w:t>AZB</w:t>
            </w:r>
            <w:r>
              <w:rPr>
                <w:rFonts w:ascii="宋体" w:hAnsi="宋体" w:eastAsia="宋体"/>
                <w:sz w:val="16"/>
              </w:rPr>
              <w:t>人抗病毒治疗中的定期体检费及防治宣传并购置病毒载量检测设备1台，安排资金124万元；集中治疗初治、复治、耐药结核病人伙食费、耐药病人营养早餐、学校新入学学生结核病筛查、疑似结核病人体检费、结核病防治宣传，购置结核病快速痰培养仪3台，安排资金330万元；疑似麻风病人体检费、购置麻风病检测耗材、麻风病防治知识宣传，安排资金30万元；对叶城县辖区45-65岁居民开展大肠癌筛查，安排资金23万元，通过项目实施进一步提高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684B43">
            <w:pPr>
              <w:jc w:val="both"/>
            </w:pPr>
            <w:r>
              <w:rPr>
                <w:rFonts w:ascii="宋体" w:hAnsi="宋体" w:eastAsia="宋体"/>
                <w:sz w:val="16"/>
              </w:rPr>
              <w:t>截至目前实际支出合计416.28万元。用于</w:t>
            </w:r>
            <w:r>
              <w:rPr>
                <w:rFonts w:hint="eastAsia" w:ascii="宋体" w:hAnsi="宋体"/>
                <w:sz w:val="16"/>
                <w:lang w:eastAsia="zh-CN"/>
              </w:rPr>
              <w:t>AZB</w:t>
            </w:r>
            <w:r>
              <w:rPr>
                <w:rFonts w:ascii="宋体" w:hAnsi="宋体" w:eastAsia="宋体"/>
                <w:sz w:val="16"/>
              </w:rPr>
              <w:t>人抗病毒治疗中的定期体检费及防治宣传并购置病毒载量检测设备1台，已支付33.28万元；集中治疗初治、复治、耐药结核病人伙食费、耐药病人营养早餐、学校新入学学生结核病筛查、疑似结核病人体检费、结核病防治宣传，购置结核病快速痰培养仪3台，安排资金330万元；疑似麻风病人体检费、购置麻风病检测耗材、麻风病防治知识宣传，安排资金30万元；对叶城县辖区45-65岁居民开展大肠癌筛查，安排资金23万元，通过项目实施进一步提高群众健康水平。</w:t>
            </w:r>
          </w:p>
        </w:tc>
      </w:tr>
      <w:tr w14:paraId="30AD3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EE9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0E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D6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BC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7D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40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78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00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84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6F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14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65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47DC">
            <w:pPr>
              <w:jc w:val="center"/>
            </w:pPr>
            <w:r>
              <w:rPr>
                <w:rFonts w:ascii="宋体" w:hAnsi="宋体" w:eastAsia="宋体"/>
                <w:sz w:val="16"/>
              </w:rPr>
              <w:t>偏差原因分析及改进措施</w:t>
            </w:r>
          </w:p>
        </w:tc>
      </w:tr>
      <w:tr w14:paraId="40A2D2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9B0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676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239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D1C1">
            <w:pPr>
              <w:jc w:val="center"/>
            </w:pPr>
            <w:r>
              <w:rPr>
                <w:rFonts w:ascii="宋体" w:hAnsi="宋体" w:eastAsia="宋体"/>
                <w:sz w:val="16"/>
              </w:rPr>
              <w:t>采购设备（批）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BDD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E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D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00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9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8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A07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30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827D">
            <w:pPr>
              <w:jc w:val="center"/>
            </w:pPr>
          </w:p>
        </w:tc>
      </w:tr>
      <w:tr w14:paraId="140CA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3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4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6B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909D">
            <w:pPr>
              <w:jc w:val="center"/>
            </w:pPr>
            <w:r>
              <w:rPr>
                <w:rFonts w:ascii="宋体" w:hAnsi="宋体" w:eastAsia="宋体"/>
                <w:sz w:val="16"/>
              </w:rPr>
              <w:t>结核病筛查（人）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EADC">
            <w:pPr>
              <w:jc w:val="center"/>
            </w:pPr>
            <w:r>
              <w:rPr>
                <w:rFonts w:ascii="宋体" w:hAnsi="宋体" w:eastAsia="宋体"/>
                <w:sz w:val="16"/>
              </w:rPr>
              <w:t>&gt;=82727人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D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A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A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8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0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02BB">
            <w:pPr>
              <w:jc w:val="center"/>
            </w:pPr>
            <w:r>
              <w:rPr>
                <w:rFonts w:ascii="宋体" w:hAnsi="宋体" w:eastAsia="宋体"/>
                <w:sz w:val="16"/>
              </w:rPr>
              <w:t>=82727人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97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2C9F">
            <w:pPr>
              <w:jc w:val="center"/>
            </w:pPr>
          </w:p>
        </w:tc>
      </w:tr>
      <w:tr w14:paraId="4ACE3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0B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3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67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C92A">
            <w:pPr>
              <w:jc w:val="center"/>
            </w:pPr>
            <w:r>
              <w:rPr>
                <w:rFonts w:ascii="宋体" w:hAnsi="宋体" w:eastAsia="宋体"/>
                <w:sz w:val="16"/>
              </w:rPr>
              <w:t>麻风病筛查（人）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8A54">
            <w:pPr>
              <w:jc w:val="center"/>
            </w:pPr>
            <w:r>
              <w:rPr>
                <w:rFonts w:ascii="宋体" w:hAnsi="宋体" w:eastAsia="宋体"/>
                <w:sz w:val="16"/>
              </w:rPr>
              <w:t>&gt;=3418人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7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E9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AD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B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9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E6B8">
            <w:pPr>
              <w:jc w:val="center"/>
            </w:pPr>
            <w:r>
              <w:rPr>
                <w:rFonts w:ascii="宋体" w:hAnsi="宋体" w:eastAsia="宋体"/>
                <w:sz w:val="16"/>
              </w:rPr>
              <w:t>=3418人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DC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C65C1">
            <w:pPr>
              <w:jc w:val="center"/>
            </w:pPr>
          </w:p>
        </w:tc>
      </w:tr>
      <w:tr w14:paraId="4B672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F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4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92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E279">
            <w:pPr>
              <w:jc w:val="center"/>
            </w:pPr>
            <w:r>
              <w:rPr>
                <w:rFonts w:ascii="宋体" w:hAnsi="宋体" w:eastAsia="宋体"/>
                <w:sz w:val="16"/>
              </w:rPr>
              <w:t>大肠癌筛查（人）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51EB">
            <w:pPr>
              <w:jc w:val="center"/>
            </w:pPr>
            <w:r>
              <w:rPr>
                <w:rFonts w:ascii="宋体" w:hAnsi="宋体" w:eastAsia="宋体"/>
                <w:sz w:val="16"/>
              </w:rPr>
              <w:t>&gt;=6000人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2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E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BD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D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F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C74B">
            <w:pPr>
              <w:jc w:val="center"/>
            </w:pPr>
            <w:r>
              <w:rPr>
                <w:rFonts w:ascii="宋体" w:hAnsi="宋体" w:eastAsia="宋体"/>
                <w:sz w:val="16"/>
              </w:rPr>
              <w:t>=6000人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56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CB4C">
            <w:pPr>
              <w:jc w:val="center"/>
            </w:pPr>
          </w:p>
        </w:tc>
      </w:tr>
      <w:tr w14:paraId="31F81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E0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FB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D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3855">
            <w:pPr>
              <w:jc w:val="center"/>
            </w:pPr>
            <w:r>
              <w:rPr>
                <w:rFonts w:hint="eastAsia" w:ascii="宋体" w:hAnsi="宋体"/>
                <w:sz w:val="16"/>
                <w:lang w:eastAsia="zh-CN"/>
              </w:rPr>
              <w:t>AZB</w:t>
            </w:r>
            <w:r>
              <w:rPr>
                <w:rFonts w:ascii="宋体" w:hAnsi="宋体" w:eastAsia="宋体"/>
                <w:sz w:val="16"/>
              </w:rPr>
              <w:t>体检（人）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93C7">
            <w:pPr>
              <w:jc w:val="center"/>
            </w:pPr>
            <w:r>
              <w:rPr>
                <w:rFonts w:ascii="宋体" w:hAnsi="宋体" w:eastAsia="宋体"/>
                <w:sz w:val="16"/>
              </w:rPr>
              <w:t>&gt;=760人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0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F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4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9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1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F216">
            <w:pPr>
              <w:jc w:val="center"/>
            </w:pPr>
            <w:r>
              <w:rPr>
                <w:rFonts w:ascii="宋体" w:hAnsi="宋体" w:eastAsia="宋体"/>
                <w:sz w:val="16"/>
              </w:rPr>
              <w:t>=760人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7F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889C">
            <w:pPr>
              <w:jc w:val="center"/>
            </w:pPr>
          </w:p>
        </w:tc>
      </w:tr>
      <w:tr w14:paraId="3A0E8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44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8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94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F20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D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F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0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73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F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1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E9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19DFD">
            <w:pPr>
              <w:jc w:val="center"/>
            </w:pPr>
          </w:p>
        </w:tc>
      </w:tr>
      <w:tr w14:paraId="43A7D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9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9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A4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130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242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6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0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9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A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A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BD5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6A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856C">
            <w:pPr>
              <w:jc w:val="center"/>
            </w:pPr>
          </w:p>
        </w:tc>
      </w:tr>
      <w:tr w14:paraId="76350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828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F21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8A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35E3">
            <w:pPr>
              <w:jc w:val="center"/>
            </w:pPr>
            <w:r>
              <w:rPr>
                <w:rFonts w:hint="eastAsia" w:ascii="宋体" w:hAnsi="宋体"/>
                <w:sz w:val="16"/>
                <w:lang w:eastAsia="zh-CN"/>
              </w:rPr>
              <w:t>AZB</w:t>
            </w:r>
            <w:r>
              <w:rPr>
                <w:rFonts w:ascii="宋体" w:hAnsi="宋体" w:eastAsia="宋体"/>
                <w:sz w:val="16"/>
              </w:rPr>
              <w:t>防治宣传（万元）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C097">
            <w:pPr>
              <w:jc w:val="center"/>
            </w:pPr>
            <w:r>
              <w:rPr>
                <w:rFonts w:ascii="宋体" w:hAnsi="宋体" w:eastAsia="宋体"/>
                <w:sz w:val="16"/>
              </w:rPr>
              <w:t>&lt;=124万元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4A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F1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16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7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7F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C2F6">
            <w:pPr>
              <w:jc w:val="center"/>
            </w:pPr>
            <w:r>
              <w:rPr>
                <w:rFonts w:ascii="宋体" w:hAnsi="宋体" w:eastAsia="宋体"/>
                <w:sz w:val="16"/>
              </w:rPr>
              <w:t>=33.28万元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8B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1875">
            <w:pPr>
              <w:jc w:val="center"/>
            </w:pPr>
            <w:r>
              <w:rPr>
                <w:rFonts w:ascii="宋体" w:hAnsi="宋体" w:eastAsia="宋体"/>
                <w:sz w:val="16"/>
              </w:rPr>
              <w:t>部分费用按照合同30%，分几批支付，因此还未完全支付完。下一步加快资金支付进度</w:t>
            </w:r>
          </w:p>
        </w:tc>
      </w:tr>
      <w:tr w14:paraId="3E932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A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6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3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7F83">
            <w:pPr>
              <w:jc w:val="center"/>
            </w:pPr>
            <w:r>
              <w:rPr>
                <w:rFonts w:ascii="宋体" w:hAnsi="宋体" w:eastAsia="宋体"/>
                <w:sz w:val="16"/>
              </w:rPr>
              <w:t>结核病筛查（万元）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28AE">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3E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EA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D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A0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A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211B">
            <w:pPr>
              <w:jc w:val="center"/>
            </w:pPr>
            <w:r>
              <w:rPr>
                <w:rFonts w:ascii="宋体" w:hAnsi="宋体" w:eastAsia="宋体"/>
                <w:sz w:val="16"/>
              </w:rPr>
              <w: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98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876C3">
            <w:pPr>
              <w:jc w:val="center"/>
            </w:pPr>
          </w:p>
        </w:tc>
      </w:tr>
      <w:tr w14:paraId="69950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8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3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7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87E8">
            <w:pPr>
              <w:jc w:val="center"/>
            </w:pPr>
            <w:r>
              <w:rPr>
                <w:rFonts w:ascii="宋体" w:hAnsi="宋体" w:eastAsia="宋体"/>
                <w:sz w:val="16"/>
              </w:rPr>
              <w:t>麻风病宣传防治（万元）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3E3">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0A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9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2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2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47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E288">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F5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57E3">
            <w:pPr>
              <w:jc w:val="center"/>
            </w:pPr>
          </w:p>
        </w:tc>
      </w:tr>
      <w:tr w14:paraId="3BDCE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B6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90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B1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676F">
            <w:pPr>
              <w:jc w:val="center"/>
            </w:pPr>
            <w:r>
              <w:rPr>
                <w:rFonts w:ascii="宋体" w:hAnsi="宋体" w:eastAsia="宋体"/>
                <w:sz w:val="16"/>
              </w:rPr>
              <w:t>大肠癌宣传防治（万元）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ACDF">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13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F5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01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9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41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00BF">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77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7A7EE">
            <w:pPr>
              <w:jc w:val="center"/>
            </w:pPr>
          </w:p>
        </w:tc>
      </w:tr>
      <w:tr w14:paraId="4ADE9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0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E9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91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FEB5">
            <w:pPr>
              <w:jc w:val="center"/>
            </w:pPr>
            <w:r>
              <w:rPr>
                <w:rFonts w:ascii="宋体" w:hAnsi="宋体" w:eastAsia="宋体"/>
                <w:sz w:val="16"/>
              </w:rPr>
              <w:t>提高群众健康水平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CB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0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B7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B7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30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BA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BEF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C4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AD11">
            <w:pPr>
              <w:jc w:val="center"/>
            </w:pPr>
          </w:p>
        </w:tc>
      </w:tr>
      <w:tr w14:paraId="7921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A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B9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C7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76D5">
            <w:pPr>
              <w:jc w:val="center"/>
            </w:pPr>
            <w:r>
              <w:rPr>
                <w:rFonts w:ascii="宋体" w:hAnsi="宋体" w:eastAsia="宋体"/>
                <w:sz w:val="16"/>
              </w:rPr>
              <w:t>受益检查群众满意度（%）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59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7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1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9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2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52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9C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B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5337">
            <w:pPr>
              <w:jc w:val="center"/>
            </w:pPr>
          </w:p>
        </w:tc>
      </w:tr>
      <w:tr w14:paraId="414D256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48E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D3B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E42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2B8E">
            <w:pPr>
              <w:jc w:val="center"/>
            </w:pPr>
            <w:r>
              <w:rPr>
                <w:rFonts w:ascii="宋体" w:hAnsi="宋体" w:eastAsia="宋体"/>
                <w:sz w:val="16"/>
              </w:rPr>
              <w:t>90.53分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9150DE"/>
        </w:tc>
      </w:tr>
    </w:tbl>
    <w:p w14:paraId="5A17DA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8797DA4">
        <w:tblPrEx>
          <w:tblCellMar>
            <w:top w:w="0" w:type="dxa"/>
            <w:left w:w="108" w:type="dxa"/>
            <w:bottom w:w="0" w:type="dxa"/>
            <w:right w:w="108" w:type="dxa"/>
          </w:tblCellMar>
        </w:tblPrEx>
        <w:tc>
          <w:tcPr>
            <w:tcW w:w="8848" w:type="dxa"/>
            <w:gridSpan w:val="14"/>
            <w:vAlign w:val="center"/>
          </w:tcPr>
          <w:p w14:paraId="15D5429B">
            <w:pPr>
              <w:jc w:val="center"/>
            </w:pPr>
            <w:r>
              <w:rPr>
                <w:rFonts w:ascii="宋体" w:hAnsi="宋体" w:eastAsia="宋体"/>
                <w:sz w:val="24"/>
              </w:rPr>
              <w:t>项目支出绩效自评表</w:t>
            </w:r>
          </w:p>
        </w:tc>
      </w:tr>
      <w:tr w14:paraId="1C08D42B">
        <w:tblPrEx>
          <w:tblCellMar>
            <w:top w:w="0" w:type="dxa"/>
            <w:left w:w="108" w:type="dxa"/>
            <w:bottom w:w="0" w:type="dxa"/>
            <w:right w:w="108" w:type="dxa"/>
          </w:tblCellMar>
        </w:tblPrEx>
        <w:tc>
          <w:tcPr>
            <w:tcW w:w="8848" w:type="dxa"/>
            <w:gridSpan w:val="14"/>
            <w:vAlign w:val="center"/>
          </w:tcPr>
          <w:p w14:paraId="0B52CA86">
            <w:pPr>
              <w:jc w:val="center"/>
            </w:pPr>
            <w:r>
              <w:rPr>
                <w:rFonts w:ascii="宋体" w:hAnsi="宋体" w:eastAsia="宋体"/>
                <w:sz w:val="24"/>
              </w:rPr>
              <w:t>(2024年度)</w:t>
            </w:r>
          </w:p>
        </w:tc>
      </w:tr>
      <w:tr w14:paraId="162107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45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EBD544">
            <w:pPr>
              <w:jc w:val="center"/>
            </w:pPr>
            <w:r>
              <w:rPr>
                <w:rFonts w:ascii="宋体" w:hAnsi="宋体" w:eastAsia="宋体"/>
                <w:sz w:val="16"/>
              </w:rPr>
              <w:t>上海援疆项目-2024年叶城县乡镇卫生院综合服务能力、基础设施 和配套提升</w:t>
            </w:r>
            <w:r>
              <w:rPr>
                <w:rFonts w:hint="eastAsia" w:ascii="宋体" w:hAnsi="宋体"/>
                <w:sz w:val="16"/>
                <w:lang w:eastAsia="zh-CN"/>
              </w:rPr>
              <w:t>-乡</w:t>
            </w:r>
            <w:r>
              <w:rPr>
                <w:rFonts w:ascii="宋体" w:hAnsi="宋体" w:eastAsia="宋体"/>
                <w:sz w:val="16"/>
              </w:rPr>
              <w:t>镇卫生院智慧化接种门诊建设项目</w:t>
            </w:r>
          </w:p>
        </w:tc>
      </w:tr>
      <w:tr w14:paraId="302E0A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C9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2F75A">
            <w:pPr>
              <w:jc w:val="center"/>
            </w:pPr>
            <w:r>
              <w:rPr>
                <w:rFonts w:ascii="宋体" w:hAnsi="宋体" w:eastAsia="宋体"/>
                <w:sz w:val="16"/>
              </w:rPr>
              <w:t>叶城县卫健委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D8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CC708">
            <w:pPr>
              <w:jc w:val="center"/>
            </w:pPr>
            <w:r>
              <w:rPr>
                <w:rFonts w:ascii="宋体" w:hAnsi="宋体" w:eastAsia="宋体"/>
                <w:sz w:val="16"/>
              </w:rPr>
              <w:t>叶城县疾病预防控制中心</w:t>
            </w:r>
          </w:p>
        </w:tc>
      </w:tr>
      <w:tr w14:paraId="0AB5E0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090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0A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93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50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2E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91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54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459E">
            <w:pPr>
              <w:jc w:val="center"/>
            </w:pPr>
            <w:r>
              <w:rPr>
                <w:rFonts w:ascii="宋体" w:hAnsi="宋体" w:eastAsia="宋体"/>
                <w:sz w:val="16"/>
              </w:rPr>
              <w:t>得分</w:t>
            </w:r>
          </w:p>
        </w:tc>
      </w:tr>
      <w:tr w14:paraId="78086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1FC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7B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940D">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693D0">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2344">
            <w:pPr>
              <w:jc w:val="center"/>
            </w:pPr>
            <w:r>
              <w:rPr>
                <w:rFonts w:ascii="宋体" w:hAnsi="宋体" w:eastAsia="宋体"/>
                <w:sz w:val="16"/>
              </w:rPr>
              <w:t>159.52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9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DAF7">
            <w:pPr>
              <w:jc w:val="center"/>
            </w:pPr>
            <w:r>
              <w:rPr>
                <w:rFonts w:ascii="宋体" w:hAnsi="宋体" w:eastAsia="宋体"/>
                <w:sz w:val="16"/>
              </w:rPr>
              <w:t>66.47%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276">
            <w:pPr>
              <w:jc w:val="center"/>
            </w:pPr>
            <w:r>
              <w:rPr>
                <w:rFonts w:ascii="宋体" w:hAnsi="宋体" w:eastAsia="宋体"/>
                <w:sz w:val="16"/>
              </w:rPr>
              <w:t>1.62分</w:t>
            </w:r>
          </w:p>
        </w:tc>
      </w:tr>
      <w:tr w14:paraId="45758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D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B5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49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A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77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22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51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316E">
            <w:pPr>
              <w:jc w:val="center"/>
            </w:pPr>
            <w:r>
              <w:rPr>
                <w:rFonts w:ascii="宋体" w:hAnsi="宋体" w:eastAsia="宋体"/>
                <w:sz w:val="16"/>
              </w:rPr>
              <w:t>—</w:t>
            </w:r>
          </w:p>
        </w:tc>
      </w:tr>
      <w:tr w14:paraId="0DE61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CE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0F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8C46A">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C1EE">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95E9">
            <w:pPr>
              <w:jc w:val="center"/>
            </w:pPr>
            <w:r>
              <w:rPr>
                <w:rFonts w:ascii="宋体" w:hAnsi="宋体" w:eastAsia="宋体"/>
                <w:sz w:val="16"/>
              </w:rPr>
              <w:t>159.52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B9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49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ECD3">
            <w:pPr>
              <w:jc w:val="center"/>
            </w:pPr>
            <w:r>
              <w:rPr>
                <w:rFonts w:ascii="宋体" w:hAnsi="宋体" w:eastAsia="宋体"/>
                <w:sz w:val="16"/>
              </w:rPr>
              <w:t>—</w:t>
            </w:r>
          </w:p>
        </w:tc>
      </w:tr>
      <w:tr w14:paraId="77ECE5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815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A10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3F85A">
            <w:pPr>
              <w:jc w:val="center"/>
            </w:pPr>
            <w:r>
              <w:rPr>
                <w:rFonts w:ascii="宋体" w:hAnsi="宋体" w:eastAsia="宋体"/>
                <w:sz w:val="16"/>
              </w:rPr>
              <w:t>实际完成情况</w:t>
            </w:r>
          </w:p>
        </w:tc>
      </w:tr>
      <w:tr w14:paraId="603E7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A0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0C21E">
            <w:pPr>
              <w:jc w:val="both"/>
            </w:pPr>
            <w:r>
              <w:rPr>
                <w:rFonts w:ascii="宋体" w:hAnsi="宋体" w:eastAsia="宋体"/>
                <w:sz w:val="16"/>
              </w:rPr>
              <w:t>项目安排资金240万元，在3个乡镇(金果镇、伯西热克镇、白杨镇)卫生院建设智 慧化预防接种门诊3家及采购配套设施和软件系统；包括装修、 软硬件、疫苗冷链储存设备，通过项目实施提高乡镇卫生院治疗水平，保障群众健康。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B0308">
            <w:pPr>
              <w:jc w:val="both"/>
            </w:pPr>
            <w:r>
              <w:rPr>
                <w:rFonts w:ascii="宋体" w:hAnsi="宋体" w:eastAsia="宋体"/>
                <w:sz w:val="16"/>
              </w:rPr>
              <w:t>该项目总资金240万元，到位资金240万元，项目实际支出合计159.52万元，执行率66.46%，在3个乡镇(金果镇、伯西热克镇、白杨镇)卫生院建设智 慧化预防接种门诊3家及采购配套设施和软件系统；包括装修、 软硬件、疫苗冷链储存设备；装饰改造验收合格率100%、每家卫生院升级改造成本53.17万元/个，有效提升疫苗接种力度。</w:t>
            </w:r>
          </w:p>
        </w:tc>
      </w:tr>
      <w:tr w14:paraId="704EE1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1C7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CE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25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4B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0F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7A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AE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17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C1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2E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FB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4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9CD57">
            <w:pPr>
              <w:jc w:val="center"/>
            </w:pPr>
            <w:r>
              <w:rPr>
                <w:rFonts w:ascii="宋体" w:hAnsi="宋体" w:eastAsia="宋体"/>
                <w:sz w:val="16"/>
              </w:rPr>
              <w:t>偏差原因分析及改进措施</w:t>
            </w:r>
          </w:p>
        </w:tc>
      </w:tr>
      <w:tr w14:paraId="3C0ACE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15B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7CF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C1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16BE">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265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9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BF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30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B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97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662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A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0CEA">
            <w:pPr>
              <w:jc w:val="center"/>
            </w:pPr>
          </w:p>
        </w:tc>
      </w:tr>
      <w:tr w14:paraId="715D7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5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AD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5EB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C8BD">
            <w:pPr>
              <w:jc w:val="center"/>
            </w:pPr>
            <w:r>
              <w:rPr>
                <w:rFonts w:ascii="宋体" w:hAnsi="宋体" w:eastAsia="宋体"/>
                <w:sz w:val="16"/>
              </w:rPr>
              <w:t>装饰改造验收合格率（%）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6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3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2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D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D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F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E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3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BE57">
            <w:pPr>
              <w:jc w:val="center"/>
            </w:pPr>
          </w:p>
        </w:tc>
      </w:tr>
      <w:tr w14:paraId="45BE2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15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0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B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214C">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3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F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B2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B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B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F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8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1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AA58">
            <w:pPr>
              <w:jc w:val="center"/>
            </w:pPr>
          </w:p>
        </w:tc>
      </w:tr>
      <w:tr w14:paraId="14FAF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A7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FF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0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7C1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C365">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1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A5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6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0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C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5BC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9D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7934">
            <w:pPr>
              <w:jc w:val="center"/>
            </w:pPr>
            <w:r>
              <w:rPr>
                <w:rFonts w:ascii="宋体" w:hAnsi="宋体" w:eastAsia="宋体"/>
                <w:sz w:val="16"/>
              </w:rPr>
              <w:t>偏差原因：项目部分资金未支完，导致项目未完成；加快项目实施进度</w:t>
            </w:r>
          </w:p>
        </w:tc>
      </w:tr>
      <w:tr w14:paraId="6D5F4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9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2E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42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C0AC">
            <w:pPr>
              <w:jc w:val="center"/>
            </w:pPr>
            <w:r>
              <w:rPr>
                <w:rFonts w:ascii="宋体" w:hAnsi="宋体" w:eastAsia="宋体"/>
                <w:sz w:val="16"/>
              </w:rPr>
              <w:t>卫生院升级改造成本（万元/个）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6E71">
            <w:pPr>
              <w:jc w:val="center"/>
            </w:pPr>
            <w:r>
              <w:rPr>
                <w:rFonts w:ascii="宋体" w:hAnsi="宋体" w:eastAsia="宋体"/>
                <w:sz w:val="16"/>
              </w:rPr>
              <w:t>&lt;=80万元/个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C8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4B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DD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7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A1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BF8C">
            <w:pPr>
              <w:jc w:val="center"/>
            </w:pPr>
            <w:r>
              <w:rPr>
                <w:rFonts w:ascii="宋体" w:hAnsi="宋体" w:eastAsia="宋体"/>
                <w:sz w:val="16"/>
              </w:rPr>
              <w:t>=53.17万元/个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A1F7">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2EC5">
            <w:pPr>
              <w:jc w:val="center"/>
            </w:pPr>
            <w:r>
              <w:rPr>
                <w:rFonts w:ascii="宋体" w:hAnsi="宋体" w:eastAsia="宋体"/>
                <w:sz w:val="16"/>
              </w:rPr>
              <w:t>偏差原因：项目剩余款项未支完，导致资金未支完；下一步加快资金支付进度</w:t>
            </w:r>
          </w:p>
        </w:tc>
      </w:tr>
      <w:tr w14:paraId="2A5E7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F8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3F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7C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5648">
            <w:pPr>
              <w:jc w:val="center"/>
            </w:pPr>
            <w:r>
              <w:rPr>
                <w:rFonts w:ascii="宋体" w:hAnsi="宋体" w:eastAsia="宋体"/>
                <w:sz w:val="16"/>
              </w:rPr>
              <w:t>提升疫苗接种力度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56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B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1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9B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28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8D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EC2E">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5E4C">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3C3A6">
            <w:pPr>
              <w:jc w:val="center"/>
            </w:pPr>
            <w:r>
              <w:rPr>
                <w:rFonts w:ascii="宋体" w:hAnsi="宋体" w:eastAsia="宋体"/>
                <w:sz w:val="16"/>
              </w:rPr>
              <w:t>提升疫苗接种力度达到基本打到目标，导致未达到预期效益；督促项目管理。</w:t>
            </w:r>
          </w:p>
        </w:tc>
      </w:tr>
      <w:tr w14:paraId="29357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A2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42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33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04F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7E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20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4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4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C6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F9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C2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1E18F">
            <w:pPr>
              <w:jc w:val="center"/>
            </w:pPr>
          </w:p>
        </w:tc>
      </w:tr>
      <w:tr w14:paraId="5DC5537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A43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3CC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948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F7C1">
            <w:pPr>
              <w:jc w:val="center"/>
            </w:pPr>
            <w:r>
              <w:rPr>
                <w:rFonts w:ascii="宋体" w:hAnsi="宋体" w:eastAsia="宋体"/>
                <w:sz w:val="16"/>
              </w:rPr>
              <w:t>60.95分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78D332"/>
        </w:tc>
      </w:tr>
    </w:tbl>
    <w:p w14:paraId="3B3C571E">
      <w:r>
        <w:br w:type="page"/>
      </w:r>
    </w:p>
    <w:p w14:paraId="581BA70D">
      <w:pPr>
        <w:spacing w:line="640" w:lineRule="exact"/>
        <w:ind w:firstLine="640"/>
        <w:jc w:val="both"/>
        <w:outlineLvl w:val="2"/>
      </w:pPr>
      <w:r>
        <w:rPr>
          <w:rFonts w:ascii="黑体" w:hAnsi="黑体" w:eastAsia="黑体"/>
          <w:sz w:val="32"/>
        </w:rPr>
        <w:t>十二、其他需说明的事项</w:t>
      </w:r>
    </w:p>
    <w:p w14:paraId="2E2D6828">
      <w:pPr>
        <w:spacing w:line="580" w:lineRule="exact"/>
        <w:ind w:firstLine="640"/>
        <w:jc w:val="both"/>
      </w:pPr>
      <w:r>
        <w:rPr>
          <w:rFonts w:ascii="仿宋_GB2312" w:hAnsi="仿宋_GB2312" w:eastAsia="仿宋_GB2312"/>
          <w:b w:val="0"/>
          <w:sz w:val="32"/>
        </w:rPr>
        <w:t>本单位无其他需说明的事项。</w:t>
      </w:r>
    </w:p>
    <w:p w14:paraId="4A3A6DD8">
      <w:r>
        <w:br w:type="page"/>
      </w:r>
    </w:p>
    <w:p w14:paraId="40F7E63C">
      <w:pPr>
        <w:spacing w:line="240" w:lineRule="auto"/>
        <w:jc w:val="center"/>
        <w:outlineLvl w:val="1"/>
      </w:pPr>
      <w:r>
        <w:rPr>
          <w:rFonts w:ascii="黑体" w:hAnsi="黑体" w:eastAsia="黑体"/>
          <w:sz w:val="32"/>
        </w:rPr>
        <w:t>第三部分 专业名词解释</w:t>
      </w:r>
    </w:p>
    <w:p w14:paraId="414ABC5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5D42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C7C6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70D8B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55ABF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F22CD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C8A57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BC6ED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137EE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DEF0E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37B3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9B6DC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71D46F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5C9FE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D59740">
      <w:r>
        <w:br w:type="page"/>
      </w:r>
    </w:p>
    <w:p w14:paraId="7B20DB93">
      <w:pPr>
        <w:spacing w:line="240" w:lineRule="auto"/>
        <w:jc w:val="center"/>
        <w:outlineLvl w:val="1"/>
      </w:pPr>
      <w:r>
        <w:rPr>
          <w:rFonts w:ascii="黑体" w:hAnsi="黑体" w:eastAsia="黑体"/>
          <w:sz w:val="32"/>
        </w:rPr>
        <w:t>第四部分 部门决算报表（见附表）</w:t>
      </w:r>
    </w:p>
    <w:p w14:paraId="74E20BB7">
      <w:pPr>
        <w:spacing w:line="240" w:lineRule="auto"/>
        <w:ind w:firstLine="640"/>
        <w:jc w:val="both"/>
      </w:pPr>
      <w:r>
        <w:rPr>
          <w:rFonts w:ascii="仿宋_GB2312" w:hAnsi="仿宋_GB2312" w:eastAsia="仿宋_GB2312"/>
          <w:b w:val="0"/>
          <w:sz w:val="32"/>
        </w:rPr>
        <w:t>一、《收入支出决算总表》</w:t>
      </w:r>
    </w:p>
    <w:p w14:paraId="17859865">
      <w:pPr>
        <w:spacing w:line="240" w:lineRule="auto"/>
        <w:ind w:firstLine="640"/>
        <w:jc w:val="both"/>
      </w:pPr>
      <w:r>
        <w:rPr>
          <w:rFonts w:ascii="仿宋_GB2312" w:hAnsi="仿宋_GB2312" w:eastAsia="仿宋_GB2312"/>
          <w:b w:val="0"/>
          <w:sz w:val="32"/>
        </w:rPr>
        <w:t>二、《收入决算表》</w:t>
      </w:r>
    </w:p>
    <w:p w14:paraId="6FA136FB">
      <w:pPr>
        <w:spacing w:line="240" w:lineRule="auto"/>
        <w:ind w:firstLine="640"/>
        <w:jc w:val="both"/>
      </w:pPr>
      <w:r>
        <w:rPr>
          <w:rFonts w:ascii="仿宋_GB2312" w:hAnsi="仿宋_GB2312" w:eastAsia="仿宋_GB2312"/>
          <w:b w:val="0"/>
          <w:sz w:val="32"/>
        </w:rPr>
        <w:t>三、《支出决算表》</w:t>
      </w:r>
    </w:p>
    <w:p w14:paraId="4725989D">
      <w:pPr>
        <w:spacing w:line="240" w:lineRule="auto"/>
        <w:ind w:firstLine="640"/>
        <w:jc w:val="both"/>
      </w:pPr>
      <w:r>
        <w:rPr>
          <w:rFonts w:ascii="仿宋_GB2312" w:hAnsi="仿宋_GB2312" w:eastAsia="仿宋_GB2312"/>
          <w:b w:val="0"/>
          <w:sz w:val="32"/>
        </w:rPr>
        <w:t>四、《财政拨款收入支出决算总表》</w:t>
      </w:r>
    </w:p>
    <w:p w14:paraId="13CA7067">
      <w:pPr>
        <w:spacing w:line="240" w:lineRule="auto"/>
        <w:ind w:firstLine="640"/>
        <w:jc w:val="both"/>
      </w:pPr>
      <w:r>
        <w:rPr>
          <w:rFonts w:ascii="仿宋_GB2312" w:hAnsi="仿宋_GB2312" w:eastAsia="仿宋_GB2312"/>
          <w:b w:val="0"/>
          <w:sz w:val="32"/>
        </w:rPr>
        <w:t>五、《一般公共预算财政拨款支出决算表》</w:t>
      </w:r>
    </w:p>
    <w:p w14:paraId="6BBD1250">
      <w:pPr>
        <w:spacing w:line="240" w:lineRule="auto"/>
        <w:ind w:firstLine="640"/>
        <w:jc w:val="both"/>
      </w:pPr>
      <w:r>
        <w:rPr>
          <w:rFonts w:ascii="仿宋_GB2312" w:hAnsi="仿宋_GB2312" w:eastAsia="仿宋_GB2312"/>
          <w:b w:val="0"/>
          <w:sz w:val="32"/>
        </w:rPr>
        <w:t>六、《一般公共预算财政拨款基本支出决算表》</w:t>
      </w:r>
    </w:p>
    <w:p w14:paraId="17DC699C">
      <w:pPr>
        <w:spacing w:line="240" w:lineRule="auto"/>
        <w:ind w:firstLine="640"/>
        <w:jc w:val="both"/>
      </w:pPr>
      <w:r>
        <w:rPr>
          <w:rFonts w:ascii="仿宋_GB2312" w:hAnsi="仿宋_GB2312" w:eastAsia="仿宋_GB2312"/>
          <w:b w:val="0"/>
          <w:sz w:val="32"/>
        </w:rPr>
        <w:t>七、《政府性基金预算财政拨款收入支出决算表》</w:t>
      </w:r>
    </w:p>
    <w:p w14:paraId="448D3F24">
      <w:pPr>
        <w:spacing w:line="240" w:lineRule="auto"/>
        <w:ind w:firstLine="640"/>
        <w:jc w:val="both"/>
      </w:pPr>
      <w:r>
        <w:rPr>
          <w:rFonts w:ascii="仿宋_GB2312" w:hAnsi="仿宋_GB2312" w:eastAsia="仿宋_GB2312"/>
          <w:b w:val="0"/>
          <w:sz w:val="32"/>
        </w:rPr>
        <w:t>八、《国有资本经营预算财政拨款收入支出决算表》</w:t>
      </w:r>
    </w:p>
    <w:p w14:paraId="76D7812A">
      <w:pPr>
        <w:spacing w:line="240" w:lineRule="auto"/>
        <w:ind w:firstLine="640"/>
        <w:jc w:val="both"/>
      </w:pPr>
      <w:r>
        <w:rPr>
          <w:rFonts w:ascii="仿宋_GB2312" w:hAnsi="仿宋_GB2312" w:eastAsia="仿宋_GB2312"/>
          <w:b w:val="0"/>
          <w:sz w:val="32"/>
        </w:rPr>
        <w:t>九、《财政拨款“三公”经费支出决算表》</w:t>
      </w:r>
    </w:p>
    <w:p w14:paraId="795A2C51">
      <w:pPr>
        <w:spacing w:line="240" w:lineRule="auto"/>
        <w:ind w:firstLine="640"/>
        <w:jc w:val="both"/>
      </w:pPr>
    </w:p>
    <w:p w14:paraId="27CD6DCE">
      <w:pPr>
        <w:spacing w:line="240" w:lineRule="auto"/>
        <w:ind w:firstLine="640"/>
        <w:jc w:val="both"/>
      </w:pPr>
    </w:p>
    <w:p w14:paraId="4445649F">
      <w:pPr>
        <w:spacing w:line="240" w:lineRule="auto"/>
        <w:ind w:firstLine="640"/>
        <w:jc w:val="both"/>
      </w:pPr>
    </w:p>
    <w:p w14:paraId="5F996E7B">
      <w:pPr>
        <w:spacing w:line="240" w:lineRule="auto"/>
        <w:ind w:firstLine="640"/>
        <w:jc w:val="both"/>
      </w:pPr>
    </w:p>
    <w:p w14:paraId="400454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0DB3D5-1D76-4095-BC71-E4A1E51B07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71AD273-D35C-441E-AA50-FC68D9B50758}"/>
  </w:font>
  <w:font w:name="仿宋_GB2312">
    <w:panose1 w:val="02010609030101010101"/>
    <w:charset w:val="86"/>
    <w:family w:val="modern"/>
    <w:pitch w:val="default"/>
    <w:sig w:usb0="00000001" w:usb1="080E0000" w:usb2="00000000" w:usb3="00000000" w:csb0="00040000" w:csb1="00000000"/>
    <w:embedRegular r:id="rId3" w:fontKey="{7F1D2C5F-3B58-4542-99E4-137F5A36CC37}"/>
  </w:font>
  <w:font w:name="楷体_GB2312">
    <w:panose1 w:val="02010609030101010101"/>
    <w:charset w:val="86"/>
    <w:family w:val="auto"/>
    <w:pitch w:val="default"/>
    <w:sig w:usb0="00000001" w:usb1="080E0000" w:usb2="00000000" w:usb3="00000000" w:csb0="00040000" w:csb1="00000000"/>
    <w:embedRegular r:id="rId4" w:fontKey="{C831B501-61E4-42D9-82C3-BD15E80143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6F2E9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4A2834"/>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5181</Words>
  <Characters>6040</Characters>
  <Lines>0</Lines>
  <Paragraphs>0</Paragraphs>
  <TotalTime>6</TotalTime>
  <ScaleCrop>false</ScaleCrop>
  <LinksUpToDate>false</LinksUpToDate>
  <CharactersWithSpaces>6049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2025-09-29T09:48:20Z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