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1F5D71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叶城县维吾尔医医院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1B53D1">
      <w:r>
        <w:br w:type="page"/>
      </w:r>
    </w:p>
    <w:p w14:paraId="61E6B8F5">
      <w:pPr>
        <w:spacing w:line="640" w:lineRule="exact"/>
        <w:jc w:val="center"/>
        <w:outlineLvl w:val="1"/>
      </w:pPr>
      <w:r>
        <w:rPr>
          <w:rFonts w:ascii="黑体" w:hAnsi="黑体" w:eastAsia="黑体"/>
          <w:sz w:val="32"/>
        </w:rPr>
        <w:t>第一部分 单位概况</w:t>
      </w:r>
    </w:p>
    <w:p w14:paraId="503B8609">
      <w:pPr>
        <w:spacing w:line="640" w:lineRule="exact"/>
        <w:ind w:firstLine="640"/>
        <w:jc w:val="both"/>
        <w:outlineLvl w:val="2"/>
      </w:pPr>
      <w:r>
        <w:rPr>
          <w:rFonts w:ascii="黑体" w:hAnsi="黑体" w:eastAsia="黑体"/>
          <w:sz w:val="32"/>
        </w:rPr>
        <w:t>一、主要职能</w:t>
      </w:r>
    </w:p>
    <w:p w14:paraId="077B9DBD">
      <w:pPr>
        <w:spacing w:line="580" w:lineRule="exact"/>
        <w:ind w:firstLine="640"/>
        <w:jc w:val="both"/>
      </w:pPr>
      <w:r>
        <w:rPr>
          <w:rFonts w:hint="eastAsia" w:ascii="仿宋_GB2312" w:hAnsi="仿宋_GB2312" w:eastAsia="仿宋_GB2312"/>
          <w:sz w:val="32"/>
          <w:lang w:val="en-US" w:eastAsia="zh-CN"/>
        </w:rPr>
        <w:t>叶城县维吾尔医</w:t>
      </w:r>
      <w:r>
        <w:rPr>
          <w:rFonts w:ascii="仿宋_GB2312" w:hAnsi="仿宋_GB2312" w:eastAsia="仿宋_GB2312"/>
          <w:sz w:val="32"/>
        </w:rPr>
        <w:t>医院从一个联合诊所成为集临床医疗，教学，预防保健，公共卫生，应急，康复为一体的以传统维医为主，西医为辅的二级甲等非营利性公立医疗机构。承担本区域居民的预防，医疗和保健任务。区域内传染病，职业病和非传染性慢性病的防控，区域内人群的健康教育工作，强化区域内医疗救治体系，有效应对各种</w:t>
      </w:r>
      <w:r>
        <w:rPr>
          <w:rFonts w:hint="eastAsia" w:ascii="仿宋_GB2312" w:hAnsi="仿宋_GB2312" w:eastAsia="仿宋_GB2312"/>
          <w:sz w:val="32"/>
          <w:lang w:eastAsia="zh-CN"/>
        </w:rPr>
        <w:t>突发公共卫生事件</w:t>
      </w:r>
      <w:r>
        <w:rPr>
          <w:rFonts w:ascii="仿宋_GB2312" w:hAnsi="仿宋_GB2312" w:eastAsia="仿宋_GB2312"/>
          <w:sz w:val="32"/>
        </w:rPr>
        <w:t>。</w:t>
      </w:r>
    </w:p>
    <w:p w14:paraId="1C69FF77">
      <w:pPr>
        <w:spacing w:line="640" w:lineRule="exact"/>
        <w:ind w:firstLine="640"/>
        <w:jc w:val="both"/>
        <w:outlineLvl w:val="2"/>
      </w:pPr>
      <w:r>
        <w:rPr>
          <w:rFonts w:ascii="黑体" w:hAnsi="黑体" w:eastAsia="黑体"/>
          <w:sz w:val="32"/>
        </w:rPr>
        <w:t>二、机构设置及人员情况</w:t>
      </w:r>
    </w:p>
    <w:p w14:paraId="7B33B0B3">
      <w:pPr>
        <w:spacing w:line="580" w:lineRule="exact"/>
        <w:ind w:firstLine="640"/>
        <w:jc w:val="both"/>
      </w:pPr>
      <w:r>
        <w:rPr>
          <w:rFonts w:ascii="仿宋_GB2312" w:hAnsi="仿宋_GB2312" w:eastAsia="仿宋_GB2312"/>
          <w:sz w:val="32"/>
        </w:rPr>
        <w:t>叶城县维吾尔医医院2024年度，实有人数143人，其中：在职人员112人，增加0人；离休人员0人，增加0人；退休人员31人,增加2人。</w:t>
      </w:r>
    </w:p>
    <w:p w14:paraId="27245698">
      <w:pPr>
        <w:spacing w:line="580" w:lineRule="exact"/>
        <w:ind w:firstLine="640"/>
        <w:jc w:val="both"/>
      </w:pPr>
      <w:r>
        <w:rPr>
          <w:rFonts w:ascii="仿宋_GB2312" w:hAnsi="仿宋_GB2312" w:eastAsia="仿宋_GB2312"/>
          <w:sz w:val="32"/>
        </w:rPr>
        <w:t>叶城县维吾尔医医院无下属预算单位，下设21个科室，分别是：急诊科、急诊监护室、门诊、综合内科、老年医学科、维吾尔医内科、综合外科、中西结合科、康复理疗科、妇科、皮肤科、信息科、财务科、医务科、医保办、院感科、人事科、招标办、特检科、体检科、制剂室。</w:t>
      </w:r>
    </w:p>
    <w:p w14:paraId="0AD5303C">
      <w:r>
        <w:br w:type="page"/>
      </w:r>
    </w:p>
    <w:p w14:paraId="3D94DB50">
      <w:pPr>
        <w:spacing w:line="240" w:lineRule="auto"/>
        <w:jc w:val="center"/>
        <w:outlineLvl w:val="1"/>
      </w:pPr>
      <w:r>
        <w:rPr>
          <w:rFonts w:ascii="黑体" w:hAnsi="黑体" w:eastAsia="黑体"/>
          <w:sz w:val="32"/>
        </w:rPr>
        <w:t>第二部分 部门决算情况说明</w:t>
      </w:r>
    </w:p>
    <w:p w14:paraId="44B5E034">
      <w:pPr>
        <w:spacing w:line="640" w:lineRule="exact"/>
        <w:ind w:firstLine="640"/>
        <w:jc w:val="both"/>
        <w:outlineLvl w:val="2"/>
      </w:pPr>
      <w:r>
        <w:rPr>
          <w:rFonts w:ascii="黑体" w:hAnsi="黑体" w:eastAsia="黑体"/>
          <w:sz w:val="32"/>
        </w:rPr>
        <w:t>一、收入支出决算总体情况说明</w:t>
      </w:r>
    </w:p>
    <w:p w14:paraId="40ADEFD9">
      <w:pPr>
        <w:spacing w:line="580" w:lineRule="exact"/>
        <w:ind w:firstLine="640"/>
        <w:jc w:val="both"/>
      </w:pPr>
      <w:r>
        <w:rPr>
          <w:rFonts w:ascii="仿宋_GB2312" w:hAnsi="仿宋_GB2312" w:eastAsia="仿宋_GB2312"/>
          <w:b/>
          <w:sz w:val="32"/>
        </w:rPr>
        <w:t>2024年度收入总计9,082.99万元，</w:t>
      </w:r>
      <w:r>
        <w:rPr>
          <w:rFonts w:ascii="仿宋_GB2312" w:hAnsi="仿宋_GB2312" w:eastAsia="仿宋_GB2312"/>
          <w:b w:val="0"/>
          <w:sz w:val="32"/>
        </w:rPr>
        <w:t>其中：本年收入合计9,082.99万元，使用非财政拨款结余（含专用结余）0.00万元，年初结转和结余0.00万元。</w:t>
      </w:r>
    </w:p>
    <w:p w14:paraId="6C8E29AA">
      <w:pPr>
        <w:spacing w:line="580" w:lineRule="exact"/>
        <w:ind w:firstLine="640"/>
        <w:jc w:val="both"/>
      </w:pPr>
      <w:r>
        <w:rPr>
          <w:rFonts w:ascii="仿宋_GB2312" w:hAnsi="仿宋_GB2312" w:eastAsia="仿宋_GB2312"/>
          <w:b/>
          <w:sz w:val="32"/>
        </w:rPr>
        <w:t>2024年度支出总计9,082.99万元，</w:t>
      </w:r>
      <w:r>
        <w:rPr>
          <w:rFonts w:ascii="仿宋_GB2312" w:hAnsi="仿宋_GB2312" w:eastAsia="仿宋_GB2312"/>
          <w:b w:val="0"/>
          <w:sz w:val="32"/>
        </w:rPr>
        <w:t>其中：本年支出合计9,082.99万元，结余分配0.00万元，年末结转和结余0.00万元。</w:t>
      </w:r>
    </w:p>
    <w:p w14:paraId="504FAB5C">
      <w:pPr>
        <w:spacing w:line="580" w:lineRule="exact"/>
        <w:ind w:firstLine="640"/>
        <w:jc w:val="both"/>
      </w:pPr>
      <w:r>
        <w:rPr>
          <w:rFonts w:ascii="仿宋_GB2312" w:hAnsi="仿宋_GB2312" w:eastAsia="仿宋_GB2312"/>
          <w:b w:val="0"/>
          <w:sz w:val="32"/>
        </w:rPr>
        <w:t>收入支出总体与上年相比，增加271.33万元，增长3.08%，主要原因是：本年增加上海援疆项目-叶城县级医院能力提升建设-叶城县维吾尔医医院维修等项目经费，导致相关经费增加。</w:t>
      </w:r>
    </w:p>
    <w:p w14:paraId="6DE359A8">
      <w:pPr>
        <w:spacing w:line="640" w:lineRule="exact"/>
        <w:ind w:firstLine="640"/>
        <w:jc w:val="both"/>
        <w:outlineLvl w:val="2"/>
      </w:pPr>
      <w:r>
        <w:rPr>
          <w:rFonts w:ascii="黑体" w:hAnsi="黑体" w:eastAsia="黑体"/>
          <w:sz w:val="32"/>
        </w:rPr>
        <w:t>二、收入决算情况说明</w:t>
      </w:r>
    </w:p>
    <w:p w14:paraId="0995114E">
      <w:pPr>
        <w:spacing w:line="580" w:lineRule="exact"/>
        <w:ind w:firstLine="640"/>
        <w:jc w:val="both"/>
      </w:pPr>
      <w:r>
        <w:rPr>
          <w:rFonts w:ascii="仿宋_GB2312" w:hAnsi="仿宋_GB2312" w:eastAsia="仿宋_GB2312"/>
          <w:b/>
          <w:sz w:val="32"/>
        </w:rPr>
        <w:t>本年收入9,082.99万元，</w:t>
      </w:r>
      <w:r>
        <w:rPr>
          <w:rFonts w:ascii="仿宋_GB2312" w:hAnsi="仿宋_GB2312" w:eastAsia="仿宋_GB2312"/>
          <w:b w:val="0"/>
          <w:sz w:val="32"/>
        </w:rPr>
        <w:t>其中：财政拨款收入2,138.42万元，占23.54%；上级补助收入0.00万元，占0.00%；事业收入6,732.77万元，占74.13%；经营收入0.00万元，占0.00%；附属单位上缴收入0.00万元，占0.00%；其他收入211.81万元，占2.33%。</w:t>
      </w:r>
    </w:p>
    <w:p w14:paraId="5FC00C07">
      <w:pPr>
        <w:spacing w:line="640" w:lineRule="exact"/>
        <w:ind w:firstLine="640"/>
        <w:jc w:val="both"/>
        <w:outlineLvl w:val="2"/>
      </w:pPr>
      <w:r>
        <w:rPr>
          <w:rFonts w:ascii="黑体" w:hAnsi="黑体" w:eastAsia="黑体"/>
          <w:sz w:val="32"/>
        </w:rPr>
        <w:t>三、支出决算情况说明</w:t>
      </w:r>
    </w:p>
    <w:p w14:paraId="0C01F982">
      <w:pPr>
        <w:spacing w:line="580" w:lineRule="exact"/>
        <w:ind w:firstLine="640"/>
        <w:jc w:val="both"/>
      </w:pPr>
      <w:r>
        <w:rPr>
          <w:rFonts w:ascii="仿宋_GB2312" w:hAnsi="仿宋_GB2312" w:eastAsia="仿宋_GB2312"/>
          <w:b/>
          <w:sz w:val="32"/>
        </w:rPr>
        <w:t>本年支出9,082.99万元，</w:t>
      </w:r>
      <w:r>
        <w:rPr>
          <w:rFonts w:ascii="仿宋_GB2312" w:hAnsi="仿宋_GB2312" w:eastAsia="仿宋_GB2312"/>
          <w:b w:val="0"/>
          <w:sz w:val="32"/>
        </w:rPr>
        <w:t>其中：基本支出8,700.31万元，占95.79%；项目支出382.68万元，占4.21%；上缴上级支出0.00万元，占0.00%；经营支出0.00万元，占0.00%；对附属单位补助支出0.00万元，占0.00%。</w:t>
      </w:r>
    </w:p>
    <w:p w14:paraId="06B538C5">
      <w:pPr>
        <w:spacing w:line="640" w:lineRule="exact"/>
        <w:ind w:firstLine="640"/>
        <w:jc w:val="both"/>
        <w:outlineLvl w:val="2"/>
      </w:pPr>
      <w:r>
        <w:rPr>
          <w:rFonts w:ascii="黑体" w:hAnsi="黑体" w:eastAsia="黑体"/>
          <w:sz w:val="32"/>
        </w:rPr>
        <w:t>四、财政拨款收入支出决算总体情况说明</w:t>
      </w:r>
    </w:p>
    <w:p w14:paraId="467C8253">
      <w:pPr>
        <w:spacing w:line="580" w:lineRule="exact"/>
        <w:ind w:firstLine="640"/>
        <w:jc w:val="both"/>
      </w:pPr>
      <w:r>
        <w:rPr>
          <w:rFonts w:ascii="仿宋_GB2312" w:hAnsi="仿宋_GB2312" w:eastAsia="仿宋_GB2312"/>
          <w:b/>
          <w:sz w:val="32"/>
        </w:rPr>
        <w:t>2024年度财政拨款收入总计2,138.42万元，</w:t>
      </w:r>
      <w:r>
        <w:rPr>
          <w:rFonts w:ascii="仿宋_GB2312" w:hAnsi="仿宋_GB2312" w:eastAsia="仿宋_GB2312"/>
          <w:b w:val="0"/>
          <w:sz w:val="32"/>
        </w:rPr>
        <w:t>其中：年初财政拨款结转和结余0.00万元，本年财政拨款收入2,138.42万元。</w:t>
      </w:r>
      <w:r>
        <w:rPr>
          <w:rFonts w:ascii="仿宋_GB2312" w:hAnsi="仿宋_GB2312" w:eastAsia="仿宋_GB2312"/>
          <w:b/>
          <w:sz w:val="32"/>
        </w:rPr>
        <w:t>财政拨款支出总计2,138.42万元，</w:t>
      </w:r>
      <w:r>
        <w:rPr>
          <w:rFonts w:ascii="仿宋_GB2312" w:hAnsi="仿宋_GB2312" w:eastAsia="仿宋_GB2312"/>
          <w:b w:val="0"/>
          <w:sz w:val="32"/>
        </w:rPr>
        <w:t>其中：年末财政拨款结转和结余0.00万元，本年财政拨款支出2,138.42万元。</w:t>
      </w:r>
    </w:p>
    <w:p w14:paraId="7A4AA98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减少56.95万元，下降2.59%，主要原因是：本年减少</w:t>
      </w:r>
      <w:r>
        <w:rPr>
          <w:rFonts w:hint="eastAsia" w:ascii="仿宋_GB2312" w:hAnsi="仿宋_GB2312" w:eastAsia="仿宋_GB2312"/>
          <w:b w:val="0"/>
          <w:sz w:val="32"/>
          <w:lang w:val="en-US" w:eastAsia="zh-CN"/>
        </w:rPr>
        <w:t>2</w:t>
      </w:r>
      <w:r>
        <w:rPr>
          <w:rFonts w:hint="eastAsia" w:ascii="仿宋_GB2312" w:hAnsi="仿宋_GB2312" w:eastAsia="仿宋_GB2312"/>
          <w:b w:val="0"/>
          <w:sz w:val="32"/>
        </w:rPr>
        <w:t>023年自治区医务人员临时性工资补贴项目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w:t>
      </w:r>
      <w:r>
        <w:rPr>
          <w:rFonts w:hint="eastAsia" w:ascii="仿宋_GB2312" w:hAnsi="仿宋_GB2312" w:eastAsia="仿宋_GB2312"/>
          <w:b w:val="0"/>
          <w:sz w:val="32"/>
        </w:rPr>
        <w:t>023年核</w:t>
      </w:r>
      <w:r>
        <w:rPr>
          <w:rFonts w:hint="eastAsia" w:ascii="仿宋_GB2312" w:hAnsi="仿宋_GB2312" w:eastAsia="仿宋_GB2312"/>
          <w:b w:val="0"/>
          <w:sz w:val="32"/>
          <w:lang w:val="en-US" w:eastAsia="zh-CN"/>
        </w:rPr>
        <w:t>酸</w:t>
      </w:r>
      <w:r>
        <w:rPr>
          <w:rFonts w:hint="eastAsia" w:ascii="仿宋_GB2312" w:hAnsi="仿宋_GB2312" w:eastAsia="仿宋_GB2312"/>
          <w:b w:val="0"/>
          <w:sz w:val="32"/>
        </w:rPr>
        <w:t>检测等防控支出县级补助项目</w:t>
      </w:r>
      <w:r>
        <w:rPr>
          <w:rFonts w:ascii="仿宋_GB2312" w:hAnsi="仿宋_GB2312" w:eastAsia="仿宋_GB2312"/>
          <w:b w:val="0"/>
          <w:sz w:val="32"/>
        </w:rPr>
        <w:t>，导致相关经费减少。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年初预算数2,093.58万元，决算数2,138.42万元，预决算差异率2.14%，主要原因是：年中追加人员经费及人员工资、社保、公积金基数调增部分资金，导致预决算差异。</w:t>
      </w:r>
    </w:p>
    <w:p w14:paraId="1368F707">
      <w:pPr>
        <w:spacing w:line="640" w:lineRule="exact"/>
        <w:ind w:firstLine="640"/>
        <w:jc w:val="both"/>
        <w:outlineLvl w:val="2"/>
      </w:pPr>
      <w:r>
        <w:rPr>
          <w:rFonts w:ascii="黑体" w:hAnsi="黑体" w:eastAsia="黑体"/>
          <w:sz w:val="32"/>
        </w:rPr>
        <w:t>五、一般公共预算财政拨款支出决算情况说明</w:t>
      </w:r>
    </w:p>
    <w:p w14:paraId="063AC286">
      <w:pPr>
        <w:spacing w:line="640" w:lineRule="exact"/>
        <w:ind w:firstLine="640"/>
        <w:jc w:val="both"/>
        <w:outlineLvl w:val="3"/>
      </w:pPr>
      <w:r>
        <w:rPr>
          <w:rFonts w:ascii="楷体_GB2312" w:hAnsi="楷体_GB2312" w:eastAsia="楷体_GB2312"/>
          <w:b/>
          <w:sz w:val="32"/>
        </w:rPr>
        <w:t>（一）一般公共预算财政拨款支出决算总体情况</w:t>
      </w:r>
    </w:p>
    <w:p w14:paraId="37C29F5F">
      <w:pPr>
        <w:spacing w:line="580" w:lineRule="exact"/>
        <w:ind w:firstLine="640"/>
        <w:jc w:val="both"/>
      </w:pPr>
      <w:r>
        <w:rPr>
          <w:rFonts w:ascii="仿宋_GB2312" w:hAnsi="仿宋_GB2312" w:eastAsia="仿宋_GB2312"/>
          <w:b/>
          <w:sz w:val="32"/>
        </w:rPr>
        <w:t>2024年度一般公共预算财政拨款支出2,138.42万元，</w:t>
      </w:r>
      <w:r>
        <w:rPr>
          <w:rFonts w:ascii="仿宋_GB2312" w:hAnsi="仿宋_GB2312" w:eastAsia="仿宋_GB2312"/>
          <w:b w:val="0"/>
          <w:sz w:val="32"/>
        </w:rPr>
        <w:t>占本年支出合计的23.54%。</w:t>
      </w:r>
      <w:r>
        <w:rPr>
          <w:rFonts w:ascii="仿宋_GB2312" w:hAnsi="仿宋_GB2312" w:eastAsia="仿宋_GB2312"/>
          <w:b/>
          <w:sz w:val="32"/>
        </w:rPr>
        <w:t>与上年相比，</w:t>
      </w:r>
      <w:r>
        <w:rPr>
          <w:rFonts w:ascii="仿宋_GB2312" w:hAnsi="仿宋_GB2312" w:eastAsia="仿宋_GB2312"/>
          <w:b w:val="0"/>
          <w:sz w:val="32"/>
        </w:rPr>
        <w:t>减少56.95万元，下降2.59%，主要原因是：本年减少</w:t>
      </w:r>
      <w:r>
        <w:rPr>
          <w:rFonts w:hint="eastAsia" w:ascii="仿宋_GB2312" w:hAnsi="仿宋_GB2312" w:eastAsia="仿宋_GB2312"/>
          <w:b w:val="0"/>
          <w:sz w:val="32"/>
          <w:lang w:val="en-US" w:eastAsia="zh-CN"/>
        </w:rPr>
        <w:t>2</w:t>
      </w:r>
      <w:r>
        <w:rPr>
          <w:rFonts w:hint="eastAsia" w:ascii="仿宋_GB2312" w:hAnsi="仿宋_GB2312" w:eastAsia="仿宋_GB2312"/>
          <w:b w:val="0"/>
          <w:sz w:val="32"/>
        </w:rPr>
        <w:t>023年自治区医务人员临时性工资补贴项目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w:t>
      </w:r>
      <w:r>
        <w:rPr>
          <w:rFonts w:hint="eastAsia" w:ascii="仿宋_GB2312" w:hAnsi="仿宋_GB2312" w:eastAsia="仿宋_GB2312"/>
          <w:b w:val="0"/>
          <w:sz w:val="32"/>
        </w:rPr>
        <w:t>023年核</w:t>
      </w:r>
      <w:r>
        <w:rPr>
          <w:rFonts w:hint="eastAsia" w:ascii="仿宋_GB2312" w:hAnsi="仿宋_GB2312" w:eastAsia="仿宋_GB2312"/>
          <w:b w:val="0"/>
          <w:sz w:val="32"/>
          <w:lang w:val="en-US" w:eastAsia="zh-CN"/>
        </w:rPr>
        <w:t>酸</w:t>
      </w:r>
      <w:r>
        <w:rPr>
          <w:rFonts w:hint="eastAsia" w:ascii="仿宋_GB2312" w:hAnsi="仿宋_GB2312" w:eastAsia="仿宋_GB2312"/>
          <w:b w:val="0"/>
          <w:sz w:val="32"/>
        </w:rPr>
        <w:t>检测等防控支出县级补助项目</w:t>
      </w:r>
      <w:r>
        <w:rPr>
          <w:rFonts w:ascii="仿宋_GB2312" w:hAnsi="仿宋_GB2312" w:eastAsia="仿宋_GB2312"/>
          <w:b w:val="0"/>
          <w:sz w:val="32"/>
        </w:rPr>
        <w:t>，导致相关经费减少。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年初预算数2,093.58万元，决算数2,138.42万元，预决算差异率2.14%，主要原因是：年中追加人员经费及人员工资、社保、公积金基数调增部分资金，导致预决算差异。</w:t>
      </w:r>
    </w:p>
    <w:p w14:paraId="0FC957B0">
      <w:pPr>
        <w:spacing w:line="640" w:lineRule="exact"/>
        <w:ind w:firstLine="640"/>
        <w:jc w:val="both"/>
        <w:outlineLvl w:val="3"/>
      </w:pPr>
      <w:r>
        <w:rPr>
          <w:rFonts w:ascii="楷体_GB2312" w:hAnsi="楷体_GB2312" w:eastAsia="楷体_GB2312"/>
          <w:b/>
          <w:sz w:val="32"/>
        </w:rPr>
        <w:t>（二）一般公共预算财政拨款支出决算结构情况</w:t>
      </w:r>
    </w:p>
    <w:p w14:paraId="722CF92C">
      <w:pPr>
        <w:spacing w:line="580" w:lineRule="exact"/>
        <w:ind w:firstLine="640"/>
        <w:jc w:val="both"/>
      </w:pPr>
      <w:r>
        <w:rPr>
          <w:rFonts w:ascii="仿宋_GB2312" w:hAnsi="仿宋_GB2312" w:eastAsia="仿宋_GB2312"/>
          <w:b w:val="0"/>
          <w:sz w:val="32"/>
        </w:rPr>
        <w:t>1.社会保障和就业支出(类)291.70万元,占13.64%。</w:t>
      </w:r>
    </w:p>
    <w:p w14:paraId="06A68FE9">
      <w:pPr>
        <w:spacing w:line="580" w:lineRule="exact"/>
        <w:ind w:firstLine="640"/>
        <w:jc w:val="both"/>
      </w:pPr>
      <w:r>
        <w:rPr>
          <w:rFonts w:ascii="仿宋_GB2312" w:hAnsi="仿宋_GB2312" w:eastAsia="仿宋_GB2312"/>
          <w:b w:val="0"/>
          <w:sz w:val="32"/>
        </w:rPr>
        <w:t>2.卫生健康支出(类)1,846.72万元,占86.36%。</w:t>
      </w:r>
    </w:p>
    <w:p w14:paraId="54BEDFAA">
      <w:pPr>
        <w:spacing w:line="640" w:lineRule="exact"/>
        <w:ind w:firstLine="640"/>
        <w:jc w:val="both"/>
        <w:outlineLvl w:val="3"/>
      </w:pPr>
      <w:r>
        <w:rPr>
          <w:rFonts w:ascii="楷体_GB2312" w:hAnsi="楷体_GB2312" w:eastAsia="楷体_GB2312"/>
          <w:b/>
          <w:sz w:val="32"/>
        </w:rPr>
        <w:t>（三）一般公共预算财政拨款支出决算具体情况</w:t>
      </w:r>
    </w:p>
    <w:p w14:paraId="630E8731">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194.47万元，比上年决算增加52.84万元，增长37.31%,主要原因是：本年在职人员工资基数调增，养老缴费基数上涨，相应支出增加。</w:t>
      </w:r>
    </w:p>
    <w:p w14:paraId="7382B644">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97.23万元，比上年决算增加26.39万元，增长37.25%,主要原因是：本年新增退休人员较上年增加，职业年金缴费支出增加。</w:t>
      </w:r>
    </w:p>
    <w:p w14:paraId="3D77EA03">
      <w:pPr>
        <w:spacing w:line="580" w:lineRule="exact"/>
        <w:ind w:firstLine="640"/>
        <w:jc w:val="both"/>
      </w:pPr>
      <w:r>
        <w:rPr>
          <w:rFonts w:ascii="仿宋_GB2312" w:hAnsi="仿宋_GB2312" w:eastAsia="仿宋_GB2312"/>
          <w:b w:val="0"/>
          <w:sz w:val="32"/>
        </w:rPr>
        <w:t>3.卫生健康支出(类)公立医院(款)中医（民族）医院(项):支出决算数为1,675.85万元，比上年决算减少34.04万元，下降1.99%,主要原因是：本年在职人员调入调出，工资基数不同，相关人员经费减少。</w:t>
      </w:r>
    </w:p>
    <w:p w14:paraId="1A721C28">
      <w:pPr>
        <w:spacing w:line="580" w:lineRule="exact"/>
        <w:ind w:firstLine="640"/>
        <w:jc w:val="both"/>
      </w:pPr>
      <w:r>
        <w:rPr>
          <w:rFonts w:ascii="仿宋_GB2312" w:hAnsi="仿宋_GB2312" w:eastAsia="仿宋_GB2312"/>
          <w:b w:val="0"/>
          <w:sz w:val="32"/>
        </w:rPr>
        <w:t>4.卫生健康支出(类)公立医院(款)其他公立医院支出(项):支出决算数为21.98万元，比上年决算减少8.70万元，下降28.36%,主要原因是：本年减少中央医疗服务与保障能力提升公立医院综合改革补助资金，导致相关经费减少。</w:t>
      </w:r>
    </w:p>
    <w:p w14:paraId="78BE6A0E">
      <w:pPr>
        <w:spacing w:line="580" w:lineRule="exact"/>
        <w:ind w:firstLine="640"/>
        <w:jc w:val="both"/>
      </w:pPr>
      <w:r>
        <w:rPr>
          <w:rFonts w:ascii="仿宋_GB2312" w:hAnsi="仿宋_GB2312" w:eastAsia="仿宋_GB2312"/>
          <w:b w:val="0"/>
          <w:sz w:val="32"/>
        </w:rPr>
        <w:t>5.卫生健康支出(类)公共卫生(款)重大公共卫生服务(项):支出决算数为148.89万元，比上年决算增加148.89万元，增长100.00%,主要原因是：本年增加公共卫生服务支出项目经费，导致相关经费增加。</w:t>
      </w:r>
    </w:p>
    <w:p w14:paraId="3172541D">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6.卫生健康支出(类)公共卫生(款)突发公共卫生事件应急处理(项):支出决算数为0.00万元，比上年决算减少242.33万元，下降100.00%,主要原因是：本年减少</w:t>
      </w:r>
      <w:r>
        <w:rPr>
          <w:rFonts w:hint="eastAsia" w:ascii="仿宋_GB2312" w:hAnsi="仿宋_GB2312" w:eastAsia="仿宋_GB2312"/>
          <w:b w:val="0"/>
          <w:sz w:val="32"/>
          <w:lang w:val="en-US" w:eastAsia="zh-CN"/>
        </w:rPr>
        <w:t>2</w:t>
      </w:r>
      <w:r>
        <w:rPr>
          <w:rFonts w:hint="eastAsia" w:ascii="仿宋_GB2312" w:hAnsi="仿宋_GB2312" w:eastAsia="仿宋_GB2312"/>
          <w:b w:val="0"/>
          <w:sz w:val="32"/>
        </w:rPr>
        <w:t>023年自治区医务人员临时性工资补贴项目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w:t>
      </w:r>
      <w:r>
        <w:rPr>
          <w:rFonts w:hint="eastAsia" w:ascii="仿宋_GB2312" w:hAnsi="仿宋_GB2312" w:eastAsia="仿宋_GB2312"/>
          <w:b w:val="0"/>
          <w:sz w:val="32"/>
        </w:rPr>
        <w:t>023年核</w:t>
      </w:r>
      <w:r>
        <w:rPr>
          <w:rFonts w:hint="eastAsia" w:ascii="仿宋_GB2312" w:hAnsi="仿宋_GB2312" w:eastAsia="仿宋_GB2312"/>
          <w:b w:val="0"/>
          <w:sz w:val="32"/>
          <w:lang w:val="en-US" w:eastAsia="zh-CN"/>
        </w:rPr>
        <w:t>酸</w:t>
      </w:r>
      <w:r>
        <w:rPr>
          <w:rFonts w:hint="eastAsia" w:ascii="仿宋_GB2312" w:hAnsi="仿宋_GB2312" w:eastAsia="仿宋_GB2312"/>
          <w:b w:val="0"/>
          <w:sz w:val="32"/>
        </w:rPr>
        <w:t>检测等防控支出县级补助项目</w:t>
      </w:r>
      <w:r>
        <w:rPr>
          <w:rFonts w:ascii="仿宋_GB2312" w:hAnsi="仿宋_GB2312" w:eastAsia="仿宋_GB2312"/>
          <w:b w:val="0"/>
          <w:sz w:val="32"/>
        </w:rPr>
        <w:t>，导致相关经费减少。</w:t>
      </w:r>
    </w:p>
    <w:p w14:paraId="0F426AE0">
      <w:pPr>
        <w:spacing w:line="640" w:lineRule="exact"/>
        <w:ind w:firstLine="640"/>
        <w:jc w:val="both"/>
        <w:outlineLvl w:val="2"/>
      </w:pPr>
      <w:r>
        <w:rPr>
          <w:rFonts w:ascii="黑体" w:hAnsi="黑体" w:eastAsia="黑体"/>
          <w:sz w:val="32"/>
        </w:rPr>
        <w:t>六、一般公共预算财政拨款基本支出决算情况说明</w:t>
      </w:r>
    </w:p>
    <w:p w14:paraId="7764BD64">
      <w:pPr>
        <w:spacing w:line="580" w:lineRule="exact"/>
        <w:ind w:firstLine="640"/>
        <w:jc w:val="both"/>
      </w:pPr>
      <w:r>
        <w:rPr>
          <w:rFonts w:ascii="仿宋_GB2312" w:hAnsi="仿宋_GB2312" w:eastAsia="仿宋_GB2312"/>
          <w:b w:val="0"/>
          <w:sz w:val="32"/>
        </w:rPr>
        <w:t>2024年度一般公共预算财政拨款基本支出1,967.55万元，其中：</w:t>
      </w:r>
      <w:r>
        <w:rPr>
          <w:rFonts w:ascii="仿宋_GB2312" w:hAnsi="仿宋_GB2312" w:eastAsia="仿宋_GB2312"/>
          <w:b/>
          <w:sz w:val="32"/>
        </w:rPr>
        <w:t>人员经费1,967.55万元，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0994F47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4E0067F">
      <w:pPr>
        <w:spacing w:line="640" w:lineRule="exact"/>
        <w:ind w:firstLine="640"/>
        <w:jc w:val="both"/>
        <w:outlineLvl w:val="2"/>
      </w:pPr>
      <w:r>
        <w:rPr>
          <w:rFonts w:ascii="黑体" w:hAnsi="黑体" w:eastAsia="黑体"/>
          <w:sz w:val="32"/>
        </w:rPr>
        <w:t>七、政府性基金预算财政拨款收入支出决算情况说明</w:t>
      </w:r>
    </w:p>
    <w:p w14:paraId="4964E82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E7239F">
      <w:pPr>
        <w:spacing w:line="640" w:lineRule="exact"/>
        <w:ind w:firstLine="640"/>
        <w:jc w:val="both"/>
        <w:outlineLvl w:val="2"/>
      </w:pPr>
      <w:r>
        <w:rPr>
          <w:rFonts w:ascii="黑体" w:hAnsi="黑体" w:eastAsia="黑体"/>
          <w:sz w:val="32"/>
        </w:rPr>
        <w:t>八、国有资本经营预算财政拨款收入支出决算情况说明</w:t>
      </w:r>
    </w:p>
    <w:p w14:paraId="791E555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0D95A6">
      <w:pPr>
        <w:spacing w:line="640" w:lineRule="exact"/>
        <w:ind w:firstLine="640"/>
        <w:jc w:val="both"/>
        <w:outlineLvl w:val="2"/>
      </w:pPr>
      <w:r>
        <w:rPr>
          <w:rFonts w:ascii="黑体" w:hAnsi="黑体" w:eastAsia="黑体"/>
          <w:sz w:val="32"/>
        </w:rPr>
        <w:t>九、财政拨款“三公”经费支出决算情况说明</w:t>
      </w:r>
    </w:p>
    <w:p w14:paraId="76CC1FA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7412E65">
      <w:pPr>
        <w:spacing w:line="580" w:lineRule="exact"/>
        <w:ind w:firstLine="640"/>
        <w:jc w:val="both"/>
      </w:pPr>
      <w:r>
        <w:rPr>
          <w:rFonts w:ascii="仿宋_GB2312" w:hAnsi="仿宋_GB2312" w:eastAsia="仿宋_GB2312"/>
          <w:b/>
          <w:sz w:val="32"/>
        </w:rPr>
        <w:t>具体情况如下：</w:t>
      </w:r>
    </w:p>
    <w:p w14:paraId="617E3BA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C2A36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4辆，与公务用车保有量差异原因是：单位业务用车，车辆费用未使用财政拨款公务用车运行维护费支付，由医疗收入经费保障。</w:t>
      </w:r>
    </w:p>
    <w:p w14:paraId="3A315C8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B60F9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266508B">
      <w:pPr>
        <w:spacing w:line="640" w:lineRule="exact"/>
        <w:ind w:firstLine="640"/>
        <w:jc w:val="both"/>
        <w:outlineLvl w:val="2"/>
      </w:pPr>
      <w:r>
        <w:rPr>
          <w:rFonts w:ascii="黑体" w:hAnsi="黑体" w:eastAsia="黑体"/>
          <w:sz w:val="32"/>
        </w:rPr>
        <w:t>十、其他重要事项的情况说明</w:t>
      </w:r>
    </w:p>
    <w:p w14:paraId="1C6C2CB6">
      <w:pPr>
        <w:spacing w:line="640" w:lineRule="exact"/>
        <w:ind w:firstLine="640"/>
        <w:jc w:val="both"/>
        <w:outlineLvl w:val="3"/>
      </w:pPr>
      <w:r>
        <w:rPr>
          <w:rFonts w:ascii="楷体_GB2312" w:hAnsi="楷体_GB2312" w:eastAsia="楷体_GB2312"/>
          <w:b/>
          <w:sz w:val="32"/>
        </w:rPr>
        <w:t>（一）机关运行经费及公用经费支出情况</w:t>
      </w:r>
    </w:p>
    <w:p w14:paraId="26B60CF7">
      <w:pPr>
        <w:spacing w:line="580" w:lineRule="exact"/>
        <w:ind w:firstLine="640"/>
        <w:jc w:val="both"/>
      </w:pPr>
      <w:r>
        <w:rPr>
          <w:rFonts w:ascii="仿宋_GB2312" w:hAnsi="仿宋_GB2312" w:eastAsia="仿宋_GB2312"/>
          <w:b w:val="0"/>
          <w:sz w:val="32"/>
        </w:rPr>
        <w:t>2024年度叶城县维吾尔医医院（事业单位）公用经费支出0.00万元，比上年增加0.00万元，增长0.00%，主要原因是：2023年与2024年均未安排公用经费支出。</w:t>
      </w:r>
    </w:p>
    <w:p w14:paraId="601C3938">
      <w:pPr>
        <w:spacing w:line="640" w:lineRule="exact"/>
        <w:ind w:firstLine="640"/>
        <w:jc w:val="both"/>
        <w:outlineLvl w:val="3"/>
      </w:pPr>
      <w:r>
        <w:rPr>
          <w:rFonts w:ascii="楷体_GB2312" w:hAnsi="楷体_GB2312" w:eastAsia="楷体_GB2312"/>
          <w:b/>
          <w:sz w:val="32"/>
        </w:rPr>
        <w:t>（二）政府采购情况</w:t>
      </w:r>
    </w:p>
    <w:p w14:paraId="7ACDFEF2">
      <w:pPr>
        <w:spacing w:line="580" w:lineRule="exact"/>
        <w:ind w:firstLine="640"/>
        <w:jc w:val="both"/>
      </w:pPr>
      <w:r>
        <w:rPr>
          <w:rFonts w:ascii="仿宋_GB2312" w:hAnsi="仿宋_GB2312" w:eastAsia="仿宋_GB2312"/>
          <w:b w:val="0"/>
          <w:sz w:val="32"/>
        </w:rPr>
        <w:t>2024年度政府采购支出总额1,635.65万元，其中：政府采购货物支出1,026.23万元、政府采购工程支出349.55万元、政府采购服务支出259.87万元。</w:t>
      </w:r>
    </w:p>
    <w:p w14:paraId="7332AC7E">
      <w:pPr>
        <w:spacing w:line="580" w:lineRule="exact"/>
        <w:ind w:firstLine="640"/>
        <w:jc w:val="both"/>
      </w:pPr>
      <w:r>
        <w:rPr>
          <w:rFonts w:ascii="仿宋_GB2312" w:hAnsi="仿宋_GB2312" w:eastAsia="仿宋_GB2312"/>
          <w:b w:val="0"/>
          <w:sz w:val="32"/>
        </w:rPr>
        <w:t>授予中小企业合同金额1,613.69万元，占政府采购支出总额的98.66%，其中：授予小微企业合同金额1,321.88万元，占政府采购支出总额的80.82%。</w:t>
      </w:r>
    </w:p>
    <w:p w14:paraId="65C146F3">
      <w:pPr>
        <w:spacing w:line="640" w:lineRule="exact"/>
        <w:ind w:firstLine="640"/>
        <w:jc w:val="both"/>
        <w:outlineLvl w:val="3"/>
      </w:pPr>
      <w:r>
        <w:rPr>
          <w:rFonts w:ascii="楷体_GB2312" w:hAnsi="楷体_GB2312" w:eastAsia="楷体_GB2312"/>
          <w:b/>
          <w:sz w:val="32"/>
        </w:rPr>
        <w:t>（三）国有资产占用情况说明</w:t>
      </w:r>
    </w:p>
    <w:p w14:paraId="00436336">
      <w:pPr>
        <w:spacing w:line="580" w:lineRule="exact"/>
        <w:ind w:firstLine="640"/>
        <w:jc w:val="both"/>
      </w:pPr>
      <w:r>
        <w:rPr>
          <w:rFonts w:ascii="仿宋_GB2312" w:hAnsi="仿宋_GB2312" w:eastAsia="仿宋_GB2312"/>
          <w:b w:val="0"/>
          <w:sz w:val="32"/>
        </w:rPr>
        <w:t>截至2024年12月31日，房屋16,228.00平方米，价值4,092.28万元。车辆4辆，价值93.24万元，其中：副部（省）级及以上领导用车0辆、主要负责人用车0辆、机要通信用车0辆、应急保障用车0辆、执法执勤用车0辆、特种专业技术用车0辆、离退休干部服务用车0辆、其他用车4辆，其他用车主要是：单位业务用车。单价100万元（含）以上设备（不含车辆）9台（套）。</w:t>
      </w:r>
    </w:p>
    <w:p w14:paraId="036EFF8D">
      <w:pPr>
        <w:spacing w:line="640" w:lineRule="exact"/>
        <w:ind w:firstLine="640"/>
        <w:jc w:val="both"/>
        <w:outlineLvl w:val="2"/>
      </w:pPr>
      <w:r>
        <w:rPr>
          <w:rFonts w:ascii="黑体" w:hAnsi="黑体" w:eastAsia="黑体"/>
          <w:sz w:val="32"/>
        </w:rPr>
        <w:t>十一、预算绩效的情况说明</w:t>
      </w:r>
    </w:p>
    <w:p w14:paraId="2171F7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9,082.99万元，实际执行总额9,082.99万元；预算绩效评价项目6个，全年预算数10,290.10万元，全年执行数10,007.92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w:t>
      </w:r>
    </w:p>
    <w:p w14:paraId="0D5865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F4BDDD">
        <w:tblPrEx>
          <w:tblCellMar>
            <w:top w:w="0" w:type="dxa"/>
            <w:left w:w="108" w:type="dxa"/>
            <w:bottom w:w="0" w:type="dxa"/>
            <w:right w:w="108" w:type="dxa"/>
          </w:tblCellMar>
        </w:tblPrEx>
        <w:tc>
          <w:tcPr>
            <w:tcW w:w="8847" w:type="dxa"/>
            <w:gridSpan w:val="9"/>
            <w:vAlign w:val="center"/>
          </w:tcPr>
          <w:p w14:paraId="1A8DB855">
            <w:pPr>
              <w:jc w:val="center"/>
            </w:pPr>
            <w:r>
              <w:rPr>
                <w:rFonts w:ascii="宋体" w:hAnsi="宋体" w:eastAsia="宋体"/>
                <w:sz w:val="24"/>
              </w:rPr>
              <w:t>单位整体支出绩效自评表</w:t>
            </w:r>
          </w:p>
        </w:tc>
      </w:tr>
      <w:tr w14:paraId="6D03C31D">
        <w:tblPrEx>
          <w:tblCellMar>
            <w:top w:w="0" w:type="dxa"/>
            <w:left w:w="108" w:type="dxa"/>
            <w:bottom w:w="0" w:type="dxa"/>
            <w:right w:w="108" w:type="dxa"/>
          </w:tblCellMar>
        </w:tblPrEx>
        <w:tc>
          <w:tcPr>
            <w:tcW w:w="8847" w:type="dxa"/>
            <w:gridSpan w:val="9"/>
            <w:vAlign w:val="center"/>
          </w:tcPr>
          <w:p w14:paraId="56F0743F">
            <w:pPr>
              <w:jc w:val="center"/>
            </w:pPr>
            <w:r>
              <w:rPr>
                <w:rFonts w:ascii="宋体" w:hAnsi="宋体" w:eastAsia="宋体"/>
                <w:sz w:val="24"/>
              </w:rPr>
              <w:t>（2024年度）</w:t>
            </w:r>
          </w:p>
        </w:tc>
      </w:tr>
      <w:tr w14:paraId="5C7CAD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3922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CEB5C3">
            <w:pPr>
              <w:jc w:val="center"/>
            </w:pPr>
            <w:r>
              <w:rPr>
                <w:rFonts w:ascii="宋体" w:hAnsi="宋体" w:eastAsia="宋体"/>
                <w:sz w:val="16"/>
              </w:rPr>
              <w:t>叶城县维吾尔医医院</w:t>
            </w:r>
          </w:p>
        </w:tc>
      </w:tr>
      <w:tr w14:paraId="6D43E6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751D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8C91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99A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67E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904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5544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CC4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01513">
            <w:pPr>
              <w:jc w:val="center"/>
            </w:pPr>
            <w:r>
              <w:rPr>
                <w:rFonts w:ascii="宋体" w:hAnsi="宋体" w:eastAsia="宋体"/>
                <w:sz w:val="16"/>
              </w:rPr>
              <w:t>得分</w:t>
            </w:r>
          </w:p>
        </w:tc>
      </w:tr>
      <w:tr w14:paraId="78E07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9C1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8BAA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E271A">
            <w:pPr>
              <w:jc w:val="center"/>
            </w:pPr>
            <w:r>
              <w:rPr>
                <w:rFonts w:ascii="宋体" w:hAnsi="宋体" w:eastAsia="宋体"/>
                <w:sz w:val="16"/>
              </w:rPr>
              <w:t>11,893.58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E3ED0">
            <w:pPr>
              <w:jc w:val="center"/>
            </w:pPr>
            <w:r>
              <w:rPr>
                <w:rFonts w:ascii="宋体" w:hAnsi="宋体" w:eastAsia="宋体"/>
                <w:sz w:val="16"/>
              </w:rPr>
              <w:t>9,082.99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8A197">
            <w:pPr>
              <w:jc w:val="center"/>
            </w:pPr>
            <w:r>
              <w:rPr>
                <w:rFonts w:ascii="宋体" w:hAnsi="宋体" w:eastAsia="宋体"/>
                <w:sz w:val="16"/>
              </w:rPr>
              <w:t>9,082.99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BF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77B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8DBD">
            <w:pPr>
              <w:jc w:val="center"/>
            </w:pPr>
            <w:r>
              <w:rPr>
                <w:rFonts w:ascii="宋体" w:hAnsi="宋体" w:eastAsia="宋体"/>
                <w:sz w:val="16"/>
              </w:rPr>
              <w:t>10</w:t>
            </w:r>
          </w:p>
        </w:tc>
      </w:tr>
      <w:tr w14:paraId="10B218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AAE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9F43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FF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C777E">
            <w:pPr>
              <w:jc w:val="center"/>
            </w:pPr>
            <w:r>
              <w:rPr>
                <w:rFonts w:ascii="宋体" w:hAnsi="宋体" w:eastAsia="宋体"/>
                <w:sz w:val="16"/>
              </w:rPr>
              <w:t>170.87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F949C">
            <w:pPr>
              <w:jc w:val="center"/>
            </w:pPr>
            <w:r>
              <w:rPr>
                <w:rFonts w:ascii="宋体" w:hAnsi="宋体" w:eastAsia="宋体"/>
                <w:sz w:val="16"/>
              </w:rPr>
              <w:t>170.87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E4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158F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F2AB">
            <w:pPr>
              <w:jc w:val="center"/>
            </w:pPr>
            <w:r>
              <w:rPr>
                <w:rFonts w:ascii="宋体" w:hAnsi="宋体" w:eastAsia="宋体"/>
                <w:sz w:val="16"/>
              </w:rPr>
              <w:t>—</w:t>
            </w:r>
          </w:p>
        </w:tc>
      </w:tr>
      <w:tr w14:paraId="20FEE8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9F7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B59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91010">
            <w:pPr>
              <w:jc w:val="center"/>
            </w:pPr>
            <w:r>
              <w:rPr>
                <w:rFonts w:ascii="宋体" w:hAnsi="宋体" w:eastAsia="宋体"/>
                <w:sz w:val="16"/>
              </w:rPr>
              <w:t>2,093.58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A3FCA">
            <w:pPr>
              <w:jc w:val="center"/>
            </w:pPr>
            <w:r>
              <w:rPr>
                <w:rFonts w:ascii="宋体" w:hAnsi="宋体" w:eastAsia="宋体"/>
                <w:sz w:val="16"/>
              </w:rPr>
              <w:t>8,700.31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EF3DA">
            <w:pPr>
              <w:jc w:val="center"/>
            </w:pPr>
            <w:r>
              <w:rPr>
                <w:rFonts w:ascii="宋体" w:hAnsi="宋体" w:eastAsia="宋体"/>
                <w:sz w:val="16"/>
              </w:rPr>
              <w:t>8,700.31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F0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C46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3DAC">
            <w:pPr>
              <w:jc w:val="center"/>
            </w:pPr>
            <w:r>
              <w:rPr>
                <w:rFonts w:ascii="宋体" w:hAnsi="宋体" w:eastAsia="宋体"/>
                <w:sz w:val="16"/>
              </w:rPr>
              <w:t>—</w:t>
            </w:r>
          </w:p>
        </w:tc>
      </w:tr>
      <w:tr w14:paraId="5A3B3C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43A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B6D6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C0C10">
            <w:pPr>
              <w:jc w:val="center"/>
            </w:pPr>
            <w:r>
              <w:rPr>
                <w:rFonts w:ascii="宋体" w:hAnsi="宋体" w:eastAsia="宋体"/>
                <w:sz w:val="16"/>
              </w:rPr>
              <w:t>9,800.00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DE58E">
            <w:pPr>
              <w:jc w:val="center"/>
            </w:pPr>
            <w:r>
              <w:rPr>
                <w:rFonts w:ascii="宋体" w:hAnsi="宋体" w:eastAsia="宋体"/>
                <w:sz w:val="16"/>
              </w:rPr>
              <w:t>211.81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ABB8">
            <w:pPr>
              <w:jc w:val="center"/>
            </w:pPr>
            <w:r>
              <w:rPr>
                <w:rFonts w:ascii="宋体" w:hAnsi="宋体" w:eastAsia="宋体"/>
                <w:sz w:val="16"/>
              </w:rPr>
              <w:t>211.81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12E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DC63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1710D">
            <w:pPr>
              <w:jc w:val="center"/>
            </w:pPr>
            <w:r>
              <w:rPr>
                <w:rFonts w:ascii="宋体" w:hAnsi="宋体" w:eastAsia="宋体"/>
                <w:sz w:val="16"/>
              </w:rPr>
              <w:t>—</w:t>
            </w:r>
          </w:p>
        </w:tc>
      </w:tr>
      <w:tr w14:paraId="6C1391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D15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A10B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E7442">
            <w:pPr>
              <w:jc w:val="center"/>
            </w:pPr>
            <w:r>
              <w:rPr>
                <w:rFonts w:ascii="宋体" w:hAnsi="宋体" w:eastAsia="宋体"/>
                <w:sz w:val="16"/>
              </w:rPr>
              <w:t>实际完成情况</w:t>
            </w:r>
          </w:p>
        </w:tc>
      </w:tr>
      <w:tr w14:paraId="78E3E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F913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02AA89">
            <w:pPr>
              <w:jc w:val="both"/>
            </w:pPr>
            <w:r>
              <w:rPr>
                <w:rFonts w:ascii="宋体" w:hAnsi="宋体" w:eastAsia="宋体"/>
                <w:sz w:val="16"/>
              </w:rPr>
              <w:t>医院从一个联合诊所成为集临床医疗、教学、预防保健、公共卫生、康复为一体的以传统维医为主、西医为辅的二级甲等非营利性公立医疗机构。承担本区域居民的预防、医疗和保健任务。区域内传染病、职业病和非传染性慢性病的防控。区域内人群的健康教育工作。强化区域内医疗救治体系，有效应对各种突发公共卫生事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492112">
            <w:pPr>
              <w:jc w:val="both"/>
            </w:pPr>
            <w:r>
              <w:rPr>
                <w:rFonts w:hint="eastAsia" w:ascii="宋体" w:hAnsi="宋体"/>
                <w:sz w:val="16"/>
                <w:lang w:eastAsia="zh-CN"/>
              </w:rPr>
              <w:t>截至</w:t>
            </w:r>
            <w:r>
              <w:rPr>
                <w:rFonts w:ascii="宋体" w:hAnsi="宋体" w:eastAsia="宋体"/>
                <w:sz w:val="16"/>
              </w:rPr>
              <w:t>2024年12月31日，本单位围绕党建工作重点任务制定医院党建、党风廉政建设、意识形态领域安全、党纪学习教育、强化党建工作基础。医院从一个联合诊所成为集临床医疗、教学、预防保健、公共卫生、康复为一体的以传统维医为主、西医为辅的二级甲等非营利性公立医疗机构。承担本区域居民的预防、医疗和保健任务。区域内传染病、职业病和非传染性慢性病的防控。区域内人群的健康教育工作。强化区域内医疗救治体系，有效应对各种突发公共卫生事件。医院从一个联合诊所成为集临床医疗、教学、预防保健、公共卫生、康复为一体的以传统维医为主、西医为辅的二级甲等非营利性公立医疗机构。承担本区域居民的预防、医疗和保健任务。区域内传染病、职业病和非传染性慢性病的防控。区域内人群的健康教育工作。强化区域内医疗救治体系，有效应对各种突发公共卫生事件。2024年主要完成发展党员数量9人、向基层医务工作者开展中医技术21种、申请增加编制床位数量400张、对医疗队伍进行培训、进修、学习数量1批、成立中医（维医）名医工作室1间。</w:t>
            </w:r>
          </w:p>
        </w:tc>
      </w:tr>
      <w:tr w14:paraId="23FEE5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6923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23A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C16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A335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7148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5BCF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B0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ACF3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278A1">
            <w:pPr>
              <w:jc w:val="center"/>
            </w:pPr>
            <w:r>
              <w:rPr>
                <w:rFonts w:ascii="宋体" w:hAnsi="宋体" w:eastAsia="宋体"/>
                <w:sz w:val="16"/>
              </w:rPr>
              <w:t>得分</w:t>
            </w:r>
          </w:p>
        </w:tc>
      </w:tr>
      <w:tr w14:paraId="3FC6EF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8FCE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73EA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13EBB">
            <w:pPr>
              <w:jc w:val="center"/>
            </w:pPr>
            <w:r>
              <w:rPr>
                <w:rFonts w:ascii="宋体" w:hAnsi="宋体" w:eastAsia="宋体"/>
                <w:sz w:val="16"/>
              </w:rPr>
              <w:t>计划发展党员数量（人）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BBB8">
            <w:pPr>
              <w:jc w:val="center"/>
            </w:pPr>
            <w:r>
              <w:rPr>
                <w:rFonts w:ascii="宋体" w:hAnsi="宋体" w:eastAsia="宋体"/>
                <w:sz w:val="16"/>
              </w:rPr>
              <w:t>&gt;=8人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C4EB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D55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5C208">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238E">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29B3A">
            <w:pPr>
              <w:jc w:val="center"/>
            </w:pPr>
            <w:r>
              <w:rPr>
                <w:rFonts w:ascii="宋体" w:hAnsi="宋体" w:eastAsia="宋体"/>
                <w:sz w:val="16"/>
              </w:rPr>
              <w:t>18</w:t>
            </w:r>
          </w:p>
        </w:tc>
      </w:tr>
      <w:tr w14:paraId="5BACA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67A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F8C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54131">
            <w:pPr>
              <w:jc w:val="center"/>
            </w:pPr>
            <w:r>
              <w:rPr>
                <w:rFonts w:ascii="宋体" w:hAnsi="宋体" w:eastAsia="宋体"/>
                <w:sz w:val="16"/>
              </w:rPr>
              <w:t>向基层医务工作者开展中医技术（种）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BBCD">
            <w:pPr>
              <w:jc w:val="center"/>
            </w:pPr>
            <w:r>
              <w:rPr>
                <w:rFonts w:ascii="宋体" w:hAnsi="宋体" w:eastAsia="宋体"/>
                <w:sz w:val="16"/>
              </w:rPr>
              <w:t>&gt;=21种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2986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4130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5AC71">
            <w:pPr>
              <w:jc w:val="center"/>
            </w:pPr>
            <w:r>
              <w:rPr>
                <w:rFonts w:ascii="宋体" w:hAnsi="宋体" w:eastAsia="宋体"/>
                <w:sz w:val="16"/>
              </w:rPr>
              <w:t>=21种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A0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EBC9">
            <w:pPr>
              <w:jc w:val="center"/>
            </w:pPr>
            <w:r>
              <w:rPr>
                <w:rFonts w:ascii="宋体" w:hAnsi="宋体" w:eastAsia="宋体"/>
                <w:sz w:val="16"/>
              </w:rPr>
              <w:t>18</w:t>
            </w:r>
          </w:p>
        </w:tc>
      </w:tr>
      <w:tr w14:paraId="371CE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45A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B6E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73235">
            <w:pPr>
              <w:jc w:val="center"/>
            </w:pPr>
            <w:r>
              <w:rPr>
                <w:rFonts w:ascii="宋体" w:hAnsi="宋体" w:eastAsia="宋体"/>
                <w:sz w:val="16"/>
              </w:rPr>
              <w:t>申请增加编制床位数量（张）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EF2B8">
            <w:pPr>
              <w:jc w:val="center"/>
            </w:pPr>
            <w:r>
              <w:rPr>
                <w:rFonts w:ascii="宋体" w:hAnsi="宋体" w:eastAsia="宋体"/>
                <w:sz w:val="16"/>
              </w:rPr>
              <w:t>&gt;=400张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781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989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E1EF">
            <w:pPr>
              <w:jc w:val="center"/>
            </w:pPr>
            <w:r>
              <w:rPr>
                <w:rFonts w:ascii="宋体" w:hAnsi="宋体" w:eastAsia="宋体"/>
                <w:sz w:val="16"/>
              </w:rPr>
              <w:t>400张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32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A60E5">
            <w:pPr>
              <w:jc w:val="center"/>
            </w:pPr>
            <w:r>
              <w:rPr>
                <w:rFonts w:ascii="宋体" w:hAnsi="宋体" w:eastAsia="宋体"/>
                <w:sz w:val="16"/>
              </w:rPr>
              <w:t>18</w:t>
            </w:r>
          </w:p>
        </w:tc>
      </w:tr>
      <w:tr w14:paraId="73D9C3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BD1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D82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0CABE">
            <w:pPr>
              <w:jc w:val="center"/>
            </w:pPr>
            <w:r>
              <w:rPr>
                <w:rFonts w:ascii="宋体" w:hAnsi="宋体" w:eastAsia="宋体"/>
                <w:sz w:val="16"/>
              </w:rPr>
              <w:t>对医疗队伍进行培训、进修、学习数量（批）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067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C3B0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8C8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81679">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B6A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2031">
            <w:pPr>
              <w:jc w:val="center"/>
            </w:pPr>
            <w:r>
              <w:rPr>
                <w:rFonts w:ascii="宋体" w:hAnsi="宋体" w:eastAsia="宋体"/>
                <w:sz w:val="16"/>
              </w:rPr>
              <w:t>18</w:t>
            </w:r>
          </w:p>
        </w:tc>
      </w:tr>
      <w:tr w14:paraId="04455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2E6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B9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A7B66">
            <w:pPr>
              <w:jc w:val="center"/>
            </w:pPr>
            <w:r>
              <w:rPr>
                <w:rFonts w:ascii="宋体" w:hAnsi="宋体" w:eastAsia="宋体"/>
                <w:sz w:val="16"/>
              </w:rPr>
              <w:t>成立中医（维医）名医工作室（间）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C75D">
            <w:pPr>
              <w:jc w:val="center"/>
            </w:pPr>
            <w:r>
              <w:rPr>
                <w:rFonts w:ascii="宋体" w:hAnsi="宋体" w:eastAsia="宋体"/>
                <w:sz w:val="16"/>
              </w:rPr>
              <w:t>&gt;=1间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BAD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5B2A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B9A6">
            <w:pPr>
              <w:jc w:val="center"/>
            </w:pPr>
            <w:r>
              <w:rPr>
                <w:rFonts w:ascii="宋体" w:hAnsi="宋体" w:eastAsia="宋体"/>
                <w:sz w:val="16"/>
              </w:rPr>
              <w:t>1间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6D4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0ABE4">
            <w:pPr>
              <w:jc w:val="center"/>
            </w:pPr>
            <w:r>
              <w:rPr>
                <w:rFonts w:ascii="宋体" w:hAnsi="宋体" w:eastAsia="宋体"/>
                <w:sz w:val="16"/>
              </w:rPr>
              <w:t>18</w:t>
            </w:r>
          </w:p>
        </w:tc>
      </w:tr>
    </w:tbl>
    <w:p w14:paraId="111A5CE2">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32"/>
        <w:gridCol w:w="627"/>
        <w:gridCol w:w="625"/>
        <w:gridCol w:w="625"/>
        <w:gridCol w:w="696"/>
        <w:gridCol w:w="632"/>
        <w:gridCol w:w="616"/>
        <w:gridCol w:w="632"/>
      </w:tblGrid>
      <w:tr w14:paraId="55274445">
        <w:tblPrEx>
          <w:tblCellMar>
            <w:top w:w="0" w:type="dxa"/>
            <w:left w:w="108" w:type="dxa"/>
            <w:bottom w:w="0" w:type="dxa"/>
            <w:right w:w="108" w:type="dxa"/>
          </w:tblCellMar>
        </w:tblPrEx>
        <w:tc>
          <w:tcPr>
            <w:tcW w:w="8848" w:type="dxa"/>
            <w:gridSpan w:val="14"/>
            <w:vAlign w:val="center"/>
          </w:tcPr>
          <w:p w14:paraId="204B9D73">
            <w:pPr>
              <w:jc w:val="center"/>
            </w:pPr>
            <w:r>
              <w:rPr>
                <w:rFonts w:ascii="宋体" w:hAnsi="宋体" w:eastAsia="宋体"/>
                <w:sz w:val="24"/>
              </w:rPr>
              <w:t>项目支出绩效自评表</w:t>
            </w:r>
          </w:p>
        </w:tc>
      </w:tr>
      <w:tr w14:paraId="732B5165">
        <w:tblPrEx>
          <w:tblCellMar>
            <w:top w:w="0" w:type="dxa"/>
            <w:left w:w="108" w:type="dxa"/>
            <w:bottom w:w="0" w:type="dxa"/>
            <w:right w:w="108" w:type="dxa"/>
          </w:tblCellMar>
        </w:tblPrEx>
        <w:tc>
          <w:tcPr>
            <w:tcW w:w="8848" w:type="dxa"/>
            <w:gridSpan w:val="14"/>
            <w:vAlign w:val="center"/>
          </w:tcPr>
          <w:p w14:paraId="3F15CDF5">
            <w:pPr>
              <w:jc w:val="center"/>
            </w:pPr>
            <w:r>
              <w:rPr>
                <w:rFonts w:ascii="宋体" w:hAnsi="宋体" w:eastAsia="宋体"/>
                <w:sz w:val="24"/>
              </w:rPr>
              <w:t>(2024年度)</w:t>
            </w:r>
          </w:p>
        </w:tc>
      </w:tr>
      <w:tr w14:paraId="4F97D9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07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786B9D">
            <w:pPr>
              <w:jc w:val="center"/>
            </w:pPr>
            <w:r>
              <w:rPr>
                <w:rFonts w:ascii="宋体" w:hAnsi="宋体" w:eastAsia="宋体"/>
                <w:sz w:val="16"/>
              </w:rPr>
              <w:t>2024年中央医疗服务与保障能力提升[公立医院综合改革]补助资金项目</w:t>
            </w:r>
          </w:p>
        </w:tc>
      </w:tr>
      <w:tr w14:paraId="6B5693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A1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F24CA">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AF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ABE84">
            <w:pPr>
              <w:jc w:val="center"/>
            </w:pPr>
            <w:r>
              <w:rPr>
                <w:rFonts w:ascii="宋体" w:hAnsi="宋体" w:eastAsia="宋体"/>
                <w:sz w:val="16"/>
              </w:rPr>
              <w:t>叶城县维吾尔医医院</w:t>
            </w:r>
          </w:p>
        </w:tc>
      </w:tr>
      <w:tr w14:paraId="72B878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C62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1F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FC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830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8CC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3A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A4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8B51">
            <w:pPr>
              <w:jc w:val="center"/>
            </w:pPr>
            <w:r>
              <w:rPr>
                <w:rFonts w:ascii="宋体" w:hAnsi="宋体" w:eastAsia="宋体"/>
                <w:sz w:val="16"/>
              </w:rPr>
              <w:t>得分</w:t>
            </w:r>
          </w:p>
        </w:tc>
      </w:tr>
      <w:tr w14:paraId="79A15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7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75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57A83">
            <w:pPr>
              <w:jc w:val="center"/>
            </w:pPr>
            <w:r>
              <w:rPr>
                <w:rFonts w:ascii="宋体" w:hAnsi="宋体" w:eastAsia="宋体"/>
                <w:sz w:val="16"/>
              </w:rPr>
              <w:t>21.98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3DB00">
            <w:pPr>
              <w:jc w:val="center"/>
            </w:pPr>
            <w:r>
              <w:rPr>
                <w:rFonts w:ascii="宋体" w:hAnsi="宋体" w:eastAsia="宋体"/>
                <w:sz w:val="16"/>
              </w:rPr>
              <w:t>21.98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3499">
            <w:pPr>
              <w:jc w:val="center"/>
            </w:pPr>
            <w:r>
              <w:rPr>
                <w:rFonts w:ascii="宋体" w:hAnsi="宋体" w:eastAsia="宋体"/>
                <w:sz w:val="16"/>
              </w:rPr>
              <w:t>21.98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7D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8F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9E8C">
            <w:pPr>
              <w:jc w:val="center"/>
            </w:pPr>
            <w:r>
              <w:rPr>
                <w:rFonts w:ascii="宋体" w:hAnsi="宋体" w:eastAsia="宋体"/>
                <w:sz w:val="16"/>
              </w:rPr>
              <w:t>10.00分</w:t>
            </w:r>
          </w:p>
        </w:tc>
      </w:tr>
      <w:tr w14:paraId="6B97F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CF5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C26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0559E">
            <w:pPr>
              <w:jc w:val="center"/>
            </w:pPr>
            <w:r>
              <w:rPr>
                <w:rFonts w:ascii="宋体" w:hAnsi="宋体" w:eastAsia="宋体"/>
                <w:sz w:val="16"/>
              </w:rPr>
              <w:t>21.98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D3FC5">
            <w:pPr>
              <w:jc w:val="center"/>
            </w:pPr>
            <w:r>
              <w:rPr>
                <w:rFonts w:ascii="宋体" w:hAnsi="宋体" w:eastAsia="宋体"/>
                <w:sz w:val="16"/>
              </w:rPr>
              <w:t>21.98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F738">
            <w:pPr>
              <w:jc w:val="center"/>
            </w:pPr>
            <w:r>
              <w:rPr>
                <w:rFonts w:ascii="宋体" w:hAnsi="宋体" w:eastAsia="宋体"/>
                <w:sz w:val="16"/>
              </w:rPr>
              <w:t>21.98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DA0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8E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0635">
            <w:pPr>
              <w:jc w:val="center"/>
            </w:pPr>
            <w:r>
              <w:rPr>
                <w:rFonts w:ascii="宋体" w:hAnsi="宋体" w:eastAsia="宋体"/>
                <w:sz w:val="16"/>
              </w:rPr>
              <w:t>—</w:t>
            </w:r>
          </w:p>
        </w:tc>
      </w:tr>
      <w:tr w14:paraId="701EC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CD7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0A0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9A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64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F2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C7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4E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C726">
            <w:pPr>
              <w:jc w:val="center"/>
            </w:pPr>
            <w:r>
              <w:rPr>
                <w:rFonts w:ascii="宋体" w:hAnsi="宋体" w:eastAsia="宋体"/>
                <w:sz w:val="16"/>
              </w:rPr>
              <w:t>—</w:t>
            </w:r>
          </w:p>
        </w:tc>
      </w:tr>
      <w:tr w14:paraId="47E07C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1CC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B91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92917C">
            <w:pPr>
              <w:jc w:val="center"/>
            </w:pPr>
            <w:r>
              <w:rPr>
                <w:rFonts w:ascii="宋体" w:hAnsi="宋体" w:eastAsia="宋体"/>
                <w:sz w:val="16"/>
              </w:rPr>
              <w:t>实际完成情况</w:t>
            </w:r>
          </w:p>
        </w:tc>
      </w:tr>
      <w:tr w14:paraId="70860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1E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DBDE3F">
            <w:pPr>
              <w:jc w:val="both"/>
            </w:pPr>
            <w:r>
              <w:rPr>
                <w:rFonts w:ascii="宋体" w:hAnsi="宋体" w:eastAsia="宋体"/>
                <w:sz w:val="16"/>
              </w:rPr>
              <w:t>该项目预算资金21.98万元，主要用于支付公立医院综合改革取消药品加成费用和诊疗人数，项目的实施有效降低医院运行成本，提高医疗卫生服务质量。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F1AFA">
            <w:pPr>
              <w:jc w:val="both"/>
            </w:pPr>
            <w:r>
              <w:rPr>
                <w:rFonts w:hint="eastAsia" w:ascii="宋体" w:hAnsi="宋体"/>
                <w:sz w:val="16"/>
                <w:lang w:eastAsia="zh-CN"/>
              </w:rPr>
              <w:t>截至</w:t>
            </w:r>
            <w:r>
              <w:rPr>
                <w:rFonts w:ascii="宋体" w:hAnsi="宋体" w:eastAsia="宋体"/>
                <w:sz w:val="16"/>
              </w:rPr>
              <w:t>2024年8月31日，该项目预算资金21.98万元，到位资金21.98万元，资金到位率100%，已支付21.98万元，资金支付率100%，主要用于支付公立医院综合改革取消药品加成费用和诊疗人数，项目的实施有效降低医院运行成本，提高医疗卫生服务质量。</w:t>
            </w:r>
          </w:p>
        </w:tc>
      </w:tr>
      <w:tr w14:paraId="459D5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21A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88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F9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C1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DA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1D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8A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26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79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42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C7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48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413B">
            <w:pPr>
              <w:jc w:val="center"/>
            </w:pPr>
            <w:r>
              <w:rPr>
                <w:rFonts w:ascii="宋体" w:hAnsi="宋体" w:eastAsia="宋体"/>
                <w:sz w:val="16"/>
              </w:rPr>
              <w:t>偏差原因分析及改进措施</w:t>
            </w:r>
          </w:p>
        </w:tc>
      </w:tr>
      <w:tr w14:paraId="03E69E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E8D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97A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35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69EC">
            <w:pPr>
              <w:jc w:val="center"/>
            </w:pPr>
            <w:r>
              <w:rPr>
                <w:rFonts w:ascii="宋体" w:hAnsi="宋体" w:eastAsia="宋体"/>
                <w:sz w:val="16"/>
              </w:rPr>
              <w:t>采购药品批数（批）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D99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8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3B3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9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C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C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657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DC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D167">
            <w:pPr>
              <w:jc w:val="center"/>
            </w:pPr>
          </w:p>
        </w:tc>
      </w:tr>
      <w:tr w14:paraId="53721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D4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79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A5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3C3F">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4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2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C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9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A1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1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E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53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32393">
            <w:pPr>
              <w:jc w:val="center"/>
            </w:pPr>
          </w:p>
        </w:tc>
      </w:tr>
      <w:tr w14:paraId="767DF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ED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CBC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812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728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D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6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4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2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F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C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C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A2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4121">
            <w:pPr>
              <w:jc w:val="center"/>
            </w:pPr>
          </w:p>
        </w:tc>
      </w:tr>
      <w:tr w14:paraId="02AA6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65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11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64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655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750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B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A6E1">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72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B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6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4687">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61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6BA82">
            <w:pPr>
              <w:jc w:val="center"/>
            </w:pPr>
          </w:p>
        </w:tc>
      </w:tr>
      <w:tr w14:paraId="2F62D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DF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0E4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3F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B61B">
            <w:pPr>
              <w:jc w:val="center"/>
            </w:pPr>
            <w:r>
              <w:rPr>
                <w:rFonts w:ascii="宋体" w:hAnsi="宋体" w:eastAsia="宋体"/>
                <w:sz w:val="16"/>
              </w:rPr>
              <w:t>采购药品成本（万元）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A7B5">
            <w:pPr>
              <w:jc w:val="center"/>
            </w:pPr>
            <w:r>
              <w:rPr>
                <w:rFonts w:ascii="宋体" w:hAnsi="宋体" w:eastAsia="宋体"/>
                <w:sz w:val="16"/>
              </w:rPr>
              <w:t>&lt;=21.98万元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0C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4465">
            <w:pPr>
              <w:jc w:val="center"/>
            </w:pPr>
            <w:r>
              <w:rPr>
                <w:rFonts w:ascii="宋体" w:hAnsi="宋体" w:eastAsia="宋体"/>
                <w:sz w:val="16"/>
              </w:rPr>
              <w:t>27.68万元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61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A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6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168F">
            <w:pPr>
              <w:jc w:val="center"/>
            </w:pPr>
            <w:r>
              <w:rPr>
                <w:rFonts w:ascii="宋体" w:hAnsi="宋体" w:eastAsia="宋体"/>
                <w:sz w:val="16"/>
              </w:rPr>
              <w:t>=21.98万元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33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0F4C">
            <w:pPr>
              <w:jc w:val="center"/>
            </w:pPr>
          </w:p>
        </w:tc>
      </w:tr>
      <w:tr w14:paraId="23C8E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F9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A6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86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87A4">
            <w:pPr>
              <w:jc w:val="center"/>
            </w:pPr>
            <w:r>
              <w:rPr>
                <w:rFonts w:ascii="宋体" w:hAnsi="宋体" w:eastAsia="宋体"/>
                <w:sz w:val="16"/>
              </w:rPr>
              <w:t>提高医疗服务水平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8A8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9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BEE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97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0F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1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30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4C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AE247">
            <w:pPr>
              <w:jc w:val="center"/>
            </w:pPr>
          </w:p>
        </w:tc>
      </w:tr>
      <w:tr w14:paraId="03A41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CE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BC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36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40BA">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CC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D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EB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1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5B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7E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BF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5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76A2">
            <w:pPr>
              <w:jc w:val="center"/>
            </w:pPr>
          </w:p>
        </w:tc>
      </w:tr>
      <w:tr w14:paraId="424EDF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AE3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264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018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AD9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D84846"/>
        </w:tc>
      </w:tr>
    </w:tbl>
    <w:p w14:paraId="774770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80F00C3">
        <w:tblPrEx>
          <w:tblCellMar>
            <w:top w:w="0" w:type="dxa"/>
            <w:left w:w="108" w:type="dxa"/>
            <w:bottom w:w="0" w:type="dxa"/>
            <w:right w:w="108" w:type="dxa"/>
          </w:tblCellMar>
        </w:tblPrEx>
        <w:tc>
          <w:tcPr>
            <w:tcW w:w="8848" w:type="dxa"/>
            <w:gridSpan w:val="14"/>
            <w:vAlign w:val="center"/>
          </w:tcPr>
          <w:p w14:paraId="5AA37521">
            <w:pPr>
              <w:jc w:val="center"/>
            </w:pPr>
            <w:r>
              <w:rPr>
                <w:rFonts w:ascii="宋体" w:hAnsi="宋体" w:eastAsia="宋体"/>
                <w:sz w:val="24"/>
              </w:rPr>
              <w:t>项目支出绩效自评表</w:t>
            </w:r>
          </w:p>
        </w:tc>
      </w:tr>
      <w:tr w14:paraId="258E1704">
        <w:tblPrEx>
          <w:tblCellMar>
            <w:top w:w="0" w:type="dxa"/>
            <w:left w:w="108" w:type="dxa"/>
            <w:bottom w:w="0" w:type="dxa"/>
            <w:right w:w="108" w:type="dxa"/>
          </w:tblCellMar>
        </w:tblPrEx>
        <w:tc>
          <w:tcPr>
            <w:tcW w:w="8848" w:type="dxa"/>
            <w:gridSpan w:val="14"/>
            <w:vAlign w:val="center"/>
          </w:tcPr>
          <w:p w14:paraId="5B414581">
            <w:pPr>
              <w:jc w:val="center"/>
            </w:pPr>
            <w:r>
              <w:rPr>
                <w:rFonts w:ascii="宋体" w:hAnsi="宋体" w:eastAsia="宋体"/>
                <w:sz w:val="24"/>
              </w:rPr>
              <w:t>(2024年度)</w:t>
            </w:r>
          </w:p>
        </w:tc>
      </w:tr>
      <w:tr w14:paraId="51D0B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D9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9E1DA8">
            <w:pPr>
              <w:jc w:val="center"/>
            </w:pPr>
            <w:r>
              <w:rPr>
                <w:rFonts w:ascii="宋体" w:hAnsi="宋体" w:eastAsia="宋体"/>
                <w:sz w:val="16"/>
              </w:rPr>
              <w:t>2024年公共卫生服务补助（全民健康体检）项目</w:t>
            </w:r>
          </w:p>
        </w:tc>
      </w:tr>
      <w:tr w14:paraId="35E85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54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7EC90">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9D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71D28">
            <w:pPr>
              <w:jc w:val="center"/>
            </w:pPr>
            <w:r>
              <w:rPr>
                <w:rFonts w:ascii="宋体" w:hAnsi="宋体" w:eastAsia="宋体"/>
                <w:sz w:val="16"/>
              </w:rPr>
              <w:t>叶城县维吾尔医医院</w:t>
            </w:r>
          </w:p>
        </w:tc>
      </w:tr>
      <w:tr w14:paraId="62805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019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D3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2F1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EAE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2C8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83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FA9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1435">
            <w:pPr>
              <w:jc w:val="center"/>
            </w:pPr>
            <w:r>
              <w:rPr>
                <w:rFonts w:ascii="宋体" w:hAnsi="宋体" w:eastAsia="宋体"/>
                <w:sz w:val="16"/>
              </w:rPr>
              <w:t>得分</w:t>
            </w:r>
          </w:p>
        </w:tc>
      </w:tr>
      <w:tr w14:paraId="615BC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EA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45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7EFCA">
            <w:pPr>
              <w:jc w:val="center"/>
            </w:pPr>
            <w:r>
              <w:rPr>
                <w:rFonts w:ascii="宋体" w:hAnsi="宋体" w:eastAsia="宋体"/>
                <w:sz w:val="16"/>
              </w:rPr>
              <w:t>161.89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662B">
            <w:pPr>
              <w:jc w:val="center"/>
            </w:pPr>
            <w:r>
              <w:rPr>
                <w:rFonts w:ascii="宋体" w:hAnsi="宋体" w:eastAsia="宋体"/>
                <w:sz w:val="16"/>
              </w:rPr>
              <w:t>161.89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1B82">
            <w:pPr>
              <w:jc w:val="center"/>
            </w:pPr>
            <w:r>
              <w:rPr>
                <w:rFonts w:ascii="宋体" w:hAnsi="宋体" w:eastAsia="宋体"/>
                <w:sz w:val="16"/>
              </w:rPr>
              <w:t>142.65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29D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61E5C">
            <w:pPr>
              <w:jc w:val="center"/>
            </w:pPr>
            <w:r>
              <w:rPr>
                <w:rFonts w:ascii="宋体" w:hAnsi="宋体" w:eastAsia="宋体"/>
                <w:sz w:val="16"/>
              </w:rPr>
              <w:t>88.1%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0DAF">
            <w:pPr>
              <w:jc w:val="center"/>
            </w:pPr>
            <w:r>
              <w:rPr>
                <w:rFonts w:ascii="宋体" w:hAnsi="宋体" w:eastAsia="宋体"/>
                <w:sz w:val="16"/>
              </w:rPr>
              <w:t>7.03分</w:t>
            </w:r>
          </w:p>
        </w:tc>
      </w:tr>
      <w:tr w14:paraId="3777D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DD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DE4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FD0FB">
            <w:pPr>
              <w:jc w:val="center"/>
            </w:pPr>
            <w:r>
              <w:rPr>
                <w:rFonts w:ascii="宋体" w:hAnsi="宋体" w:eastAsia="宋体"/>
                <w:sz w:val="16"/>
              </w:rPr>
              <w:t>161.89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B60E5">
            <w:pPr>
              <w:jc w:val="center"/>
            </w:pPr>
            <w:r>
              <w:rPr>
                <w:rFonts w:ascii="宋体" w:hAnsi="宋体" w:eastAsia="宋体"/>
                <w:sz w:val="16"/>
              </w:rPr>
              <w:t>161.89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27F6C">
            <w:pPr>
              <w:jc w:val="center"/>
            </w:pPr>
            <w:r>
              <w:rPr>
                <w:rFonts w:ascii="宋体" w:hAnsi="宋体" w:eastAsia="宋体"/>
                <w:sz w:val="16"/>
              </w:rPr>
              <w:t>142.65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0F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D2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8492">
            <w:pPr>
              <w:jc w:val="center"/>
            </w:pPr>
            <w:r>
              <w:rPr>
                <w:rFonts w:ascii="宋体" w:hAnsi="宋体" w:eastAsia="宋体"/>
                <w:sz w:val="16"/>
              </w:rPr>
              <w:t>—</w:t>
            </w:r>
          </w:p>
        </w:tc>
      </w:tr>
      <w:tr w14:paraId="0A44A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49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7A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29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E7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F9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E86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9C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763C">
            <w:pPr>
              <w:jc w:val="center"/>
            </w:pPr>
            <w:r>
              <w:rPr>
                <w:rFonts w:ascii="宋体" w:hAnsi="宋体" w:eastAsia="宋体"/>
                <w:sz w:val="16"/>
              </w:rPr>
              <w:t>—</w:t>
            </w:r>
          </w:p>
        </w:tc>
      </w:tr>
      <w:tr w14:paraId="0A129A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5FA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1EF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DC0CB">
            <w:pPr>
              <w:jc w:val="center"/>
            </w:pPr>
            <w:r>
              <w:rPr>
                <w:rFonts w:ascii="宋体" w:hAnsi="宋体" w:eastAsia="宋体"/>
                <w:sz w:val="16"/>
              </w:rPr>
              <w:t>实际完成情况</w:t>
            </w:r>
          </w:p>
        </w:tc>
      </w:tr>
      <w:tr w14:paraId="0D582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06E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634F4">
            <w:pPr>
              <w:jc w:val="both"/>
            </w:pPr>
            <w:r>
              <w:rPr>
                <w:rFonts w:ascii="宋体" w:hAnsi="宋体" w:eastAsia="宋体"/>
                <w:sz w:val="16"/>
              </w:rPr>
              <w:t>该项目预算资金161.89万元，主要用于支付2024年体检人员工资，保障全民健康体检工作正常开展，提高了我院全民健康体检工作方面的工作效率，确保有序开展全县的全民健康体检工作，进一步做好了全民健康体检的供应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9F3341">
            <w:pPr>
              <w:jc w:val="both"/>
            </w:pPr>
            <w:r>
              <w:rPr>
                <w:rFonts w:ascii="宋体" w:hAnsi="宋体" w:eastAsia="宋体"/>
                <w:sz w:val="16"/>
              </w:rPr>
              <w:t>截止自评总资金161.89万元，到位资金161.89万元，实际执行资金142.65万元，执行率88.1%。15-64周岁体检人数16189人，已完成支付2024年体检人员工资，保障全民健康体检工作正常开展，提高了我院全民健康体检工作方面的工作效率，确保有序开展全县的全民健康体检工作，进一步做好了全民健康体检的供应工作。</w:t>
            </w:r>
          </w:p>
        </w:tc>
      </w:tr>
      <w:tr w14:paraId="1BF0F2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466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C5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55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DC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EB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CB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5A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BA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9F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B3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E2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B9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DC81D">
            <w:pPr>
              <w:jc w:val="center"/>
            </w:pPr>
            <w:r>
              <w:rPr>
                <w:rFonts w:ascii="宋体" w:hAnsi="宋体" w:eastAsia="宋体"/>
                <w:sz w:val="16"/>
              </w:rPr>
              <w:t>偏差原因分析及改进措施</w:t>
            </w:r>
          </w:p>
        </w:tc>
      </w:tr>
      <w:tr w14:paraId="2876FC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6D2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3F10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4E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511B">
            <w:pPr>
              <w:jc w:val="center"/>
            </w:pPr>
            <w:r>
              <w:rPr>
                <w:rFonts w:ascii="宋体" w:hAnsi="宋体" w:eastAsia="宋体"/>
                <w:sz w:val="16"/>
              </w:rPr>
              <w:t>15-64周岁体检人数（人）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F310">
            <w:pPr>
              <w:jc w:val="center"/>
            </w:pPr>
            <w:r>
              <w:rPr>
                <w:rFonts w:ascii="宋体" w:hAnsi="宋体" w:eastAsia="宋体"/>
                <w:sz w:val="16"/>
              </w:rPr>
              <w:t>=16189人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0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2C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16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4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6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1580">
            <w:pPr>
              <w:jc w:val="center"/>
            </w:pPr>
            <w:r>
              <w:rPr>
                <w:rFonts w:ascii="宋体" w:hAnsi="宋体" w:eastAsia="宋体"/>
                <w:sz w:val="16"/>
              </w:rPr>
              <w:t>=16189人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C66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22B9">
            <w:pPr>
              <w:jc w:val="center"/>
            </w:pPr>
          </w:p>
        </w:tc>
      </w:tr>
      <w:tr w14:paraId="05707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AA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F0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D4E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6808">
            <w:pPr>
              <w:jc w:val="center"/>
            </w:pPr>
            <w:r>
              <w:rPr>
                <w:rFonts w:ascii="宋体" w:hAnsi="宋体" w:eastAsia="宋体"/>
                <w:sz w:val="16"/>
              </w:rPr>
              <w:t>按全民健康体检要求执行率（%）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F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6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2F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04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1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7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4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06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C8C5E">
            <w:pPr>
              <w:jc w:val="center"/>
            </w:pPr>
          </w:p>
        </w:tc>
      </w:tr>
      <w:tr w14:paraId="05AFA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3F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6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F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3047">
            <w:pPr>
              <w:jc w:val="center"/>
            </w:pPr>
            <w:r>
              <w:rPr>
                <w:rFonts w:ascii="宋体" w:hAnsi="宋体" w:eastAsia="宋体"/>
                <w:sz w:val="16"/>
              </w:rPr>
              <w:t>体检设备(彩超、DR等）配备齐全率（%）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D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7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F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27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2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A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C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3A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C7F64">
            <w:pPr>
              <w:jc w:val="center"/>
            </w:pPr>
          </w:p>
        </w:tc>
      </w:tr>
      <w:tr w14:paraId="3D90E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F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48B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D6F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146E">
            <w:pPr>
              <w:jc w:val="center"/>
            </w:pPr>
            <w:r>
              <w:rPr>
                <w:rFonts w:ascii="宋体" w:hAnsi="宋体" w:eastAsia="宋体"/>
                <w:sz w:val="16"/>
              </w:rPr>
              <w:t>体检档案录入及时率（%）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9D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D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29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2D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2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72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B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3B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00905">
            <w:pPr>
              <w:jc w:val="center"/>
            </w:pPr>
          </w:p>
        </w:tc>
      </w:tr>
      <w:tr w14:paraId="6BEAC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03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8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A3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888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49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2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9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49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6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E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952D">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9E79">
            <w:pPr>
              <w:jc w:val="center"/>
            </w:pPr>
            <w:r>
              <w:rPr>
                <w:rFonts w:ascii="宋体" w:hAnsi="宋体" w:eastAsia="宋体"/>
                <w:sz w:val="16"/>
              </w:rPr>
              <w:t>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4AC8">
            <w:pPr>
              <w:jc w:val="center"/>
            </w:pPr>
            <w:r>
              <w:rPr>
                <w:rFonts w:ascii="宋体" w:hAnsi="宋体" w:eastAsia="宋体"/>
                <w:sz w:val="16"/>
              </w:rPr>
              <w:t>项目部分资金未完成，导致产生偏差；加快资金支付进度</w:t>
            </w:r>
          </w:p>
        </w:tc>
      </w:tr>
      <w:tr w14:paraId="3C962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9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FD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A9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FDE4">
            <w:pPr>
              <w:jc w:val="center"/>
            </w:pPr>
            <w:r>
              <w:rPr>
                <w:rFonts w:ascii="宋体" w:hAnsi="宋体" w:eastAsia="宋体"/>
                <w:sz w:val="16"/>
              </w:rPr>
              <w:t>全民健康体检人均成本（元/人）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4536">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30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D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2D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B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F2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CE06">
            <w:pPr>
              <w:jc w:val="center"/>
            </w:pPr>
            <w:r>
              <w:rPr>
                <w:rFonts w:ascii="宋体" w:hAnsi="宋体" w:eastAsia="宋体"/>
                <w:sz w:val="16"/>
              </w:rPr>
              <w:t>=88.11元/人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08F3">
            <w:pPr>
              <w:jc w:val="center"/>
            </w:pPr>
            <w:r>
              <w:rPr>
                <w:rFonts w:ascii="宋体" w:hAnsi="宋体" w:eastAsia="宋体"/>
                <w:sz w:val="16"/>
              </w:rPr>
              <w:t>14.05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AC98F">
            <w:pPr>
              <w:jc w:val="center"/>
            </w:pPr>
            <w:r>
              <w:rPr>
                <w:rFonts w:ascii="宋体" w:hAnsi="宋体" w:eastAsia="宋体"/>
                <w:sz w:val="16"/>
              </w:rPr>
              <w:t>因2024年12月底单位财政预算系统故障，导致剩余款项未支付；下一步加快资金支付进度</w:t>
            </w:r>
          </w:p>
        </w:tc>
      </w:tr>
      <w:tr w14:paraId="2714B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52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65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27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D1A6">
            <w:pPr>
              <w:jc w:val="center"/>
            </w:pPr>
            <w:r>
              <w:rPr>
                <w:rFonts w:ascii="宋体" w:hAnsi="宋体" w:eastAsia="宋体"/>
                <w:sz w:val="16"/>
              </w:rPr>
              <w:t>提高我院全民健康体检工作效率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66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E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55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D5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57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7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053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5C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9563">
            <w:pPr>
              <w:jc w:val="center"/>
            </w:pPr>
            <w:r>
              <w:rPr>
                <w:rFonts w:ascii="宋体" w:hAnsi="宋体" w:eastAsia="宋体"/>
                <w:sz w:val="16"/>
              </w:rPr>
              <w:t>项目剩余款项未支完，未达到预期效益；严格按照实施方案</w:t>
            </w:r>
            <w:r>
              <w:rPr>
                <w:rFonts w:hint="eastAsia" w:ascii="宋体" w:hAnsi="宋体"/>
                <w:sz w:val="16"/>
                <w:lang w:eastAsia="zh-CN"/>
              </w:rPr>
              <w:t>执行</w:t>
            </w:r>
            <w:r>
              <w:rPr>
                <w:rFonts w:ascii="宋体" w:hAnsi="宋体" w:eastAsia="宋体"/>
                <w:sz w:val="16"/>
              </w:rPr>
              <w:t>。</w:t>
            </w:r>
          </w:p>
        </w:tc>
      </w:tr>
      <w:tr w14:paraId="20EAD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F5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EB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1F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465B">
            <w:pPr>
              <w:jc w:val="center"/>
            </w:pPr>
            <w:r>
              <w:rPr>
                <w:rFonts w:ascii="宋体" w:hAnsi="宋体" w:eastAsia="宋体"/>
                <w:sz w:val="16"/>
              </w:rPr>
              <w:t>受益体检人员满意度（%）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90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6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70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B2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6D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D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72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18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A7186">
            <w:pPr>
              <w:jc w:val="center"/>
            </w:pPr>
          </w:p>
        </w:tc>
      </w:tr>
      <w:tr w14:paraId="73ACE7C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7E2E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5AF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9E8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34DA">
            <w:pPr>
              <w:jc w:val="center"/>
            </w:pPr>
            <w:r>
              <w:rPr>
                <w:rFonts w:ascii="宋体" w:hAnsi="宋体" w:eastAsia="宋体"/>
                <w:sz w:val="16"/>
              </w:rPr>
              <w:t>68.7分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1968C4"/>
        </w:tc>
      </w:tr>
    </w:tbl>
    <w:p w14:paraId="76A3665C">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96"/>
        <w:gridCol w:w="936"/>
        <w:gridCol w:w="599"/>
        <w:gridCol w:w="594"/>
        <w:gridCol w:w="604"/>
        <w:gridCol w:w="589"/>
        <w:gridCol w:w="587"/>
        <w:gridCol w:w="856"/>
        <w:gridCol w:w="629"/>
        <w:gridCol w:w="548"/>
        <w:gridCol w:w="633"/>
      </w:tblGrid>
      <w:tr w14:paraId="061546C5">
        <w:tblPrEx>
          <w:tblCellMar>
            <w:top w:w="0" w:type="dxa"/>
            <w:left w:w="108" w:type="dxa"/>
            <w:bottom w:w="0" w:type="dxa"/>
            <w:right w:w="108" w:type="dxa"/>
          </w:tblCellMar>
        </w:tblPrEx>
        <w:tc>
          <w:tcPr>
            <w:tcW w:w="8848" w:type="dxa"/>
            <w:gridSpan w:val="14"/>
            <w:vAlign w:val="center"/>
          </w:tcPr>
          <w:p w14:paraId="1E1BDDB7">
            <w:pPr>
              <w:jc w:val="center"/>
            </w:pPr>
            <w:r>
              <w:rPr>
                <w:rFonts w:ascii="宋体" w:hAnsi="宋体" w:eastAsia="宋体"/>
                <w:sz w:val="24"/>
              </w:rPr>
              <w:t>项目支出绩效自评表</w:t>
            </w:r>
          </w:p>
        </w:tc>
      </w:tr>
      <w:tr w14:paraId="355697A3">
        <w:tblPrEx>
          <w:tblCellMar>
            <w:top w:w="0" w:type="dxa"/>
            <w:left w:w="108" w:type="dxa"/>
            <w:bottom w:w="0" w:type="dxa"/>
            <w:right w:w="108" w:type="dxa"/>
          </w:tblCellMar>
        </w:tblPrEx>
        <w:tc>
          <w:tcPr>
            <w:tcW w:w="8848" w:type="dxa"/>
            <w:gridSpan w:val="14"/>
            <w:vAlign w:val="center"/>
          </w:tcPr>
          <w:p w14:paraId="2B9F199D">
            <w:pPr>
              <w:jc w:val="center"/>
            </w:pPr>
            <w:r>
              <w:rPr>
                <w:rFonts w:ascii="宋体" w:hAnsi="宋体" w:eastAsia="宋体"/>
                <w:sz w:val="24"/>
              </w:rPr>
              <w:t>(2024年度)</w:t>
            </w:r>
          </w:p>
        </w:tc>
      </w:tr>
      <w:tr w14:paraId="490BFB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5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D0A124">
            <w:pPr>
              <w:jc w:val="center"/>
            </w:pPr>
            <w:r>
              <w:rPr>
                <w:rFonts w:ascii="宋体" w:hAnsi="宋体" w:eastAsia="宋体"/>
                <w:sz w:val="16"/>
              </w:rPr>
              <w:t>2024年维吾尔医院业务能力提升及运转经费项目</w:t>
            </w:r>
          </w:p>
        </w:tc>
      </w:tr>
      <w:tr w14:paraId="5F1160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81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5F80E">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3A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B8DE2">
            <w:pPr>
              <w:jc w:val="center"/>
            </w:pPr>
            <w:r>
              <w:rPr>
                <w:rFonts w:ascii="宋体" w:hAnsi="宋体" w:eastAsia="宋体"/>
                <w:sz w:val="16"/>
              </w:rPr>
              <w:t>叶城县维吾尔医医院</w:t>
            </w:r>
          </w:p>
        </w:tc>
      </w:tr>
      <w:tr w14:paraId="59EEFF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749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C7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29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97C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270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74F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85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4449">
            <w:pPr>
              <w:jc w:val="center"/>
            </w:pPr>
            <w:r>
              <w:rPr>
                <w:rFonts w:ascii="宋体" w:hAnsi="宋体" w:eastAsia="宋体"/>
                <w:sz w:val="16"/>
              </w:rPr>
              <w:t>得分</w:t>
            </w:r>
          </w:p>
        </w:tc>
      </w:tr>
      <w:tr w14:paraId="72822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C0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92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36CC">
            <w:pPr>
              <w:jc w:val="center"/>
            </w:pPr>
            <w:r>
              <w:rPr>
                <w:rFonts w:ascii="宋体" w:hAnsi="宋体" w:eastAsia="宋体"/>
                <w:sz w:val="16"/>
              </w:rPr>
              <w:t>9,557.21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9EC8">
            <w:pPr>
              <w:jc w:val="center"/>
            </w:pPr>
            <w:r>
              <w:rPr>
                <w:rFonts w:ascii="宋体" w:hAnsi="宋体" w:eastAsia="宋体"/>
                <w:sz w:val="16"/>
              </w:rPr>
              <w:t>9,557.21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4576E">
            <w:pPr>
              <w:jc w:val="center"/>
            </w:pPr>
            <w:r>
              <w:rPr>
                <w:rFonts w:ascii="宋体" w:hAnsi="宋体" w:eastAsia="宋体"/>
                <w:sz w:val="16"/>
              </w:rPr>
              <w:t>9,382.47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A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5D0C">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8044">
            <w:pPr>
              <w:jc w:val="center"/>
            </w:pPr>
            <w:r>
              <w:rPr>
                <w:rFonts w:ascii="宋体" w:hAnsi="宋体" w:eastAsia="宋体"/>
                <w:sz w:val="16"/>
              </w:rPr>
              <w:t>9.54分</w:t>
            </w:r>
          </w:p>
        </w:tc>
      </w:tr>
      <w:tr w14:paraId="028DA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4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81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3F4AF">
            <w:pPr>
              <w:jc w:val="center"/>
            </w:pPr>
            <w:r>
              <w:rPr>
                <w:rFonts w:ascii="宋体" w:hAnsi="宋体" w:eastAsia="宋体"/>
                <w:sz w:val="16"/>
              </w:rPr>
              <w:t>9,557.21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DEF0A">
            <w:pPr>
              <w:jc w:val="center"/>
            </w:pPr>
            <w:r>
              <w:rPr>
                <w:rFonts w:ascii="宋体" w:hAnsi="宋体" w:eastAsia="宋体"/>
                <w:sz w:val="16"/>
              </w:rPr>
              <w:t>9,557.21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F5569">
            <w:pPr>
              <w:jc w:val="center"/>
            </w:pPr>
            <w:r>
              <w:rPr>
                <w:rFonts w:ascii="宋体" w:hAnsi="宋体" w:eastAsia="宋体"/>
                <w:sz w:val="16"/>
              </w:rPr>
              <w:t>9,382.47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A6F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1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F9CA">
            <w:pPr>
              <w:jc w:val="center"/>
            </w:pPr>
            <w:r>
              <w:rPr>
                <w:rFonts w:ascii="宋体" w:hAnsi="宋体" w:eastAsia="宋体"/>
                <w:sz w:val="16"/>
              </w:rPr>
              <w:t>—</w:t>
            </w:r>
          </w:p>
        </w:tc>
      </w:tr>
      <w:tr w14:paraId="418DB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2B1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0D4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1FC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FF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ABE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A6C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BC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7D0F">
            <w:pPr>
              <w:jc w:val="center"/>
            </w:pPr>
            <w:r>
              <w:rPr>
                <w:rFonts w:ascii="宋体" w:hAnsi="宋体" w:eastAsia="宋体"/>
                <w:sz w:val="16"/>
              </w:rPr>
              <w:t>—</w:t>
            </w:r>
          </w:p>
        </w:tc>
      </w:tr>
      <w:tr w14:paraId="7611E3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54E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ECE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5E87A">
            <w:pPr>
              <w:jc w:val="center"/>
            </w:pPr>
            <w:r>
              <w:rPr>
                <w:rFonts w:ascii="宋体" w:hAnsi="宋体" w:eastAsia="宋体"/>
                <w:sz w:val="16"/>
              </w:rPr>
              <w:t>实际完成情况</w:t>
            </w:r>
          </w:p>
        </w:tc>
      </w:tr>
      <w:tr w14:paraId="1596C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0E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89464">
            <w:pPr>
              <w:jc w:val="both"/>
            </w:pPr>
            <w:r>
              <w:rPr>
                <w:rFonts w:ascii="宋体" w:hAnsi="宋体" w:eastAsia="宋体"/>
                <w:sz w:val="16"/>
              </w:rPr>
              <w:t>本项目预算金额为9557.21万元，用于叶城县维吾尔医院工资支出，办公费，卫生材料，办公用费，保障各项业务工作正常开展，提高我院工作效率，给患者提供良好的医疗环境和服务品质，实现医院的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D4AAC">
            <w:pPr>
              <w:jc w:val="both"/>
            </w:pPr>
            <w:r>
              <w:rPr>
                <w:rFonts w:hint="eastAsia" w:ascii="宋体" w:hAnsi="宋体"/>
                <w:sz w:val="16"/>
                <w:lang w:eastAsia="zh-CN"/>
              </w:rPr>
              <w:t>截至</w:t>
            </w:r>
            <w:r>
              <w:rPr>
                <w:rFonts w:ascii="宋体" w:hAnsi="宋体" w:eastAsia="宋体"/>
                <w:sz w:val="16"/>
              </w:rPr>
              <w:t>2024年12月31日，该项目总资金9382.47万元，到位资金9382.47万元，执行资金9382.47万元，执行率98.2%，资金发放准确率100%。用于叶城县维吾尔医院工资支出，办公费，卫生材料，办公用费，保障各项业务工作正常开展，提高我院工作效率，给患者提供良好的医疗环境和服务品质，实现医院的可持续发展。</w:t>
            </w:r>
          </w:p>
        </w:tc>
      </w:tr>
      <w:tr w14:paraId="63DF1A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22B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CB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9E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0B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C1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20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AF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C0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0B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3B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95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8C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33D17">
            <w:pPr>
              <w:jc w:val="center"/>
            </w:pPr>
            <w:r>
              <w:rPr>
                <w:rFonts w:ascii="宋体" w:hAnsi="宋体" w:eastAsia="宋体"/>
                <w:sz w:val="16"/>
              </w:rPr>
              <w:t>偏差原因分析及改进措施</w:t>
            </w:r>
          </w:p>
        </w:tc>
      </w:tr>
      <w:tr w14:paraId="0967C3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EF0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6F1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D3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B6FC">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7DC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1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5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2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6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8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63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51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37D2A">
            <w:pPr>
              <w:jc w:val="center"/>
            </w:pPr>
          </w:p>
        </w:tc>
      </w:tr>
      <w:tr w14:paraId="319F9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B4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EB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35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F4F3">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7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B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AA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0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2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C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4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4D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D42C0">
            <w:pPr>
              <w:jc w:val="center"/>
            </w:pPr>
          </w:p>
        </w:tc>
      </w:tr>
      <w:tr w14:paraId="10850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8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B92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D02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1D6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7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F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19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AE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8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9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E66E">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292D">
            <w:pPr>
              <w:jc w:val="center"/>
            </w:pPr>
            <w:r>
              <w:rPr>
                <w:rFonts w:ascii="宋体" w:hAnsi="宋体" w:eastAsia="宋体"/>
                <w:sz w:val="16"/>
              </w:rPr>
              <w:t>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21E9">
            <w:pPr>
              <w:jc w:val="center"/>
            </w:pPr>
            <w:r>
              <w:rPr>
                <w:rFonts w:ascii="宋体" w:hAnsi="宋体" w:eastAsia="宋体"/>
                <w:sz w:val="16"/>
              </w:rPr>
              <w:t>偏差原因：项目资金拨付及时率98.2%，资金支付进度缓慢，故存在偏差；改进措施：下一步加快资金支付进度</w:t>
            </w:r>
          </w:p>
        </w:tc>
      </w:tr>
      <w:tr w14:paraId="6043D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0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0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67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67AF">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80B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E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78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F1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3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5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E1D7">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FA6A">
            <w:pPr>
              <w:jc w:val="center"/>
            </w:pPr>
            <w:r>
              <w:rPr>
                <w:rFonts w:ascii="宋体" w:hAnsi="宋体" w:eastAsia="宋体"/>
                <w:sz w:val="16"/>
              </w:rPr>
              <w:t>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4A068">
            <w:pPr>
              <w:jc w:val="center"/>
            </w:pPr>
            <w:r>
              <w:rPr>
                <w:rFonts w:ascii="宋体" w:hAnsi="宋体" w:eastAsia="宋体"/>
                <w:sz w:val="16"/>
              </w:rPr>
              <w:t>项目部分资金未支完，导致项目未完成；加快资金支付进度</w:t>
            </w:r>
          </w:p>
        </w:tc>
      </w:tr>
      <w:tr w14:paraId="69F7A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476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D80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D52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9920">
            <w:pPr>
              <w:jc w:val="center"/>
            </w:pPr>
            <w:r>
              <w:rPr>
                <w:rFonts w:ascii="宋体" w:hAnsi="宋体" w:eastAsia="宋体"/>
                <w:sz w:val="16"/>
              </w:rPr>
              <w:t>单位办公费用成本（万元）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01CF">
            <w:pPr>
              <w:jc w:val="center"/>
            </w:pPr>
            <w:r>
              <w:rPr>
                <w:rFonts w:ascii="宋体" w:hAnsi="宋体" w:eastAsia="宋体"/>
                <w:sz w:val="16"/>
              </w:rPr>
              <w:t>&lt;=145.20万元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AF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5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74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A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3E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AC3B">
            <w:pPr>
              <w:jc w:val="center"/>
            </w:pPr>
            <w:r>
              <w:rPr>
                <w:rFonts w:ascii="宋体" w:hAnsi="宋体" w:eastAsia="宋体"/>
                <w:sz w:val="16"/>
              </w:rPr>
              <w:t>=145.2万元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1C9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240E4">
            <w:pPr>
              <w:jc w:val="center"/>
            </w:pPr>
          </w:p>
        </w:tc>
      </w:tr>
      <w:tr w14:paraId="63271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CC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8C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E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5B92">
            <w:pPr>
              <w:jc w:val="center"/>
            </w:pPr>
            <w:r>
              <w:rPr>
                <w:rFonts w:ascii="宋体" w:hAnsi="宋体" w:eastAsia="宋体"/>
                <w:sz w:val="16"/>
              </w:rPr>
              <w:t>单位水电费成本（万元）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978A">
            <w:pPr>
              <w:jc w:val="center"/>
            </w:pPr>
            <w:r>
              <w:rPr>
                <w:rFonts w:ascii="宋体" w:hAnsi="宋体" w:eastAsia="宋体"/>
                <w:sz w:val="16"/>
              </w:rPr>
              <w:t>&lt;=202.50万元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C4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8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40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0B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E5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BED6">
            <w:pPr>
              <w:jc w:val="center"/>
            </w:pPr>
            <w:r>
              <w:rPr>
                <w:rFonts w:ascii="宋体" w:hAnsi="宋体" w:eastAsia="宋体"/>
                <w:sz w:val="16"/>
              </w:rPr>
              <w:t>=202.5万元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5C5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97C1F">
            <w:pPr>
              <w:jc w:val="center"/>
            </w:pPr>
          </w:p>
        </w:tc>
      </w:tr>
      <w:tr w14:paraId="10F1D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5E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3A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7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A74C">
            <w:pPr>
              <w:jc w:val="center"/>
            </w:pPr>
            <w:r>
              <w:rPr>
                <w:rFonts w:ascii="宋体" w:hAnsi="宋体" w:eastAsia="宋体"/>
                <w:sz w:val="16"/>
              </w:rPr>
              <w:t>单位专业设备维修费（万元）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BAFE">
            <w:pPr>
              <w:jc w:val="center"/>
            </w:pPr>
            <w:r>
              <w:rPr>
                <w:rFonts w:ascii="宋体" w:hAnsi="宋体" w:eastAsia="宋体"/>
                <w:sz w:val="16"/>
              </w:rPr>
              <w:t>&lt;=166.90万元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20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A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86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2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77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D76C">
            <w:pPr>
              <w:jc w:val="center"/>
            </w:pPr>
            <w:r>
              <w:rPr>
                <w:rFonts w:ascii="宋体" w:hAnsi="宋体" w:eastAsia="宋体"/>
                <w:sz w:val="16"/>
              </w:rPr>
              <w:t>=166.9万元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387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79420">
            <w:pPr>
              <w:jc w:val="center"/>
            </w:pPr>
          </w:p>
        </w:tc>
      </w:tr>
      <w:tr w14:paraId="1DFDE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8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5D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CC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6128">
            <w:pPr>
              <w:jc w:val="center"/>
            </w:pPr>
            <w:r>
              <w:rPr>
                <w:rFonts w:ascii="宋体" w:hAnsi="宋体" w:eastAsia="宋体"/>
                <w:sz w:val="16"/>
              </w:rPr>
              <w:t>单位房屋维修费（万元）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AADC">
            <w:pPr>
              <w:jc w:val="center"/>
            </w:pPr>
            <w:r>
              <w:rPr>
                <w:rFonts w:ascii="宋体" w:hAnsi="宋体" w:eastAsia="宋体"/>
                <w:sz w:val="16"/>
              </w:rPr>
              <w:t>&lt;=506万元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BC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7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04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8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30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521D">
            <w:pPr>
              <w:jc w:val="center"/>
            </w:pPr>
            <w:r>
              <w:rPr>
                <w:rFonts w:ascii="宋体" w:hAnsi="宋体" w:eastAsia="宋体"/>
                <w:sz w:val="16"/>
              </w:rPr>
              <w: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190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4A87">
            <w:pPr>
              <w:jc w:val="center"/>
            </w:pPr>
          </w:p>
        </w:tc>
      </w:tr>
      <w:tr w14:paraId="5F0E3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50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6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7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017A">
            <w:pPr>
              <w:jc w:val="center"/>
            </w:pPr>
            <w:r>
              <w:rPr>
                <w:rFonts w:ascii="宋体" w:hAnsi="宋体" w:eastAsia="宋体"/>
                <w:sz w:val="16"/>
              </w:rPr>
              <w:t>支付聘用干部工资成本（万元）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BE25">
            <w:pPr>
              <w:jc w:val="center"/>
            </w:pPr>
            <w:r>
              <w:rPr>
                <w:rFonts w:ascii="宋体" w:hAnsi="宋体" w:eastAsia="宋体"/>
                <w:sz w:val="16"/>
              </w:rPr>
              <w:t>&lt;=3917.80万元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2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73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64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5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D6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F2C9">
            <w:pPr>
              <w:jc w:val="center"/>
            </w:pPr>
            <w:r>
              <w:rPr>
                <w:rFonts w:ascii="宋体" w:hAnsi="宋体" w:eastAsia="宋体"/>
                <w:sz w:val="16"/>
              </w:rPr>
              <w:t>=3917.8万元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415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3984">
            <w:pPr>
              <w:jc w:val="center"/>
            </w:pPr>
          </w:p>
        </w:tc>
      </w:tr>
      <w:tr w14:paraId="10148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85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4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8D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5C74">
            <w:pPr>
              <w:jc w:val="center"/>
            </w:pPr>
            <w:r>
              <w:rPr>
                <w:rFonts w:ascii="宋体" w:hAnsi="宋体" w:eastAsia="宋体"/>
                <w:sz w:val="16"/>
              </w:rPr>
              <w:t>其他费用成本（万元）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C4F4">
            <w:pPr>
              <w:jc w:val="center"/>
            </w:pPr>
            <w:r>
              <w:rPr>
                <w:rFonts w:ascii="宋体" w:hAnsi="宋体" w:eastAsia="宋体"/>
                <w:sz w:val="16"/>
              </w:rPr>
              <w:t>&lt;=4618.81万元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B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F4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25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C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AF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09F8">
            <w:pPr>
              <w:jc w:val="center"/>
            </w:pPr>
            <w:r>
              <w:rPr>
                <w:rFonts w:ascii="宋体" w:hAnsi="宋体" w:eastAsia="宋体"/>
                <w:sz w:val="16"/>
              </w:rPr>
              <w:t>=4444.04万元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CE04">
            <w:pPr>
              <w:jc w:val="center"/>
            </w:pPr>
            <w:r>
              <w:rPr>
                <w:rFonts w:ascii="宋体" w:hAnsi="宋体" w:eastAsia="宋体"/>
                <w:sz w:val="16"/>
              </w:rPr>
              <w:t>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EA8DB">
            <w:pPr>
              <w:jc w:val="center"/>
            </w:pPr>
            <w:r>
              <w:rPr>
                <w:rFonts w:ascii="宋体" w:hAnsi="宋体" w:eastAsia="宋体"/>
                <w:sz w:val="16"/>
              </w:rPr>
              <w:t>偏差原因：剩余资金拨付资料提供不及时，导致产生偏差；改进措施：加快资金支付进度。</w:t>
            </w:r>
          </w:p>
        </w:tc>
      </w:tr>
      <w:tr w14:paraId="3C3A4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3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1D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41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22EC">
            <w:pPr>
              <w:jc w:val="center"/>
            </w:pPr>
            <w:r>
              <w:rPr>
                <w:rFonts w:ascii="宋体" w:hAnsi="宋体" w:eastAsia="宋体"/>
                <w:sz w:val="16"/>
              </w:rPr>
              <w:t>提高我院工作效率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D8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E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12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37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B7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5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41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92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3ADFC">
            <w:pPr>
              <w:jc w:val="center"/>
            </w:pPr>
          </w:p>
        </w:tc>
      </w:tr>
      <w:tr w14:paraId="3811F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A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8E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A5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D210">
            <w:pPr>
              <w:jc w:val="center"/>
            </w:pPr>
            <w:r>
              <w:rPr>
                <w:rFonts w:ascii="宋体" w:hAnsi="宋体" w:eastAsia="宋体"/>
                <w:sz w:val="16"/>
              </w:rPr>
              <w:t>受益我院职工满意度（%）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44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7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1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F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1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A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3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A2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500A">
            <w:pPr>
              <w:jc w:val="center"/>
            </w:pPr>
            <w:r>
              <w:rPr>
                <w:rFonts w:ascii="宋体" w:hAnsi="宋体" w:eastAsia="宋体"/>
                <w:sz w:val="16"/>
              </w:rPr>
              <w:t>偏差原因：受益我院职工对此项目实施基本满意，故产生偏差；改进措施：做好年初预算。</w:t>
            </w:r>
          </w:p>
        </w:tc>
      </w:tr>
      <w:tr w14:paraId="3FB9EA4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E51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AA9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D30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5732">
            <w:pPr>
              <w:jc w:val="center"/>
            </w:pPr>
            <w:r>
              <w:rPr>
                <w:rFonts w:ascii="宋体" w:hAnsi="宋体" w:eastAsia="宋体"/>
                <w:sz w:val="16"/>
              </w:rPr>
              <w:t>98.26分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6A4B54"/>
        </w:tc>
      </w:tr>
    </w:tbl>
    <w:p w14:paraId="146B5E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10338AD">
        <w:tblPrEx>
          <w:tblCellMar>
            <w:top w:w="0" w:type="dxa"/>
            <w:left w:w="108" w:type="dxa"/>
            <w:bottom w:w="0" w:type="dxa"/>
            <w:right w:w="108" w:type="dxa"/>
          </w:tblCellMar>
        </w:tblPrEx>
        <w:tc>
          <w:tcPr>
            <w:tcW w:w="8848" w:type="dxa"/>
            <w:gridSpan w:val="14"/>
            <w:vAlign w:val="center"/>
          </w:tcPr>
          <w:p w14:paraId="59E5D83D">
            <w:pPr>
              <w:jc w:val="center"/>
            </w:pPr>
            <w:r>
              <w:rPr>
                <w:rFonts w:ascii="宋体" w:hAnsi="宋体" w:eastAsia="宋体"/>
                <w:sz w:val="24"/>
              </w:rPr>
              <w:t>项目支出绩效自评表</w:t>
            </w:r>
          </w:p>
        </w:tc>
      </w:tr>
      <w:tr w14:paraId="5FE98157">
        <w:tblPrEx>
          <w:tblCellMar>
            <w:top w:w="0" w:type="dxa"/>
            <w:left w:w="108" w:type="dxa"/>
            <w:bottom w:w="0" w:type="dxa"/>
            <w:right w:w="108" w:type="dxa"/>
          </w:tblCellMar>
        </w:tblPrEx>
        <w:tc>
          <w:tcPr>
            <w:tcW w:w="8848" w:type="dxa"/>
            <w:gridSpan w:val="14"/>
            <w:vAlign w:val="center"/>
          </w:tcPr>
          <w:p w14:paraId="677FEBF0">
            <w:pPr>
              <w:jc w:val="center"/>
            </w:pPr>
            <w:r>
              <w:rPr>
                <w:rFonts w:ascii="宋体" w:hAnsi="宋体" w:eastAsia="宋体"/>
                <w:sz w:val="24"/>
              </w:rPr>
              <w:t>(2024年度)</w:t>
            </w:r>
          </w:p>
        </w:tc>
      </w:tr>
      <w:tr w14:paraId="669F8A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2D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422EEB">
            <w:pPr>
              <w:jc w:val="center"/>
            </w:pPr>
            <w:r>
              <w:rPr>
                <w:rFonts w:ascii="宋体" w:hAnsi="宋体" w:eastAsia="宋体"/>
                <w:sz w:val="16"/>
              </w:rPr>
              <w:t>2024自治区地方公共卫生（地方公共卫生）全民健康体检补助资金项目</w:t>
            </w:r>
          </w:p>
        </w:tc>
      </w:tr>
      <w:tr w14:paraId="420E28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DE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44A10">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E4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C4310">
            <w:pPr>
              <w:jc w:val="center"/>
            </w:pPr>
            <w:r>
              <w:rPr>
                <w:rFonts w:ascii="宋体" w:hAnsi="宋体" w:eastAsia="宋体"/>
                <w:sz w:val="16"/>
              </w:rPr>
              <w:t>叶城县维吾尔医医院</w:t>
            </w:r>
          </w:p>
        </w:tc>
      </w:tr>
      <w:tr w14:paraId="3CDE74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17B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D2E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10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40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19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D8E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C8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6C52">
            <w:pPr>
              <w:jc w:val="center"/>
            </w:pPr>
            <w:r>
              <w:rPr>
                <w:rFonts w:ascii="宋体" w:hAnsi="宋体" w:eastAsia="宋体"/>
                <w:sz w:val="16"/>
              </w:rPr>
              <w:t>得分</w:t>
            </w:r>
          </w:p>
        </w:tc>
      </w:tr>
      <w:tr w14:paraId="7FCE9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E2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8A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44DAA">
            <w:pPr>
              <w:jc w:val="center"/>
            </w:pPr>
            <w:r>
              <w:rPr>
                <w:rFonts w:ascii="宋体" w:hAnsi="宋体" w:eastAsia="宋体"/>
                <w:sz w:val="16"/>
              </w:rPr>
              <w:t>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1477">
            <w:pPr>
              <w:jc w:val="center"/>
            </w:pPr>
            <w:r>
              <w:rPr>
                <w:rFonts w:ascii="宋体" w:hAnsi="宋体" w:eastAsia="宋体"/>
                <w:sz w:val="16"/>
              </w:rPr>
              <w:t>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81B0">
            <w:pPr>
              <w:jc w:val="center"/>
            </w:pPr>
            <w:r>
              <w:rPr>
                <w:rFonts w:ascii="宋体" w:hAnsi="宋体" w:eastAsia="宋体"/>
                <w:sz w:val="16"/>
              </w:rPr>
              <w:t>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E52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F4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8AA9">
            <w:pPr>
              <w:jc w:val="center"/>
            </w:pPr>
            <w:r>
              <w:rPr>
                <w:rFonts w:ascii="宋体" w:hAnsi="宋体" w:eastAsia="宋体"/>
                <w:sz w:val="16"/>
              </w:rPr>
              <w:t>10.00分</w:t>
            </w:r>
          </w:p>
        </w:tc>
      </w:tr>
      <w:tr w14:paraId="3DEB0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334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F2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A97EE">
            <w:pPr>
              <w:jc w:val="center"/>
            </w:pPr>
            <w:r>
              <w:rPr>
                <w:rFonts w:ascii="宋体" w:hAnsi="宋体" w:eastAsia="宋体"/>
                <w:sz w:val="16"/>
              </w:rPr>
              <w:t>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333F">
            <w:pPr>
              <w:jc w:val="center"/>
            </w:pPr>
            <w:r>
              <w:rPr>
                <w:rFonts w:ascii="宋体" w:hAnsi="宋体" w:eastAsia="宋体"/>
                <w:sz w:val="16"/>
              </w:rPr>
              <w:t>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C7ABD">
            <w:pPr>
              <w:jc w:val="center"/>
            </w:pPr>
            <w:r>
              <w:rPr>
                <w:rFonts w:ascii="宋体" w:hAnsi="宋体" w:eastAsia="宋体"/>
                <w:sz w:val="16"/>
              </w:rPr>
              <w:t>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E7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5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C3CC">
            <w:pPr>
              <w:jc w:val="center"/>
            </w:pPr>
            <w:r>
              <w:rPr>
                <w:rFonts w:ascii="宋体" w:hAnsi="宋体" w:eastAsia="宋体"/>
                <w:sz w:val="16"/>
              </w:rPr>
              <w:t>—</w:t>
            </w:r>
          </w:p>
        </w:tc>
      </w:tr>
      <w:tr w14:paraId="2672D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D9A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3D0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95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1A2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D4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19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91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A43F">
            <w:pPr>
              <w:jc w:val="center"/>
            </w:pPr>
            <w:r>
              <w:rPr>
                <w:rFonts w:ascii="宋体" w:hAnsi="宋体" w:eastAsia="宋体"/>
                <w:sz w:val="16"/>
              </w:rPr>
              <w:t>—</w:t>
            </w:r>
          </w:p>
        </w:tc>
      </w:tr>
      <w:tr w14:paraId="2F894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144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A7CC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FA33FF">
            <w:pPr>
              <w:jc w:val="center"/>
            </w:pPr>
            <w:r>
              <w:rPr>
                <w:rFonts w:ascii="宋体" w:hAnsi="宋体" w:eastAsia="宋体"/>
                <w:sz w:val="16"/>
              </w:rPr>
              <w:t>实际完成情况</w:t>
            </w:r>
          </w:p>
        </w:tc>
      </w:tr>
      <w:tr w14:paraId="77BF0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23E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30217">
            <w:pPr>
              <w:jc w:val="both"/>
            </w:pPr>
            <w:r>
              <w:rPr>
                <w:rFonts w:ascii="宋体" w:hAnsi="宋体" w:eastAsia="宋体"/>
                <w:sz w:val="16"/>
              </w:rPr>
              <w:t>该项目预算资金6.23万元，主要用于支付叶城县维吾尔医院17名体检人员工资，通过项目的实施有效保障全民健康体检工作正常开展，提高了我院全民健康体检工作方面的工作效率，确保有序开展全县的全民健康体检工作，进一步做好了全民健康体检的供应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0AAE6C">
            <w:pPr>
              <w:jc w:val="both"/>
            </w:pPr>
            <w:r>
              <w:rPr>
                <w:rFonts w:hint="eastAsia" w:ascii="宋体" w:hAnsi="宋体"/>
                <w:sz w:val="16"/>
                <w:lang w:eastAsia="zh-CN"/>
              </w:rPr>
              <w:t>截至</w:t>
            </w:r>
            <w:r>
              <w:rPr>
                <w:rFonts w:ascii="宋体" w:hAnsi="宋体" w:eastAsia="宋体"/>
                <w:sz w:val="16"/>
              </w:rPr>
              <w:t>2024年12月31日，该项目总资金6.23万元，到位资金6.23万元，实际执行资金6.23万元，执行率100%。已完成支付叶城县维吾尔医院17名体检人员工资，通过项目的实施有效保障全民健康体检工作正常开展，提高了我院全民健康体检工作方面的工作效率，确保有序开展全县的全民健康体检工作，进一步做好了全民健康体检的供应工作。</w:t>
            </w:r>
          </w:p>
        </w:tc>
      </w:tr>
      <w:tr w14:paraId="7BD92D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4CA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26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69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FE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DE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F4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8E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91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29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95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59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10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6DCDD">
            <w:pPr>
              <w:jc w:val="center"/>
            </w:pPr>
            <w:r>
              <w:rPr>
                <w:rFonts w:ascii="宋体" w:hAnsi="宋体" w:eastAsia="宋体"/>
                <w:sz w:val="16"/>
              </w:rPr>
              <w:t>偏差原因分析及改进措施</w:t>
            </w:r>
          </w:p>
        </w:tc>
      </w:tr>
      <w:tr w14:paraId="3B947B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A96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821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24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38E7">
            <w:pPr>
              <w:jc w:val="center"/>
            </w:pPr>
            <w:r>
              <w:rPr>
                <w:rFonts w:ascii="宋体" w:hAnsi="宋体" w:eastAsia="宋体"/>
                <w:sz w:val="16"/>
              </w:rPr>
              <w:t>发放体检工作人员数量（人）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FA54">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E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E1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AB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1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D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8C28">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B2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F80B">
            <w:pPr>
              <w:jc w:val="center"/>
            </w:pPr>
          </w:p>
        </w:tc>
      </w:tr>
      <w:tr w14:paraId="47461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F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C7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B0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DBE6">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F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D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C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A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C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4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3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61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3F4A">
            <w:pPr>
              <w:jc w:val="center"/>
            </w:pPr>
          </w:p>
        </w:tc>
      </w:tr>
      <w:tr w14:paraId="5B032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B5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7E4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6F6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668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D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3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4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D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F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C2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4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B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82CA">
            <w:pPr>
              <w:jc w:val="center"/>
            </w:pPr>
          </w:p>
        </w:tc>
      </w:tr>
      <w:tr w14:paraId="7C460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1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34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2F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5F8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5E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C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44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03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F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C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42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2B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E483">
            <w:pPr>
              <w:jc w:val="center"/>
            </w:pPr>
          </w:p>
        </w:tc>
      </w:tr>
      <w:tr w14:paraId="544AB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4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7C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0C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0355">
            <w:pPr>
              <w:jc w:val="center"/>
            </w:pPr>
            <w:r>
              <w:rPr>
                <w:rFonts w:ascii="宋体" w:hAnsi="宋体" w:eastAsia="宋体"/>
                <w:sz w:val="16"/>
              </w:rPr>
              <w:t>体检人员工资成本（万元）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61C9">
            <w:pPr>
              <w:jc w:val="center"/>
            </w:pPr>
            <w:r>
              <w:rPr>
                <w:rFonts w:ascii="宋体" w:hAnsi="宋体" w:eastAsia="宋体"/>
                <w:sz w:val="16"/>
              </w:rPr>
              <w:t>&lt;=6.23万元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1C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6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58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9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17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D307">
            <w:pPr>
              <w:jc w:val="center"/>
            </w:pPr>
            <w:r>
              <w:rPr>
                <w:rFonts w:ascii="宋体" w:hAnsi="宋体" w:eastAsia="宋体"/>
                <w:sz w:val="16"/>
              </w:rPr>
              <w:t>=6.23万元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9B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AB239">
            <w:pPr>
              <w:jc w:val="center"/>
            </w:pPr>
          </w:p>
        </w:tc>
      </w:tr>
      <w:tr w14:paraId="1555D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7A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03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83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4BAF">
            <w:pPr>
              <w:jc w:val="center"/>
            </w:pPr>
            <w:r>
              <w:rPr>
                <w:rFonts w:ascii="宋体" w:hAnsi="宋体" w:eastAsia="宋体"/>
                <w:sz w:val="16"/>
              </w:rPr>
              <w:t>提高我院全民健康体检工作方面的工作效率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B1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7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76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69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EA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4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43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3F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6D3ED">
            <w:pPr>
              <w:jc w:val="center"/>
            </w:pPr>
          </w:p>
        </w:tc>
      </w:tr>
      <w:tr w14:paraId="7736A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6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77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AA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F636">
            <w:pPr>
              <w:jc w:val="center"/>
            </w:pPr>
            <w:r>
              <w:rPr>
                <w:rFonts w:ascii="宋体" w:hAnsi="宋体" w:eastAsia="宋体"/>
                <w:sz w:val="16"/>
              </w:rPr>
              <w:t>体检工作人员满意度（%）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B8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C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D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B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41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9A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33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62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AF449">
            <w:pPr>
              <w:jc w:val="center"/>
            </w:pPr>
          </w:p>
        </w:tc>
      </w:tr>
      <w:tr w14:paraId="662694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F51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037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4FBB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BA4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F1F4BA"/>
        </w:tc>
      </w:tr>
    </w:tbl>
    <w:p w14:paraId="36D4A661">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0"/>
        <w:gridCol w:w="598"/>
        <w:gridCol w:w="627"/>
      </w:tblGrid>
      <w:tr w14:paraId="6E8C98A6">
        <w:tc>
          <w:tcPr>
            <w:tcW w:w="8848" w:type="dxa"/>
            <w:gridSpan w:val="14"/>
            <w:vAlign w:val="center"/>
          </w:tcPr>
          <w:p w14:paraId="5EC12DFF">
            <w:pPr>
              <w:jc w:val="center"/>
            </w:pPr>
            <w:r>
              <w:rPr>
                <w:rFonts w:ascii="宋体" w:hAnsi="宋体" w:eastAsia="宋体"/>
                <w:sz w:val="24"/>
              </w:rPr>
              <w:t>项目支出绩效自评表</w:t>
            </w:r>
          </w:p>
        </w:tc>
      </w:tr>
      <w:tr w14:paraId="31C4E273">
        <w:tblPrEx>
          <w:tblCellMar>
            <w:top w:w="0" w:type="dxa"/>
            <w:left w:w="108" w:type="dxa"/>
            <w:bottom w:w="0" w:type="dxa"/>
            <w:right w:w="108" w:type="dxa"/>
          </w:tblCellMar>
        </w:tblPrEx>
        <w:tc>
          <w:tcPr>
            <w:tcW w:w="8848" w:type="dxa"/>
            <w:gridSpan w:val="14"/>
            <w:vAlign w:val="center"/>
          </w:tcPr>
          <w:p w14:paraId="2BA8C006">
            <w:pPr>
              <w:jc w:val="center"/>
            </w:pPr>
            <w:r>
              <w:rPr>
                <w:rFonts w:ascii="宋体" w:hAnsi="宋体" w:eastAsia="宋体"/>
                <w:sz w:val="24"/>
              </w:rPr>
              <w:t>(2024年度)</w:t>
            </w:r>
          </w:p>
        </w:tc>
      </w:tr>
      <w:tr w14:paraId="338D58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5D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F6C7FC">
            <w:pPr>
              <w:jc w:val="center"/>
            </w:pPr>
            <w:r>
              <w:rPr>
                <w:rFonts w:ascii="宋体" w:hAnsi="宋体" w:eastAsia="宋体"/>
                <w:sz w:val="16"/>
              </w:rPr>
              <w:t>上海援疆项目-叶城县级医院能力提升建设-叶城县维吾尔医医院维修项目</w:t>
            </w:r>
          </w:p>
        </w:tc>
      </w:tr>
      <w:tr w14:paraId="059CEF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48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40C60">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36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67736">
            <w:pPr>
              <w:jc w:val="center"/>
            </w:pPr>
            <w:r>
              <w:rPr>
                <w:rFonts w:ascii="宋体" w:hAnsi="宋体" w:eastAsia="宋体"/>
                <w:sz w:val="16"/>
              </w:rPr>
              <w:t>叶城县维吾尔医医院</w:t>
            </w:r>
          </w:p>
        </w:tc>
      </w:tr>
      <w:tr w14:paraId="3ABB73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5E5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1D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8E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DC6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90D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588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35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928F">
            <w:pPr>
              <w:jc w:val="center"/>
            </w:pPr>
            <w:r>
              <w:rPr>
                <w:rFonts w:ascii="宋体" w:hAnsi="宋体" w:eastAsia="宋体"/>
                <w:sz w:val="16"/>
              </w:rPr>
              <w:t>得分</w:t>
            </w:r>
          </w:p>
        </w:tc>
      </w:tr>
      <w:tr w14:paraId="6F76C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86A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A8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5FAE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B904">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C73D">
            <w:pPr>
              <w:jc w:val="center"/>
            </w:pPr>
            <w:r>
              <w:rPr>
                <w:rFonts w:ascii="宋体" w:hAnsi="宋体" w:eastAsia="宋体"/>
                <w:sz w:val="16"/>
              </w:rPr>
              <w:t>211.80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6FD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39A5">
            <w:pPr>
              <w:jc w:val="center"/>
            </w:pPr>
            <w:r>
              <w:rPr>
                <w:rFonts w:ascii="宋体" w:hAnsi="宋体" w:eastAsia="宋体"/>
                <w:sz w:val="16"/>
              </w:rPr>
              <w:t>70.6%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14E9">
            <w:pPr>
              <w:jc w:val="center"/>
            </w:pPr>
            <w:r>
              <w:rPr>
                <w:rFonts w:ascii="宋体" w:hAnsi="宋体" w:eastAsia="宋体"/>
                <w:sz w:val="16"/>
              </w:rPr>
              <w:t>2.65分</w:t>
            </w:r>
          </w:p>
        </w:tc>
      </w:tr>
      <w:tr w14:paraId="57F06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F8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940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87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E0B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10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03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C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FE04">
            <w:pPr>
              <w:jc w:val="center"/>
            </w:pPr>
            <w:r>
              <w:rPr>
                <w:rFonts w:ascii="宋体" w:hAnsi="宋体" w:eastAsia="宋体"/>
                <w:sz w:val="16"/>
              </w:rPr>
              <w:t>—</w:t>
            </w:r>
          </w:p>
        </w:tc>
      </w:tr>
      <w:tr w14:paraId="2C187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A82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F6C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1D0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A117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77002">
            <w:pPr>
              <w:jc w:val="center"/>
            </w:pPr>
            <w:r>
              <w:rPr>
                <w:rFonts w:ascii="宋体" w:hAnsi="宋体" w:eastAsia="宋体"/>
                <w:sz w:val="16"/>
              </w:rPr>
              <w:t>211.80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47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96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DF87">
            <w:pPr>
              <w:jc w:val="center"/>
            </w:pPr>
            <w:r>
              <w:rPr>
                <w:rFonts w:ascii="宋体" w:hAnsi="宋体" w:eastAsia="宋体"/>
                <w:sz w:val="16"/>
              </w:rPr>
              <w:t>—</w:t>
            </w:r>
          </w:p>
        </w:tc>
      </w:tr>
      <w:tr w14:paraId="5E557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299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38F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8510D9">
            <w:pPr>
              <w:jc w:val="center"/>
            </w:pPr>
            <w:r>
              <w:rPr>
                <w:rFonts w:ascii="宋体" w:hAnsi="宋体" w:eastAsia="宋体"/>
                <w:sz w:val="16"/>
              </w:rPr>
              <w:t>实际完成情况</w:t>
            </w:r>
          </w:p>
        </w:tc>
      </w:tr>
      <w:tr w14:paraId="5B99B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CBA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0A2D1">
            <w:pPr>
              <w:jc w:val="both"/>
            </w:pPr>
            <w:r>
              <w:rPr>
                <w:rFonts w:ascii="宋体" w:hAnsi="宋体" w:eastAsia="宋体"/>
                <w:sz w:val="16"/>
              </w:rPr>
              <w:t>本项目预算金额为300万元，用于叶城县维吾尔医医院维修改造门诊楼和住院楼，主要维修内容包括：室内铺设地砖、卫生间做防水、部分给排水维修、门窗更换、电气设备</w:t>
            </w:r>
            <w:r>
              <w:rPr>
                <w:rFonts w:hint="eastAsia" w:ascii="宋体" w:hAnsi="宋体"/>
                <w:sz w:val="16"/>
                <w:lang w:eastAsia="zh-CN"/>
              </w:rPr>
              <w:t>安装</w:t>
            </w:r>
            <w:r>
              <w:rPr>
                <w:rFonts w:ascii="宋体" w:hAnsi="宋体" w:eastAsia="宋体"/>
                <w:sz w:val="16"/>
              </w:rPr>
              <w:t>等，项目的实施有效提升我院医疗卫生服务能力，可以提高医疗服务的能力和效率，改善医疗环境，扩大服务范围，提高医院管理效率。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AF6EEB">
            <w:pPr>
              <w:jc w:val="both"/>
            </w:pPr>
            <w:r>
              <w:rPr>
                <w:rFonts w:hint="eastAsia" w:ascii="宋体" w:hAnsi="宋体"/>
                <w:sz w:val="16"/>
                <w:lang w:eastAsia="zh-CN"/>
              </w:rPr>
              <w:t>截至</w:t>
            </w:r>
            <w:r>
              <w:rPr>
                <w:rFonts w:ascii="宋体" w:hAnsi="宋体" w:eastAsia="宋体"/>
                <w:sz w:val="16"/>
              </w:rPr>
              <w:t>2024年12月31日，该项目总资金300万元，到位资金300万元，执行资金211.8万元，执行率70.6%。项目已完成叶城县维吾尔医医院维修改造门诊楼和住院楼，主要维修内容包括：室内铺设地砖、卫生间做防水、部分给排水维修、门窗更换、电气设备</w:t>
            </w:r>
            <w:r>
              <w:rPr>
                <w:rFonts w:hint="eastAsia" w:ascii="宋体" w:hAnsi="宋体"/>
                <w:sz w:val="16"/>
                <w:lang w:eastAsia="zh-CN"/>
              </w:rPr>
              <w:t>安装</w:t>
            </w:r>
            <w:r>
              <w:rPr>
                <w:rFonts w:ascii="宋体" w:hAnsi="宋体" w:eastAsia="宋体"/>
                <w:sz w:val="16"/>
              </w:rPr>
              <w:t>等，项目的实施有效提升我院医疗卫生服务能力，可以提高医疗服务的能力和效率，改善医疗环境，扩大服务范围，提高医院管理效率。</w:t>
            </w:r>
          </w:p>
        </w:tc>
      </w:tr>
      <w:tr w14:paraId="22103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4F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9A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42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8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F2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B4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F3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EB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67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16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21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4DF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06EC">
            <w:pPr>
              <w:jc w:val="center"/>
            </w:pPr>
            <w:r>
              <w:rPr>
                <w:rFonts w:ascii="宋体" w:hAnsi="宋体" w:eastAsia="宋体"/>
                <w:sz w:val="16"/>
              </w:rPr>
              <w:t>偏差原因分析及改进措施</w:t>
            </w:r>
          </w:p>
        </w:tc>
      </w:tr>
      <w:tr w14:paraId="71D6D5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69C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9205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A6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957D">
            <w:pPr>
              <w:jc w:val="center"/>
            </w:pPr>
            <w:r>
              <w:rPr>
                <w:rFonts w:ascii="宋体" w:hAnsi="宋体" w:eastAsia="宋体"/>
                <w:sz w:val="16"/>
              </w:rPr>
              <w:t>保障单位运转数量（个）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6F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2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E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13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C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5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C81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2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3232E">
            <w:pPr>
              <w:jc w:val="center"/>
            </w:pPr>
          </w:p>
        </w:tc>
      </w:tr>
      <w:tr w14:paraId="75F41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9D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D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88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0331">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0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3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E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0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D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6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4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F9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58484">
            <w:pPr>
              <w:jc w:val="center"/>
            </w:pPr>
          </w:p>
        </w:tc>
      </w:tr>
      <w:tr w14:paraId="5114C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8F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304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CA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BE00">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9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5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8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DB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3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1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9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D9C6">
            <w:pPr>
              <w:jc w:val="center"/>
            </w:pPr>
            <w:r>
              <w:rPr>
                <w:rFonts w:ascii="宋体" w:hAnsi="宋体" w:eastAsia="宋体"/>
                <w:sz w:val="16"/>
              </w:rPr>
              <w:t>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678CB">
            <w:pPr>
              <w:jc w:val="center"/>
            </w:pPr>
            <w:r>
              <w:rPr>
                <w:rFonts w:ascii="宋体" w:hAnsi="宋体" w:eastAsia="宋体"/>
                <w:sz w:val="16"/>
              </w:rPr>
              <w:t>偏差原因：项目审计报告未出，剩余资金等审计报告出来后再支付；改进措施：加快项目实施进度。</w:t>
            </w:r>
          </w:p>
        </w:tc>
      </w:tr>
      <w:tr w14:paraId="40935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D2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F7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B5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A18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64CA">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5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41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3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0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9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AD4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AAA3">
            <w:pPr>
              <w:jc w:val="center"/>
            </w:pPr>
            <w:r>
              <w:rPr>
                <w:rFonts w:ascii="宋体" w:hAnsi="宋体" w:eastAsia="宋体"/>
                <w:sz w:val="16"/>
              </w:rPr>
              <w:t>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E33B">
            <w:pPr>
              <w:jc w:val="center"/>
            </w:pPr>
            <w:r>
              <w:rPr>
                <w:rFonts w:ascii="宋体" w:hAnsi="宋体" w:eastAsia="宋体"/>
                <w:sz w:val="16"/>
              </w:rPr>
              <w:t>偏差原因：项目于2024年10月开始支付，剩余未付的88.2万元审计未验收。改进措施：等审计报告出来之后再进行支付。</w:t>
            </w:r>
          </w:p>
        </w:tc>
      </w:tr>
      <w:tr w14:paraId="281FF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0C9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952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180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1FF3">
            <w:pPr>
              <w:jc w:val="center"/>
            </w:pPr>
            <w:r>
              <w:rPr>
                <w:rFonts w:ascii="宋体" w:hAnsi="宋体" w:eastAsia="宋体"/>
                <w:sz w:val="16"/>
              </w:rPr>
              <w:t>建设工程费用（万元）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3767">
            <w:pPr>
              <w:jc w:val="center"/>
            </w:pPr>
            <w:r>
              <w:rPr>
                <w:rFonts w:ascii="宋体" w:hAnsi="宋体" w:eastAsia="宋体"/>
                <w:sz w:val="16"/>
              </w:rPr>
              <w:t>=281.34万元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FB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9F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3B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76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B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C0AD">
            <w:pPr>
              <w:jc w:val="center"/>
            </w:pPr>
            <w:r>
              <w:rPr>
                <w:rFonts w:ascii="宋体" w:hAnsi="宋体" w:eastAsia="宋体"/>
                <w:sz w:val="16"/>
              </w:rPr>
              <w:t>=182.42万元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1F8F">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7A914">
            <w:pPr>
              <w:jc w:val="center"/>
            </w:pPr>
            <w:r>
              <w:rPr>
                <w:rFonts w:ascii="宋体" w:hAnsi="宋体" w:eastAsia="宋体"/>
                <w:sz w:val="16"/>
              </w:rPr>
              <w:t>偏差原因：项目于2024年10月开始支付，剩余未付的88.2万元审计未验收。改进措施：等审计报告出来之后再进行支付。</w:t>
            </w:r>
          </w:p>
        </w:tc>
      </w:tr>
      <w:tr w14:paraId="12101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9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6F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54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314B">
            <w:pPr>
              <w:jc w:val="center"/>
            </w:pPr>
            <w:r>
              <w:rPr>
                <w:rFonts w:ascii="宋体" w:hAnsi="宋体" w:eastAsia="宋体"/>
                <w:sz w:val="16"/>
              </w:rPr>
              <w:t>工程建设其他费（万元）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AA1A">
            <w:pPr>
              <w:jc w:val="center"/>
            </w:pPr>
            <w:r>
              <w:rPr>
                <w:rFonts w:ascii="宋体" w:hAnsi="宋体" w:eastAsia="宋体"/>
                <w:sz w:val="16"/>
              </w:rPr>
              <w:t>&lt;=27.90万元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C9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CF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8C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91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3D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9265">
            <w:pPr>
              <w:jc w:val="center"/>
            </w:pPr>
            <w:r>
              <w:rPr>
                <w:rFonts w:ascii="宋体" w:hAnsi="宋体" w:eastAsia="宋体"/>
                <w:sz w:val="16"/>
              </w:rPr>
              <w:t>=27.9万元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770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CD81A">
            <w:pPr>
              <w:jc w:val="center"/>
            </w:pPr>
          </w:p>
        </w:tc>
      </w:tr>
      <w:tr w14:paraId="5F46A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77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2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537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C4DB">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FA87">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C0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A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2F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B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77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EE0A">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F7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6B07">
            <w:pPr>
              <w:jc w:val="center"/>
            </w:pPr>
          </w:p>
        </w:tc>
      </w:tr>
      <w:tr w14:paraId="4E517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A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4A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EA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E9FC">
            <w:pPr>
              <w:jc w:val="center"/>
            </w:pPr>
            <w:r>
              <w:rPr>
                <w:rFonts w:ascii="宋体" w:hAnsi="宋体" w:eastAsia="宋体"/>
                <w:sz w:val="16"/>
              </w:rPr>
              <w:t>有效提高医疗服务的能力和效率，改善医疗环境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58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0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F1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30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A0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D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A9D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14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4D6F5">
            <w:pPr>
              <w:jc w:val="center"/>
            </w:pPr>
            <w:r>
              <w:rPr>
                <w:rFonts w:ascii="宋体" w:hAnsi="宋体" w:eastAsia="宋体"/>
                <w:sz w:val="16"/>
              </w:rPr>
              <w:t>偏差原因：项目未达到年初目标值，故产生偏差；改进措施：加快项目实施进度</w:t>
            </w:r>
          </w:p>
        </w:tc>
      </w:tr>
      <w:tr w14:paraId="44706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21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BF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CF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425B">
            <w:pPr>
              <w:jc w:val="center"/>
            </w:pPr>
            <w:r>
              <w:rPr>
                <w:rFonts w:ascii="宋体" w:hAnsi="宋体" w:eastAsia="宋体"/>
                <w:sz w:val="16"/>
              </w:rPr>
              <w:t>受益医护及患者满意度（%）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44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8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64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3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BC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A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D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7F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8F7D7">
            <w:pPr>
              <w:jc w:val="center"/>
            </w:pPr>
            <w:r>
              <w:rPr>
                <w:rFonts w:ascii="宋体" w:hAnsi="宋体" w:eastAsia="宋体"/>
                <w:sz w:val="16"/>
              </w:rPr>
              <w:t>偏差原因：项目未达到年初目标值，故产生偏差；改进措施：加快项目实施进度</w:t>
            </w:r>
          </w:p>
        </w:tc>
      </w:tr>
      <w:tr w14:paraId="743D60C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A1D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87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4A0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5605">
            <w:pPr>
              <w:jc w:val="center"/>
            </w:pPr>
            <w:r>
              <w:rPr>
                <w:rFonts w:ascii="宋体" w:hAnsi="宋体" w:eastAsia="宋体"/>
                <w:sz w:val="16"/>
              </w:rPr>
              <w:t>51.8分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300BC7"/>
        </w:tc>
      </w:tr>
    </w:tbl>
    <w:p w14:paraId="2A9CC9CF">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0BA7071B">
        <w:tblPrEx>
          <w:tblCellMar>
            <w:top w:w="0" w:type="dxa"/>
            <w:left w:w="108" w:type="dxa"/>
            <w:bottom w:w="0" w:type="dxa"/>
            <w:right w:w="108" w:type="dxa"/>
          </w:tblCellMar>
        </w:tblPrEx>
        <w:tc>
          <w:tcPr>
            <w:tcW w:w="8848" w:type="dxa"/>
            <w:gridSpan w:val="14"/>
            <w:vAlign w:val="center"/>
          </w:tcPr>
          <w:p w14:paraId="62BF4D87">
            <w:pPr>
              <w:jc w:val="center"/>
            </w:pPr>
            <w:r>
              <w:rPr>
                <w:rFonts w:ascii="宋体" w:hAnsi="宋体" w:eastAsia="宋体"/>
                <w:sz w:val="24"/>
              </w:rPr>
              <w:t>项目支出绩效自评表</w:t>
            </w:r>
          </w:p>
        </w:tc>
      </w:tr>
      <w:tr w14:paraId="4E838D0B">
        <w:tblPrEx>
          <w:tblCellMar>
            <w:top w:w="0" w:type="dxa"/>
            <w:left w:w="108" w:type="dxa"/>
            <w:bottom w:w="0" w:type="dxa"/>
            <w:right w:w="108" w:type="dxa"/>
          </w:tblCellMar>
        </w:tblPrEx>
        <w:tc>
          <w:tcPr>
            <w:tcW w:w="8848" w:type="dxa"/>
            <w:gridSpan w:val="14"/>
            <w:vAlign w:val="center"/>
          </w:tcPr>
          <w:p w14:paraId="6AA84FC9">
            <w:pPr>
              <w:jc w:val="center"/>
            </w:pPr>
            <w:r>
              <w:rPr>
                <w:rFonts w:ascii="宋体" w:hAnsi="宋体" w:eastAsia="宋体"/>
                <w:sz w:val="24"/>
              </w:rPr>
              <w:t>(2024年度)</w:t>
            </w:r>
          </w:p>
        </w:tc>
      </w:tr>
      <w:tr w14:paraId="49B13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4F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399BA4">
            <w:pPr>
              <w:jc w:val="center"/>
            </w:pPr>
            <w:bookmarkStart w:id="0" w:name="_GoBack"/>
            <w:r>
              <w:rPr>
                <w:rFonts w:ascii="宋体" w:hAnsi="宋体" w:eastAsia="宋体"/>
                <w:sz w:val="16"/>
              </w:rPr>
              <w:t>新冠肺炎</w:t>
            </w:r>
            <w:bookmarkEnd w:id="0"/>
            <w:r>
              <w:rPr>
                <w:rFonts w:ascii="宋体" w:hAnsi="宋体" w:eastAsia="宋体"/>
                <w:sz w:val="16"/>
              </w:rPr>
              <w:t>疾病防治期间治疗药品费用项目</w:t>
            </w:r>
          </w:p>
        </w:tc>
      </w:tr>
      <w:tr w14:paraId="0CF87B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8D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923B1">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C1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30BDE2">
            <w:pPr>
              <w:jc w:val="center"/>
            </w:pPr>
            <w:r>
              <w:rPr>
                <w:rFonts w:ascii="宋体" w:hAnsi="宋体" w:eastAsia="宋体"/>
                <w:sz w:val="16"/>
              </w:rPr>
              <w:t>叶城县维吾尔医医院</w:t>
            </w:r>
          </w:p>
        </w:tc>
      </w:tr>
      <w:tr w14:paraId="7C8DB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5F2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E9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56D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450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E8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FB4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C2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B7C0">
            <w:pPr>
              <w:jc w:val="center"/>
            </w:pPr>
            <w:r>
              <w:rPr>
                <w:rFonts w:ascii="宋体" w:hAnsi="宋体" w:eastAsia="宋体"/>
                <w:sz w:val="16"/>
              </w:rPr>
              <w:t>得分</w:t>
            </w:r>
          </w:p>
        </w:tc>
      </w:tr>
      <w:tr w14:paraId="07BD5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5C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85C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7F9FD">
            <w:pPr>
              <w:jc w:val="center"/>
            </w:pPr>
            <w:r>
              <w:rPr>
                <w:rFonts w:ascii="宋体" w:hAnsi="宋体" w:eastAsia="宋体"/>
                <w:sz w:val="16"/>
              </w:rPr>
              <w:t>242.79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21EC">
            <w:pPr>
              <w:jc w:val="center"/>
            </w:pPr>
            <w:r>
              <w:rPr>
                <w:rFonts w:ascii="宋体" w:hAnsi="宋体" w:eastAsia="宋体"/>
                <w:sz w:val="16"/>
              </w:rPr>
              <w:t>242.79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CA79">
            <w:pPr>
              <w:jc w:val="center"/>
            </w:pPr>
            <w:r>
              <w:rPr>
                <w:rFonts w:ascii="宋体" w:hAnsi="宋体" w:eastAsia="宋体"/>
                <w:sz w:val="16"/>
              </w:rPr>
              <w:t>242.79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DB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612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0310">
            <w:pPr>
              <w:jc w:val="center"/>
            </w:pPr>
            <w:r>
              <w:rPr>
                <w:rFonts w:ascii="宋体" w:hAnsi="宋体" w:eastAsia="宋体"/>
                <w:sz w:val="16"/>
              </w:rPr>
              <w:t>10.00分</w:t>
            </w:r>
          </w:p>
        </w:tc>
      </w:tr>
      <w:tr w14:paraId="0C871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57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2A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BA4C">
            <w:pPr>
              <w:jc w:val="center"/>
            </w:pPr>
            <w:r>
              <w:rPr>
                <w:rFonts w:ascii="宋体" w:hAnsi="宋体" w:eastAsia="宋体"/>
                <w:sz w:val="16"/>
              </w:rPr>
              <w:t>242.79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9B80">
            <w:pPr>
              <w:jc w:val="center"/>
            </w:pPr>
            <w:r>
              <w:rPr>
                <w:rFonts w:ascii="宋体" w:hAnsi="宋体" w:eastAsia="宋体"/>
                <w:sz w:val="16"/>
              </w:rPr>
              <w:t>242.79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2FE35">
            <w:pPr>
              <w:jc w:val="center"/>
            </w:pPr>
            <w:r>
              <w:rPr>
                <w:rFonts w:ascii="宋体" w:hAnsi="宋体" w:eastAsia="宋体"/>
                <w:sz w:val="16"/>
              </w:rPr>
              <w:t>242.79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D0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C5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286B">
            <w:pPr>
              <w:jc w:val="center"/>
            </w:pPr>
            <w:r>
              <w:rPr>
                <w:rFonts w:ascii="宋体" w:hAnsi="宋体" w:eastAsia="宋体"/>
                <w:sz w:val="16"/>
              </w:rPr>
              <w:t>—</w:t>
            </w:r>
          </w:p>
        </w:tc>
      </w:tr>
      <w:tr w14:paraId="0F5BE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2F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30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B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5B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61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83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1B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C7E0">
            <w:pPr>
              <w:jc w:val="center"/>
            </w:pPr>
            <w:r>
              <w:rPr>
                <w:rFonts w:ascii="宋体" w:hAnsi="宋体" w:eastAsia="宋体"/>
                <w:sz w:val="16"/>
              </w:rPr>
              <w:t>—</w:t>
            </w:r>
          </w:p>
        </w:tc>
      </w:tr>
      <w:tr w14:paraId="32DE9F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44B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9D7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E8011">
            <w:pPr>
              <w:jc w:val="center"/>
            </w:pPr>
            <w:r>
              <w:rPr>
                <w:rFonts w:ascii="宋体" w:hAnsi="宋体" w:eastAsia="宋体"/>
                <w:sz w:val="16"/>
              </w:rPr>
              <w:t>实际完成情况</w:t>
            </w:r>
          </w:p>
        </w:tc>
      </w:tr>
      <w:tr w14:paraId="4353E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1E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20417">
            <w:pPr>
              <w:jc w:val="both"/>
            </w:pPr>
            <w:r>
              <w:rPr>
                <w:rFonts w:ascii="宋体" w:hAnsi="宋体" w:eastAsia="宋体"/>
                <w:sz w:val="16"/>
              </w:rPr>
              <w:t>该项目计划投入资金242.79万元，主要用于支付2022新冠感染防控期间治疗药品费用，保障各项业务工作正常开展，提高了我院防控工作方面的工作效率，确保有序开展全县中药汤剂的供应工作，进一步做好了中药汤剂生产及供应工作，促</w:t>
            </w:r>
            <w:r>
              <w:rPr>
                <w:rFonts w:hint="eastAsia" w:ascii="宋体" w:hAnsi="宋体"/>
                <w:sz w:val="16"/>
                <w:lang w:eastAsia="zh-CN"/>
              </w:rPr>
              <w:t>进了</w:t>
            </w:r>
            <w:r>
              <w:rPr>
                <w:rFonts w:ascii="宋体" w:hAnsi="宋体" w:eastAsia="宋体"/>
                <w:sz w:val="16"/>
              </w:rPr>
              <w:t>我县经济发展，维护社会和谐稳定。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8E212">
            <w:pPr>
              <w:jc w:val="both"/>
            </w:pPr>
            <w:r>
              <w:rPr>
                <w:rFonts w:hint="eastAsia" w:ascii="宋体" w:hAnsi="宋体"/>
                <w:sz w:val="16"/>
                <w:lang w:eastAsia="zh-CN"/>
              </w:rPr>
              <w:t>截至2024</w:t>
            </w:r>
            <w:r>
              <w:rPr>
                <w:rFonts w:ascii="宋体" w:hAnsi="宋体" w:eastAsia="宋体"/>
                <w:sz w:val="16"/>
              </w:rPr>
              <w:t>年8月30日，该项目预算资金242.79万元，到位资金242.79万元，资金到位率100%，已支付242.79万元，资金执行率100%，主要用于支付2022新冠感染防控期间治疗药品费用，保障各项业务工作正常开展，提高了我院防控工作方面的工作效率，确保有序开展全县中药汤剂的供应工作，进一步做好了中药汤剂生产及供应工作，促进我县经济发展，维护社会和谐稳定。</w:t>
            </w:r>
          </w:p>
        </w:tc>
      </w:tr>
      <w:tr w14:paraId="3ECA2C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930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8C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29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A4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C2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6D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3C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05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8E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E0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1E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76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07797">
            <w:pPr>
              <w:jc w:val="center"/>
            </w:pPr>
            <w:r>
              <w:rPr>
                <w:rFonts w:ascii="宋体" w:hAnsi="宋体" w:eastAsia="宋体"/>
                <w:sz w:val="16"/>
              </w:rPr>
              <w:t>偏差原因分析及改进措施</w:t>
            </w:r>
          </w:p>
        </w:tc>
      </w:tr>
      <w:tr w14:paraId="40268E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1BC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2004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36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0E66">
            <w:pPr>
              <w:jc w:val="center"/>
            </w:pPr>
            <w:r>
              <w:rPr>
                <w:rFonts w:ascii="宋体" w:hAnsi="宋体" w:eastAsia="宋体"/>
                <w:sz w:val="16"/>
              </w:rPr>
              <w:t>新冠肺炎疾病防治期间购买治疗药品（批）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CAC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8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7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3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2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0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714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F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B06E">
            <w:pPr>
              <w:jc w:val="center"/>
            </w:pPr>
          </w:p>
        </w:tc>
      </w:tr>
      <w:tr w14:paraId="4F670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4F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19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3C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CDE5">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B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0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A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B8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8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F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E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2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BE402">
            <w:pPr>
              <w:jc w:val="center"/>
            </w:pPr>
          </w:p>
        </w:tc>
      </w:tr>
      <w:tr w14:paraId="758F4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E7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21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DB9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A46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1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9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0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CE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3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6A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3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98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7DDA">
            <w:pPr>
              <w:jc w:val="center"/>
            </w:pPr>
          </w:p>
        </w:tc>
      </w:tr>
      <w:tr w14:paraId="0EAB2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3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CAB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D5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C03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04C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5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FE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7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E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589B">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A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5C6A7">
            <w:pPr>
              <w:jc w:val="center"/>
            </w:pPr>
          </w:p>
        </w:tc>
      </w:tr>
      <w:tr w14:paraId="5B485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24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E74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84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E1EF">
            <w:pPr>
              <w:jc w:val="center"/>
            </w:pPr>
            <w:r>
              <w:rPr>
                <w:rFonts w:ascii="宋体" w:hAnsi="宋体" w:eastAsia="宋体"/>
                <w:sz w:val="16"/>
              </w:rPr>
              <w:t>新冠肺炎疾病防治期间治疗药品总费用（万元）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D44C">
            <w:pPr>
              <w:jc w:val="center"/>
            </w:pPr>
            <w:r>
              <w:rPr>
                <w:rFonts w:ascii="宋体" w:hAnsi="宋体" w:eastAsia="宋体"/>
                <w:sz w:val="16"/>
              </w:rPr>
              <w:t>&lt;=242.79万元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E1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EF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BA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3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8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5F4A">
            <w:pPr>
              <w:jc w:val="center"/>
            </w:pPr>
            <w:r>
              <w:rPr>
                <w:rFonts w:ascii="宋体" w:hAnsi="宋体" w:eastAsia="宋体"/>
                <w:sz w:val="16"/>
              </w:rPr>
              <w:t>=242.79万元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59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A37A">
            <w:pPr>
              <w:jc w:val="center"/>
            </w:pPr>
          </w:p>
        </w:tc>
      </w:tr>
      <w:tr w14:paraId="0AF2A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83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BA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0E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0A98">
            <w:pPr>
              <w:jc w:val="center"/>
            </w:pPr>
            <w:r>
              <w:rPr>
                <w:rFonts w:ascii="宋体" w:hAnsi="宋体" w:eastAsia="宋体"/>
                <w:sz w:val="16"/>
              </w:rPr>
              <w:t>提高我院疾病防治工作方面的工作效率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01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3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F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9F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F9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78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E2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AB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368D">
            <w:pPr>
              <w:jc w:val="center"/>
            </w:pPr>
          </w:p>
        </w:tc>
      </w:tr>
      <w:tr w14:paraId="51DEF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8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3F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F6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07B6">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B3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1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5D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E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D4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A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42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C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8792">
            <w:pPr>
              <w:jc w:val="center"/>
            </w:pPr>
          </w:p>
        </w:tc>
      </w:tr>
      <w:tr w14:paraId="5732206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C80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03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C55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988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8A4036"/>
        </w:tc>
      </w:tr>
    </w:tbl>
    <w:p w14:paraId="78468EA7">
      <w:r>
        <w:br w:type="page"/>
      </w:r>
    </w:p>
    <w:p w14:paraId="35E1164C">
      <w:pPr>
        <w:spacing w:line="640" w:lineRule="exact"/>
        <w:ind w:firstLine="640"/>
        <w:jc w:val="both"/>
        <w:outlineLvl w:val="2"/>
      </w:pPr>
      <w:r>
        <w:rPr>
          <w:rFonts w:ascii="黑体" w:hAnsi="黑体" w:eastAsia="黑体"/>
          <w:sz w:val="32"/>
        </w:rPr>
        <w:t>十二、其他需说明的事项</w:t>
      </w:r>
    </w:p>
    <w:p w14:paraId="61560C47">
      <w:pPr>
        <w:spacing w:line="580" w:lineRule="exact"/>
        <w:ind w:firstLine="640"/>
        <w:jc w:val="both"/>
      </w:pPr>
      <w:r>
        <w:rPr>
          <w:rFonts w:ascii="仿宋_GB2312" w:hAnsi="仿宋_GB2312" w:eastAsia="仿宋_GB2312"/>
          <w:b w:val="0"/>
          <w:sz w:val="32"/>
        </w:rPr>
        <w:t>本单位无其他需说明的事项。</w:t>
      </w:r>
    </w:p>
    <w:p w14:paraId="45795976">
      <w:r>
        <w:br w:type="page"/>
      </w:r>
    </w:p>
    <w:p w14:paraId="6512B393">
      <w:pPr>
        <w:spacing w:line="240" w:lineRule="auto"/>
        <w:jc w:val="center"/>
        <w:outlineLvl w:val="1"/>
      </w:pPr>
      <w:r>
        <w:rPr>
          <w:rFonts w:ascii="黑体" w:hAnsi="黑体" w:eastAsia="黑体"/>
          <w:sz w:val="32"/>
        </w:rPr>
        <w:t>第三部分 专业名词解释</w:t>
      </w:r>
    </w:p>
    <w:p w14:paraId="6FCF37D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07F6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84DD1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44A8B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325C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690AC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401AF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6208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58001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B411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2626F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FF1A2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87A28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85A8B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D12E81">
      <w:r>
        <w:br w:type="page"/>
      </w:r>
    </w:p>
    <w:p w14:paraId="2E8A14F4">
      <w:pPr>
        <w:spacing w:line="240" w:lineRule="auto"/>
        <w:jc w:val="center"/>
        <w:outlineLvl w:val="1"/>
      </w:pPr>
      <w:r>
        <w:rPr>
          <w:rFonts w:ascii="黑体" w:hAnsi="黑体" w:eastAsia="黑体"/>
          <w:sz w:val="32"/>
        </w:rPr>
        <w:t>第四部分 部门决算报表（见附表）</w:t>
      </w:r>
    </w:p>
    <w:p w14:paraId="7FE96004">
      <w:pPr>
        <w:spacing w:line="240" w:lineRule="auto"/>
        <w:ind w:firstLine="640"/>
        <w:jc w:val="both"/>
      </w:pPr>
      <w:r>
        <w:rPr>
          <w:rFonts w:ascii="仿宋_GB2312" w:hAnsi="仿宋_GB2312" w:eastAsia="仿宋_GB2312"/>
          <w:b w:val="0"/>
          <w:sz w:val="32"/>
        </w:rPr>
        <w:t>一、《收入支出决算总表》</w:t>
      </w:r>
    </w:p>
    <w:p w14:paraId="7B86BA70">
      <w:pPr>
        <w:spacing w:line="240" w:lineRule="auto"/>
        <w:ind w:firstLine="640"/>
        <w:jc w:val="both"/>
      </w:pPr>
      <w:r>
        <w:rPr>
          <w:rFonts w:ascii="仿宋_GB2312" w:hAnsi="仿宋_GB2312" w:eastAsia="仿宋_GB2312"/>
          <w:b w:val="0"/>
          <w:sz w:val="32"/>
        </w:rPr>
        <w:t>二、《收入决算表》</w:t>
      </w:r>
    </w:p>
    <w:p w14:paraId="7334F596">
      <w:pPr>
        <w:spacing w:line="240" w:lineRule="auto"/>
        <w:ind w:firstLine="640"/>
        <w:jc w:val="both"/>
      </w:pPr>
      <w:r>
        <w:rPr>
          <w:rFonts w:ascii="仿宋_GB2312" w:hAnsi="仿宋_GB2312" w:eastAsia="仿宋_GB2312"/>
          <w:b w:val="0"/>
          <w:sz w:val="32"/>
        </w:rPr>
        <w:t>三、《支出决算表》</w:t>
      </w:r>
    </w:p>
    <w:p w14:paraId="17D5924C">
      <w:pPr>
        <w:spacing w:line="240" w:lineRule="auto"/>
        <w:ind w:firstLine="640"/>
        <w:jc w:val="both"/>
      </w:pPr>
      <w:r>
        <w:rPr>
          <w:rFonts w:ascii="仿宋_GB2312" w:hAnsi="仿宋_GB2312" w:eastAsia="仿宋_GB2312"/>
          <w:b w:val="0"/>
          <w:sz w:val="32"/>
        </w:rPr>
        <w:t>四、《财政拨款收入支出决算总表》</w:t>
      </w:r>
    </w:p>
    <w:p w14:paraId="7AD8395C">
      <w:pPr>
        <w:spacing w:line="240" w:lineRule="auto"/>
        <w:ind w:firstLine="640"/>
        <w:jc w:val="both"/>
      </w:pPr>
      <w:r>
        <w:rPr>
          <w:rFonts w:ascii="仿宋_GB2312" w:hAnsi="仿宋_GB2312" w:eastAsia="仿宋_GB2312"/>
          <w:b w:val="0"/>
          <w:sz w:val="32"/>
        </w:rPr>
        <w:t>五、《一般公共预算财政拨款支出决算表》</w:t>
      </w:r>
    </w:p>
    <w:p w14:paraId="1960A004">
      <w:pPr>
        <w:spacing w:line="240" w:lineRule="auto"/>
        <w:ind w:firstLine="640"/>
        <w:jc w:val="both"/>
      </w:pPr>
      <w:r>
        <w:rPr>
          <w:rFonts w:ascii="仿宋_GB2312" w:hAnsi="仿宋_GB2312" w:eastAsia="仿宋_GB2312"/>
          <w:b w:val="0"/>
          <w:sz w:val="32"/>
        </w:rPr>
        <w:t>六、《一般公共预算财政拨款基本支出决算表》</w:t>
      </w:r>
    </w:p>
    <w:p w14:paraId="6B38FCCF">
      <w:pPr>
        <w:spacing w:line="240" w:lineRule="auto"/>
        <w:ind w:firstLine="640"/>
        <w:jc w:val="both"/>
      </w:pPr>
      <w:r>
        <w:rPr>
          <w:rFonts w:ascii="仿宋_GB2312" w:hAnsi="仿宋_GB2312" w:eastAsia="仿宋_GB2312"/>
          <w:b w:val="0"/>
          <w:sz w:val="32"/>
        </w:rPr>
        <w:t>七、《政府性基金预算财政拨款收入支出决算表》</w:t>
      </w:r>
    </w:p>
    <w:p w14:paraId="7A1B375B">
      <w:pPr>
        <w:spacing w:line="240" w:lineRule="auto"/>
        <w:ind w:firstLine="640"/>
        <w:jc w:val="both"/>
      </w:pPr>
      <w:r>
        <w:rPr>
          <w:rFonts w:ascii="仿宋_GB2312" w:hAnsi="仿宋_GB2312" w:eastAsia="仿宋_GB2312"/>
          <w:b w:val="0"/>
          <w:sz w:val="32"/>
        </w:rPr>
        <w:t>八、《国有资本经营预算财政拨款收入支出决算表》</w:t>
      </w:r>
    </w:p>
    <w:p w14:paraId="7127049D">
      <w:pPr>
        <w:spacing w:line="240" w:lineRule="auto"/>
        <w:ind w:firstLine="640"/>
        <w:jc w:val="both"/>
      </w:pPr>
      <w:r>
        <w:rPr>
          <w:rFonts w:ascii="仿宋_GB2312" w:hAnsi="仿宋_GB2312" w:eastAsia="仿宋_GB2312"/>
          <w:b w:val="0"/>
          <w:sz w:val="32"/>
        </w:rPr>
        <w:t>九、《财政拨款“三公”经费支出决算表》</w:t>
      </w:r>
    </w:p>
    <w:p w14:paraId="13661C01">
      <w:pPr>
        <w:spacing w:line="240" w:lineRule="auto"/>
        <w:ind w:firstLine="640"/>
        <w:jc w:val="both"/>
      </w:pPr>
    </w:p>
    <w:p w14:paraId="76801E95">
      <w:pPr>
        <w:spacing w:line="240" w:lineRule="auto"/>
        <w:ind w:firstLine="640"/>
        <w:jc w:val="both"/>
      </w:pPr>
    </w:p>
    <w:p w14:paraId="53472ADF">
      <w:pPr>
        <w:spacing w:line="240" w:lineRule="auto"/>
        <w:ind w:firstLine="640"/>
        <w:jc w:val="both"/>
      </w:pPr>
    </w:p>
    <w:p w14:paraId="37406CA5">
      <w:pPr>
        <w:spacing w:line="240" w:lineRule="auto"/>
        <w:ind w:firstLine="640"/>
        <w:jc w:val="both"/>
      </w:pPr>
    </w:p>
    <w:p w14:paraId="5D14538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7C1113-9406-4A12-823E-3B846DB36F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456CA9A-E078-46F0-AE26-072E1802226E}"/>
  </w:font>
  <w:font w:name="仿宋_GB2312">
    <w:panose1 w:val="02010609030101010101"/>
    <w:charset w:val="86"/>
    <w:family w:val="modern"/>
    <w:pitch w:val="default"/>
    <w:sig w:usb0="00000001" w:usb1="080E0000" w:usb2="00000000" w:usb3="00000000" w:csb0="00040000" w:csb1="00000000"/>
    <w:embedRegular r:id="rId3" w:fontKey="{F5DDC83D-465A-4410-84AD-563BCCA48DA6}"/>
  </w:font>
  <w:font w:name="楷体_GB2312">
    <w:panose1 w:val="02010609030101010101"/>
    <w:charset w:val="86"/>
    <w:family w:val="auto"/>
    <w:pitch w:val="default"/>
    <w:sig w:usb0="00000001" w:usb1="080E0000" w:usb2="00000000" w:usb3="00000000" w:csb0="00040000" w:csb1="00000000"/>
    <w:embedRegular r:id="rId4" w:fontKey="{68437875-5028-4BD3-A747-A504CDC3D95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6E78D6"/>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C22E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5497</Words>
  <Characters>6346</Characters>
  <Lines>0</Lines>
  <Paragraphs>0</Paragraphs>
  <TotalTime>11</TotalTime>
  <ScaleCrop>false</ScaleCrop>
  <LinksUpToDate>false</LinksUpToDate>
  <CharactersWithSpaces>6354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