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sz w:val="32"/>
          <w:szCs w:val="32"/>
        </w:rPr>
        <w:t>附件1：</w:t>
      </w:r>
    </w:p>
    <w:p>
      <w:pPr>
        <w:spacing w:line="560" w:lineRule="exact"/>
        <w:jc w:val="center"/>
        <w:rPr>
          <w:rFonts w:ascii="仿宋_GB2312" w:hAnsi="宋体" w:eastAsia="仿宋_GB2312"/>
          <w:b/>
          <w:sz w:val="44"/>
          <w:szCs w:val="44"/>
        </w:rPr>
      </w:pPr>
      <w:r>
        <w:rPr>
          <w:rFonts w:hint="eastAsia" w:ascii="仿宋_GB2312" w:hAnsi="宋体" w:eastAsia="仿宋_GB2312"/>
          <w:b/>
          <w:sz w:val="44"/>
          <w:szCs w:val="44"/>
        </w:rPr>
        <w:t>　　2016年喀什地区叶城县农业技术推广站部门决算说明</w:t>
      </w:r>
    </w:p>
    <w:p>
      <w:pPr>
        <w:spacing w:line="560" w:lineRule="exact"/>
        <w:jc w:val="center"/>
        <w:rPr>
          <w:rFonts w:ascii="仿宋_GB2312" w:hAnsi="宋体" w:eastAsia="仿宋_GB2312"/>
          <w:b/>
          <w:sz w:val="32"/>
          <w:szCs w:val="32"/>
        </w:rPr>
      </w:pPr>
    </w:p>
    <w:p>
      <w:pPr>
        <w:spacing w:line="560" w:lineRule="exact"/>
        <w:ind w:firstLine="643" w:firstLineChars="200"/>
        <w:jc w:val="center"/>
        <w:rPr>
          <w:rFonts w:ascii="仿宋_GB2312" w:hAnsi="宋体" w:eastAsia="仿宋_GB2312"/>
          <w:sz w:val="32"/>
          <w:szCs w:val="32"/>
        </w:rPr>
      </w:pPr>
      <w:bookmarkStart w:id="0" w:name="YS060102"/>
      <w:r>
        <w:rPr>
          <w:rFonts w:hint="eastAsia" w:ascii="仿宋_GB2312" w:eastAsia="仿宋_GB2312" w:cs="??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单位性质为全额事业管理事业单位，全额拨款，执行会计制度为事业会计制度。独立编制机构1个，独立编制机构与上年无变动。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_GB2312"/>
          <w:sz w:val="32"/>
          <w:szCs w:val="32"/>
        </w:rPr>
        <w:t>一、</w:t>
      </w:r>
      <w:r>
        <w:rPr>
          <w:rFonts w:hint="eastAsia" w:ascii="仿宋_GB2312" w:hAnsi="宋体" w:eastAsia="仿宋_GB2312"/>
          <w:sz w:val="32"/>
          <w:szCs w:val="32"/>
        </w:rPr>
        <w:t>主要职能：</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承担着参与制定全县农村经济工作发展规划，并将农业科研成果及使用技术应用于农业生产；组织全县农业技术的专业培训，提高科技在农业生产中的含量；指导全县农业生产技术应用、各种作物病虫害预测预报及综合防治，植物病虫检疫，土壤肥力监测及制定配方施肥方案，提供农业技术信息服务；对作物新品种、栽培新技术、新农药及肥料进行试验、示范、推广，为农业生产持续健康发展提供可靠依据。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20人，按照编委文件填报，实际实有在职人数19人，属于一般公共预算财政拨款开支4人，一般公共预算财政补助开支15人。2015年退休15人，2016年无退休人员，比2015年减少15人，原因：实施机关事业单位养老保险改革退休人员纳入社保局统一管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纳入叶城县农业技术推广站2016年部门决算编制范围的单位名单见下表：</w:t>
      </w:r>
    </w:p>
    <w:tbl>
      <w:tblPr>
        <w:tblStyle w:val="7"/>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5"/>
        <w:gridCol w:w="4111"/>
        <w:gridCol w:w="2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1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411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496"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411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叶城县农业技术推广站</w:t>
            </w:r>
          </w:p>
        </w:tc>
        <w:tc>
          <w:tcPr>
            <w:tcW w:w="2496" w:type="dxa"/>
          </w:tcPr>
          <w:p>
            <w:pPr>
              <w:spacing w:line="560" w:lineRule="exact"/>
              <w:ind w:firstLine="640" w:firstLineChars="200"/>
              <w:rPr>
                <w:rFonts w:ascii="仿宋_GB2312" w:hAnsi="宋体" w:eastAsia="仿宋_GB2312"/>
                <w:sz w:val="32"/>
                <w:szCs w:val="32"/>
              </w:rPr>
            </w:pPr>
          </w:p>
        </w:tc>
      </w:tr>
    </w:tbl>
    <w:p>
      <w:pPr>
        <w:pStyle w:val="6"/>
        <w:shd w:val="clear" w:color="auto" w:fill="FFFFFF"/>
        <w:spacing w:before="0" w:beforeAutospacing="0" w:after="0" w:line="560" w:lineRule="exact"/>
        <w:ind w:firstLine="627" w:firstLineChars="196"/>
        <w:jc w:val="both"/>
        <w:rPr>
          <w:rFonts w:ascii="仿宋_GB2312" w:eastAsia="仿宋_GB2312" w:cs="Times New Roman"/>
          <w:kern w:val="2"/>
          <w:sz w:val="32"/>
          <w:szCs w:val="32"/>
        </w:rPr>
      </w:pPr>
      <w:r>
        <w:rPr>
          <w:rFonts w:hint="eastAsia" w:ascii="仿宋_GB2312" w:eastAsia="仿宋_GB2312" w:cs="Times New Roman"/>
          <w:kern w:val="2"/>
          <w:sz w:val="32"/>
          <w:szCs w:val="32"/>
        </w:rPr>
        <w:t>四、机构设置</w:t>
      </w:r>
    </w:p>
    <w:p>
      <w:pPr>
        <w:pStyle w:val="14"/>
        <w:spacing w:after="0" w:line="560" w:lineRule="exact"/>
        <w:ind w:firstLine="640" w:firstLineChars="200"/>
        <w:jc w:val="both"/>
        <w:rPr>
          <w:rFonts w:ascii="仿宋_GB2312" w:eastAsia="仿宋_GB2312" w:cs="Times New Roman"/>
          <w:b w:val="0"/>
          <w:bCs w:val="0"/>
          <w:color w:val="auto"/>
          <w:kern w:val="2"/>
          <w:sz w:val="32"/>
          <w:szCs w:val="32"/>
        </w:rPr>
      </w:pPr>
      <w:r>
        <w:rPr>
          <w:rFonts w:hint="eastAsia" w:ascii="仿宋_GB2312" w:eastAsia="仿宋_GB2312" w:cs="Times New Roman"/>
          <w:b w:val="0"/>
          <w:bCs w:val="0"/>
          <w:color w:val="auto"/>
          <w:kern w:val="2"/>
          <w:sz w:val="32"/>
          <w:szCs w:val="32"/>
        </w:rPr>
        <w:t>根据职责，纳入2016年部门预算编制范围的有3个内设机构。</w:t>
      </w:r>
    </w:p>
    <w:p>
      <w:pPr>
        <w:pStyle w:val="14"/>
        <w:spacing w:after="0" w:line="560" w:lineRule="exact"/>
        <w:ind w:firstLine="640" w:firstLineChars="200"/>
        <w:jc w:val="both"/>
        <w:rPr>
          <w:rFonts w:ascii="仿宋_GB2312" w:eastAsia="仿宋_GB2312" w:cs="Times New Roman"/>
          <w:b w:val="0"/>
          <w:bCs w:val="0"/>
          <w:color w:val="auto"/>
          <w:kern w:val="2"/>
          <w:sz w:val="32"/>
          <w:szCs w:val="32"/>
        </w:rPr>
      </w:pPr>
      <w:r>
        <w:rPr>
          <w:rFonts w:hint="eastAsia" w:ascii="仿宋_GB2312" w:eastAsia="仿宋_GB2312" w:cs="Times New Roman"/>
          <w:b w:val="0"/>
          <w:bCs w:val="0"/>
          <w:color w:val="auto"/>
          <w:kern w:val="2"/>
          <w:sz w:val="32"/>
          <w:szCs w:val="32"/>
        </w:rPr>
        <w:t>1、植保股</w:t>
      </w:r>
    </w:p>
    <w:p>
      <w:pPr>
        <w:pStyle w:val="6"/>
        <w:shd w:val="clear" w:color="auto" w:fill="FFFFFF"/>
        <w:spacing w:before="0" w:beforeAutospacing="0" w:after="0" w:line="560" w:lineRule="exact"/>
        <w:ind w:firstLine="627" w:firstLineChars="196"/>
        <w:jc w:val="both"/>
        <w:rPr>
          <w:rFonts w:ascii="仿宋_GB2312" w:eastAsia="仿宋_GB2312" w:cs="Times New Roman"/>
          <w:kern w:val="2"/>
          <w:sz w:val="32"/>
          <w:szCs w:val="32"/>
        </w:rPr>
      </w:pPr>
      <w:r>
        <w:rPr>
          <w:rFonts w:hint="eastAsia" w:ascii="仿宋_GB2312" w:eastAsia="仿宋_GB2312" w:cs="Times New Roman"/>
          <w:kern w:val="2"/>
          <w:sz w:val="32"/>
          <w:szCs w:val="32"/>
        </w:rPr>
        <w:t>负责指导全县各种作物病虫害预测预报及综合防治，植物病</w:t>
      </w:r>
      <w:r>
        <w:rPr>
          <w:rFonts w:hint="eastAsia" w:ascii="仿宋_GB2312" w:eastAsia="仿宋_GB2312" w:cs="Times New Roman"/>
          <w:b/>
          <w:bCs/>
          <w:kern w:val="2"/>
          <w:sz w:val="32"/>
          <w:szCs w:val="32"/>
        </w:rPr>
        <w:t>虫</w:t>
      </w:r>
      <w:r>
        <w:rPr>
          <w:rFonts w:hint="eastAsia" w:ascii="仿宋_GB2312" w:eastAsia="仿宋_GB2312" w:cs="Times New Roman"/>
          <w:kern w:val="2"/>
          <w:sz w:val="32"/>
          <w:szCs w:val="32"/>
        </w:rPr>
        <w:t>检疫。根据病、虫、草、鼠害发生规律及我县实际，密切监测其发生动态；准确及时地对全县粮棉、林果、蔬菜等作物病虫害发生情况进行预测预报，制定防治预案及措施并组织实施，确保全年农业增效、农民增收。</w:t>
      </w:r>
    </w:p>
    <w:p>
      <w:pPr>
        <w:pStyle w:val="6"/>
        <w:shd w:val="clear" w:color="auto" w:fill="FFFFFF"/>
        <w:spacing w:before="0" w:beforeAutospacing="0" w:after="0" w:line="560" w:lineRule="exact"/>
        <w:ind w:firstLine="627" w:firstLineChars="196"/>
        <w:jc w:val="both"/>
        <w:rPr>
          <w:rFonts w:ascii="仿宋_GB2312" w:eastAsia="仿宋_GB2312" w:cs="Times New Roman"/>
          <w:kern w:val="2"/>
          <w:sz w:val="32"/>
          <w:szCs w:val="32"/>
        </w:rPr>
      </w:pPr>
      <w:r>
        <w:rPr>
          <w:rFonts w:hint="eastAsia" w:ascii="仿宋_GB2312" w:eastAsia="仿宋_GB2312" w:cs="Times New Roman"/>
          <w:kern w:val="2"/>
          <w:sz w:val="32"/>
          <w:szCs w:val="32"/>
        </w:rPr>
        <w:t>2、土肥股</w:t>
      </w:r>
    </w:p>
    <w:p>
      <w:pPr>
        <w:pStyle w:val="6"/>
        <w:shd w:val="clear" w:color="auto" w:fill="FFFFFF"/>
        <w:spacing w:before="0" w:beforeAutospacing="0" w:after="0" w:line="560" w:lineRule="exact"/>
        <w:ind w:firstLine="627" w:firstLineChars="196"/>
        <w:jc w:val="both"/>
        <w:rPr>
          <w:rFonts w:ascii="仿宋_GB2312" w:eastAsia="仿宋_GB2312" w:cs="Times New Roman"/>
          <w:kern w:val="2"/>
          <w:sz w:val="32"/>
          <w:szCs w:val="32"/>
        </w:rPr>
      </w:pPr>
      <w:r>
        <w:rPr>
          <w:rFonts w:hint="eastAsia" w:ascii="仿宋_GB2312" w:eastAsia="仿宋_GB2312" w:cs="Times New Roman"/>
          <w:kern w:val="2"/>
          <w:sz w:val="32"/>
          <w:szCs w:val="32"/>
        </w:rPr>
        <w:t>负责指导全县土壤肥力监测及制定配方施肥方案。按照《叶城县测土配方施肥补贴项目实施方案》，与项目建设乡镇及相关部门协作、积极开展宣传、培训、肥料田间试验、土样采集、化验分析，制定配方、发放配方卡、建立测土配方施肥示范户、示范田等各项工作，按项目要求认真组织实施，达到项目预期经济效益、社会效益、生态效益。</w:t>
      </w:r>
    </w:p>
    <w:p>
      <w:pPr>
        <w:pStyle w:val="6"/>
        <w:shd w:val="clear" w:color="auto" w:fill="FFFFFF"/>
        <w:spacing w:before="0" w:beforeAutospacing="0" w:after="0" w:line="560" w:lineRule="exact"/>
        <w:ind w:firstLine="627" w:firstLineChars="196"/>
        <w:jc w:val="both"/>
        <w:rPr>
          <w:rFonts w:ascii="仿宋_GB2312" w:eastAsia="仿宋_GB2312" w:cs="Times New Roman"/>
          <w:kern w:val="2"/>
          <w:sz w:val="32"/>
          <w:szCs w:val="32"/>
        </w:rPr>
      </w:pPr>
      <w:r>
        <w:rPr>
          <w:rFonts w:hint="eastAsia" w:ascii="仿宋_GB2312" w:eastAsia="仿宋_GB2312" w:cs="Times New Roman"/>
          <w:kern w:val="2"/>
          <w:sz w:val="32"/>
          <w:szCs w:val="32"/>
        </w:rPr>
        <w:t>3、农业股</w:t>
      </w:r>
    </w:p>
    <w:p>
      <w:pPr>
        <w:pStyle w:val="6"/>
        <w:shd w:val="clear" w:color="auto" w:fill="FFFFFF"/>
        <w:spacing w:before="0" w:beforeAutospacing="0" w:after="0" w:line="560" w:lineRule="exact"/>
        <w:ind w:firstLine="627" w:firstLineChars="196"/>
        <w:jc w:val="both"/>
        <w:rPr>
          <w:rFonts w:ascii="仿宋_GB2312" w:eastAsia="仿宋_GB2312" w:cs="Times New Roman"/>
          <w:kern w:val="2"/>
          <w:sz w:val="32"/>
          <w:szCs w:val="32"/>
        </w:rPr>
      </w:pPr>
      <w:r>
        <w:rPr>
          <w:rFonts w:hint="eastAsia" w:ascii="仿宋_GB2312" w:eastAsia="仿宋_GB2312" w:cs="Times New Roman"/>
          <w:kern w:val="2"/>
          <w:sz w:val="32"/>
          <w:szCs w:val="32"/>
        </w:rPr>
        <w:t>负责组织全县农业技术的专业培训，提高科技在农业生</w:t>
      </w:r>
    </w:p>
    <w:p>
      <w:pPr>
        <w:pStyle w:val="6"/>
        <w:shd w:val="clear" w:color="auto" w:fill="FFFFFF"/>
        <w:spacing w:before="0" w:beforeAutospacing="0" w:after="0" w:line="560" w:lineRule="exact"/>
        <w:ind w:firstLine="627" w:firstLineChars="196"/>
        <w:jc w:val="both"/>
        <w:rPr>
          <w:rFonts w:ascii="仿宋_GB2312" w:eastAsia="仿宋_GB2312" w:cs="Times New Roman"/>
          <w:kern w:val="2"/>
          <w:sz w:val="32"/>
          <w:szCs w:val="32"/>
        </w:rPr>
      </w:pPr>
      <w:r>
        <w:rPr>
          <w:rFonts w:hint="eastAsia" w:ascii="仿宋_GB2312" w:eastAsia="仿宋_GB2312" w:cs="Times New Roman"/>
          <w:kern w:val="2"/>
          <w:sz w:val="32"/>
          <w:szCs w:val="32"/>
        </w:rPr>
        <w:t>产中的含量；指导全县农业生产技术应用、对作物新品种、栽培新技术、新农药及肥料进行试验、示范、推广，为农业生产持续健康发展提供可靠依据。</w:t>
      </w:r>
    </w:p>
    <w:p>
      <w:pPr>
        <w:pStyle w:val="6"/>
        <w:shd w:val="clear" w:color="auto" w:fill="FFFFFF"/>
        <w:spacing w:before="0" w:beforeAutospacing="0" w:after="0" w:line="560" w:lineRule="exact"/>
        <w:ind w:firstLine="627" w:firstLineChars="196"/>
        <w:jc w:val="both"/>
        <w:rPr>
          <w:rFonts w:ascii="仿宋_GB2312" w:eastAsia="仿宋_GB2312" w:cs="Times New Roman"/>
          <w:kern w:val="2"/>
          <w:sz w:val="32"/>
          <w:szCs w:val="32"/>
        </w:rPr>
      </w:pP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第二部分   叶城县农业技术推广站2016年度部门决算</w:t>
      </w:r>
    </w:p>
    <w:p>
      <w:pPr>
        <w:spacing w:line="560" w:lineRule="exact"/>
        <w:ind w:firstLine="643" w:firstLineChars="200"/>
        <w:jc w:val="center"/>
        <w:rPr>
          <w:rFonts w:ascii="仿宋_GB2312" w:hAnsi="宋体" w:eastAsia="仿宋_GB2312"/>
          <w:b/>
          <w:sz w:val="32"/>
          <w:szCs w:val="32"/>
        </w:rPr>
      </w:pPr>
      <w:r>
        <w:rPr>
          <w:rFonts w:hint="eastAsia" w:ascii="仿宋_GB2312" w:hAnsi="宋体" w:eastAsia="仿宋_GB2312"/>
          <w:b/>
          <w:sz w:val="32"/>
          <w:szCs w:val="32"/>
        </w:rPr>
        <w:t>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w:t>
      </w:r>
      <w:r>
        <w:rPr>
          <w:rFonts w:hint="eastAsia" w:ascii="仿宋_GB2312" w:hAnsi="宋体" w:eastAsia="仿宋_GB2312" w:cs="仿宋_GB2312"/>
          <w:sz w:val="32"/>
          <w:szCs w:val="32"/>
        </w:rPr>
        <w:t>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第三部分  叶城县农业技术推广站2016年度部门决算情况说明</w:t>
      </w:r>
    </w:p>
    <w:bookmarkEnd w:id="0"/>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2016年全年收入合计5515730.85元，支出5515730.85元，其中基本支出3337904.71元，项目支出2177826.14元。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收入情况说明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2016年本年收入合计5515730.85元，其中：财政拨款收入5515730.85元，无事业收入，无经营收入，无其他收入。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本年支出合计5515730.85元，其中：基本支出3337904.71元，项目支出2177826.14元，无其他支出。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w:t>
      </w:r>
      <w:r>
        <w:rPr>
          <w:rFonts w:hint="eastAsia" w:ascii="仿宋_GB2312" w:hAnsi="宋体" w:eastAsia="仿宋_GB2312"/>
          <w:sz w:val="32"/>
          <w:szCs w:val="32"/>
        </w:rPr>
        <w:t>30000</w:t>
      </w:r>
      <w:r>
        <w:rPr>
          <w:rFonts w:hint="eastAsia" w:ascii="仿宋_GB2312" w:hAnsi="宋体" w:eastAsia="仿宋_GB2312" w:cs="仿宋_GB2312"/>
          <w:sz w:val="32"/>
          <w:szCs w:val="32"/>
        </w:rPr>
        <w:t>元，其中：因公出国费用元，共组团0批次人次,出国事由；公务接待费0元，共接待0批次人次；公务用车购置0元，年末公务用车保有量为2辆；公务用车维护费</w:t>
      </w:r>
      <w:r>
        <w:rPr>
          <w:rFonts w:hint="eastAsia" w:ascii="仿宋_GB2312" w:hAnsi="宋体" w:eastAsia="仿宋_GB2312"/>
          <w:sz w:val="32"/>
          <w:szCs w:val="32"/>
        </w:rPr>
        <w:t>30000</w:t>
      </w:r>
      <w:r>
        <w:rPr>
          <w:rFonts w:hint="eastAsia" w:ascii="仿宋_GB2312" w:hAnsi="宋体" w:eastAsia="仿宋_GB2312" w:cs="仿宋_GB2312"/>
          <w:sz w:val="32"/>
          <w:szCs w:val="32"/>
        </w:rPr>
        <w:t>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“三公”经费较上年相比多（少）支出0元，其中：因公出国费用多（少）支0元；公务接待费多（少）支出0元；公务用车购置费多（少）支出0元；公务用车维护费多（少）支出0元。主要原因为：</w:t>
      </w:r>
      <w:r>
        <w:rPr>
          <w:rFonts w:hint="eastAsia" w:ascii="仿宋_GB2312" w:hAnsi="宋体" w:eastAsia="仿宋_GB2312"/>
          <w:sz w:val="32"/>
          <w:szCs w:val="32"/>
        </w:rPr>
        <w:t>严格执行</w:t>
      </w:r>
      <w:r>
        <w:rPr>
          <w:rFonts w:hint="eastAsia" w:ascii="仿宋_GB2312" w:hAnsi="宋体" w:eastAsia="仿宋_GB2312"/>
          <w:sz w:val="32"/>
          <w:szCs w:val="32"/>
          <w:lang w:eastAsia="zh-CN"/>
        </w:rPr>
        <w:t>中央</w:t>
      </w:r>
      <w:r>
        <w:rPr>
          <w:rFonts w:hint="eastAsia" w:ascii="仿宋_GB2312" w:hAnsi="宋体" w:eastAsia="仿宋_GB2312"/>
          <w:sz w:val="32"/>
          <w:szCs w:val="32"/>
        </w:rPr>
        <w:t>八项规定厉行节约，压缩“三公”经费。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2016年会议费0元，主要是： 本单位无会议费。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2016年培训费0元，主要是：本单位无培训费。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bookmarkStart w:id="1" w:name="_GoBack"/>
      <w:bookmarkEnd w:id="1"/>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2016年本年收入5515730.85元，比2015年减少12729167.43元，减少原因：本年上级项目补助资金较上年有所减少。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2016年本年支出5515730.85元，比2015年减少12729167.43元，减少原因：本年上级项目补助资金较上年有所减少。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2016年财政拨款支出5515730.85元，年初预算数3218953.36元，差异原因：上级专项资金年初未列入预算。</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2016年叶城县农业技术推广站机关运行经费支出93000元，与2015年相比增加10500元，增长率12.72%，主要原因：增加事业在职1人各项资金。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2016年，叶城县农业技术推广站政府采购支出总额3641800.00元，其中政府采购货物支出3641800.00元，政府采购工程支出0元，政府采购服务支出0元。喀什地区为偏远地区，参与招投标的供应商基本为中小微企业。</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截止2016年12月31日，本单位共有车辆2辆，其中一般公务用车0辆，一般用车0辆，专业用车0辆，其他车辆2辆，单位价值在50万元以上的设备0台（套），价值0元。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2016年，叶城县农业技术推广站对退耕还林项目进行了预算绩效评价，涉及一般公共预算2177826.14元.当年财政拨退耕还林项目支出款2177826.14元。绩效评价结果： 本项目的实施使项目区退耕还林成果切实得到巩固，农田生态环得到改善。通过退耕还林区基本口粮田建设，使退耕还林户长远生计得到根本保障，有利于防止毁林复耕等现象，切实巩固退耕还林成果。由于对基本口粮田灌溉渠道、道路等标准化建设及土壤改良与培肥地力建设，将改善基本口粮田质量条件与生生态条件。</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按收入项目分别列示：本单位是全额事业单位，无事业收入和经营收入。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宋体" w:eastAsia="仿宋_GB2312"/>
          <w:sz w:val="32"/>
          <w:szCs w:val="32"/>
        </w:rPr>
      </w:pP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6</w:t>
    </w:r>
    <w:r>
      <w:rPr>
        <w:rStyle w:val="9"/>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82159"/>
    <w:rsid w:val="00006A87"/>
    <w:rsid w:val="000072AB"/>
    <w:rsid w:val="00012D74"/>
    <w:rsid w:val="00024B7F"/>
    <w:rsid w:val="00034248"/>
    <w:rsid w:val="00052FE0"/>
    <w:rsid w:val="00054384"/>
    <w:rsid w:val="0005492E"/>
    <w:rsid w:val="00062AC7"/>
    <w:rsid w:val="000703F5"/>
    <w:rsid w:val="00086A97"/>
    <w:rsid w:val="0008775F"/>
    <w:rsid w:val="00093DCA"/>
    <w:rsid w:val="00094D69"/>
    <w:rsid w:val="000A056F"/>
    <w:rsid w:val="000A36CE"/>
    <w:rsid w:val="000A5461"/>
    <w:rsid w:val="000A65DB"/>
    <w:rsid w:val="000C3B20"/>
    <w:rsid w:val="000E7FFD"/>
    <w:rsid w:val="001212B6"/>
    <w:rsid w:val="001250CE"/>
    <w:rsid w:val="00140E78"/>
    <w:rsid w:val="00142BCE"/>
    <w:rsid w:val="00144884"/>
    <w:rsid w:val="00145766"/>
    <w:rsid w:val="00147040"/>
    <w:rsid w:val="00151463"/>
    <w:rsid w:val="00170582"/>
    <w:rsid w:val="00183136"/>
    <w:rsid w:val="001870FE"/>
    <w:rsid w:val="001943AB"/>
    <w:rsid w:val="001A6F10"/>
    <w:rsid w:val="001D09C9"/>
    <w:rsid w:val="001D409E"/>
    <w:rsid w:val="001D4A85"/>
    <w:rsid w:val="001E4658"/>
    <w:rsid w:val="001F0F61"/>
    <w:rsid w:val="001F1FDE"/>
    <w:rsid w:val="001F5ECF"/>
    <w:rsid w:val="00201438"/>
    <w:rsid w:val="0020220E"/>
    <w:rsid w:val="00205C3B"/>
    <w:rsid w:val="002114D1"/>
    <w:rsid w:val="002165D8"/>
    <w:rsid w:val="00234690"/>
    <w:rsid w:val="00240359"/>
    <w:rsid w:val="00242FE4"/>
    <w:rsid w:val="00257208"/>
    <w:rsid w:val="002607F5"/>
    <w:rsid w:val="00262C89"/>
    <w:rsid w:val="00265B72"/>
    <w:rsid w:val="002743C3"/>
    <w:rsid w:val="00275F92"/>
    <w:rsid w:val="002835A2"/>
    <w:rsid w:val="00287A2E"/>
    <w:rsid w:val="002C37F3"/>
    <w:rsid w:val="002C677C"/>
    <w:rsid w:val="002C740B"/>
    <w:rsid w:val="002F5734"/>
    <w:rsid w:val="003033B7"/>
    <w:rsid w:val="00303B2E"/>
    <w:rsid w:val="003158E9"/>
    <w:rsid w:val="00316064"/>
    <w:rsid w:val="0031707E"/>
    <w:rsid w:val="00333969"/>
    <w:rsid w:val="00333F9D"/>
    <w:rsid w:val="00334DBE"/>
    <w:rsid w:val="00340174"/>
    <w:rsid w:val="003472C5"/>
    <w:rsid w:val="00357AC2"/>
    <w:rsid w:val="00357AE1"/>
    <w:rsid w:val="00365EF9"/>
    <w:rsid w:val="003708C1"/>
    <w:rsid w:val="00374619"/>
    <w:rsid w:val="003B0831"/>
    <w:rsid w:val="003B594E"/>
    <w:rsid w:val="003C0129"/>
    <w:rsid w:val="003C2E54"/>
    <w:rsid w:val="003C6473"/>
    <w:rsid w:val="003C6591"/>
    <w:rsid w:val="003D0C72"/>
    <w:rsid w:val="003F0AA9"/>
    <w:rsid w:val="003F6A61"/>
    <w:rsid w:val="00406AB0"/>
    <w:rsid w:val="00417715"/>
    <w:rsid w:val="004262F1"/>
    <w:rsid w:val="0043072D"/>
    <w:rsid w:val="0043342B"/>
    <w:rsid w:val="0043376E"/>
    <w:rsid w:val="00434EEE"/>
    <w:rsid w:val="0045212A"/>
    <w:rsid w:val="004743B3"/>
    <w:rsid w:val="00486188"/>
    <w:rsid w:val="00487059"/>
    <w:rsid w:val="004A127D"/>
    <w:rsid w:val="004A28B1"/>
    <w:rsid w:val="004B3CC6"/>
    <w:rsid w:val="004B4CBD"/>
    <w:rsid w:val="004D2787"/>
    <w:rsid w:val="004D38CC"/>
    <w:rsid w:val="004D48D7"/>
    <w:rsid w:val="004D6F93"/>
    <w:rsid w:val="004F067D"/>
    <w:rsid w:val="005018D6"/>
    <w:rsid w:val="0050291C"/>
    <w:rsid w:val="00520F11"/>
    <w:rsid w:val="005272D8"/>
    <w:rsid w:val="00531B98"/>
    <w:rsid w:val="00532879"/>
    <w:rsid w:val="005445F3"/>
    <w:rsid w:val="00547CA3"/>
    <w:rsid w:val="00552B99"/>
    <w:rsid w:val="005603B4"/>
    <w:rsid w:val="00565025"/>
    <w:rsid w:val="00592401"/>
    <w:rsid w:val="005B3712"/>
    <w:rsid w:val="005C24CE"/>
    <w:rsid w:val="005D008D"/>
    <w:rsid w:val="005D4C8D"/>
    <w:rsid w:val="005D5345"/>
    <w:rsid w:val="005D5F98"/>
    <w:rsid w:val="005D6922"/>
    <w:rsid w:val="005E4828"/>
    <w:rsid w:val="005E5284"/>
    <w:rsid w:val="005F2ADD"/>
    <w:rsid w:val="005F70AA"/>
    <w:rsid w:val="0060305F"/>
    <w:rsid w:val="0061786C"/>
    <w:rsid w:val="00624019"/>
    <w:rsid w:val="0063024C"/>
    <w:rsid w:val="00631F3E"/>
    <w:rsid w:val="00642F1B"/>
    <w:rsid w:val="0064487F"/>
    <w:rsid w:val="0064504C"/>
    <w:rsid w:val="006537AC"/>
    <w:rsid w:val="0066260D"/>
    <w:rsid w:val="00671F83"/>
    <w:rsid w:val="00672B4C"/>
    <w:rsid w:val="00675F5A"/>
    <w:rsid w:val="006773BD"/>
    <w:rsid w:val="00685716"/>
    <w:rsid w:val="006878B4"/>
    <w:rsid w:val="00696752"/>
    <w:rsid w:val="006A1621"/>
    <w:rsid w:val="006A2219"/>
    <w:rsid w:val="006A56FC"/>
    <w:rsid w:val="006A6A12"/>
    <w:rsid w:val="006A7356"/>
    <w:rsid w:val="006C7E84"/>
    <w:rsid w:val="006D4B96"/>
    <w:rsid w:val="006E7A3C"/>
    <w:rsid w:val="006F1159"/>
    <w:rsid w:val="006F13E9"/>
    <w:rsid w:val="006F3090"/>
    <w:rsid w:val="006F3AD3"/>
    <w:rsid w:val="006F60A4"/>
    <w:rsid w:val="006F7FA8"/>
    <w:rsid w:val="0070486D"/>
    <w:rsid w:val="00707EE0"/>
    <w:rsid w:val="007226FB"/>
    <w:rsid w:val="00772339"/>
    <w:rsid w:val="007747C2"/>
    <w:rsid w:val="00776E39"/>
    <w:rsid w:val="007819CF"/>
    <w:rsid w:val="00782159"/>
    <w:rsid w:val="00793D15"/>
    <w:rsid w:val="007978CD"/>
    <w:rsid w:val="007A2BDC"/>
    <w:rsid w:val="007A55EB"/>
    <w:rsid w:val="007D7314"/>
    <w:rsid w:val="007F2C54"/>
    <w:rsid w:val="008104D1"/>
    <w:rsid w:val="008148B2"/>
    <w:rsid w:val="00814A67"/>
    <w:rsid w:val="00815033"/>
    <w:rsid w:val="00817BA4"/>
    <w:rsid w:val="008231E9"/>
    <w:rsid w:val="00823C5A"/>
    <w:rsid w:val="00831DC0"/>
    <w:rsid w:val="008321EE"/>
    <w:rsid w:val="0083537D"/>
    <w:rsid w:val="00842279"/>
    <w:rsid w:val="00847706"/>
    <w:rsid w:val="00854186"/>
    <w:rsid w:val="00854835"/>
    <w:rsid w:val="008640A7"/>
    <w:rsid w:val="008664F8"/>
    <w:rsid w:val="00877032"/>
    <w:rsid w:val="00880D0D"/>
    <w:rsid w:val="008872A2"/>
    <w:rsid w:val="00893317"/>
    <w:rsid w:val="00894D7A"/>
    <w:rsid w:val="00895A64"/>
    <w:rsid w:val="00895BE7"/>
    <w:rsid w:val="00897647"/>
    <w:rsid w:val="008B02AA"/>
    <w:rsid w:val="008C3A66"/>
    <w:rsid w:val="008C5ABD"/>
    <w:rsid w:val="008D28A9"/>
    <w:rsid w:val="008D4525"/>
    <w:rsid w:val="008D709D"/>
    <w:rsid w:val="008E1360"/>
    <w:rsid w:val="008E26A2"/>
    <w:rsid w:val="008F2641"/>
    <w:rsid w:val="008F46A7"/>
    <w:rsid w:val="008F6976"/>
    <w:rsid w:val="009078E5"/>
    <w:rsid w:val="00910498"/>
    <w:rsid w:val="0091630B"/>
    <w:rsid w:val="00921F8C"/>
    <w:rsid w:val="009246AF"/>
    <w:rsid w:val="009271D0"/>
    <w:rsid w:val="00947532"/>
    <w:rsid w:val="00954B4B"/>
    <w:rsid w:val="009621B7"/>
    <w:rsid w:val="009819FD"/>
    <w:rsid w:val="00986236"/>
    <w:rsid w:val="00986E33"/>
    <w:rsid w:val="00986E5F"/>
    <w:rsid w:val="009A7D21"/>
    <w:rsid w:val="009C453B"/>
    <w:rsid w:val="009C7F6B"/>
    <w:rsid w:val="009D1B17"/>
    <w:rsid w:val="009D2AE5"/>
    <w:rsid w:val="009D4844"/>
    <w:rsid w:val="009E1A91"/>
    <w:rsid w:val="009F1B75"/>
    <w:rsid w:val="009F39C7"/>
    <w:rsid w:val="009F6D25"/>
    <w:rsid w:val="00A01925"/>
    <w:rsid w:val="00A0603C"/>
    <w:rsid w:val="00A2792B"/>
    <w:rsid w:val="00A30E12"/>
    <w:rsid w:val="00A32422"/>
    <w:rsid w:val="00A3418E"/>
    <w:rsid w:val="00A407D1"/>
    <w:rsid w:val="00A63C42"/>
    <w:rsid w:val="00A6499D"/>
    <w:rsid w:val="00A96C9D"/>
    <w:rsid w:val="00AA1759"/>
    <w:rsid w:val="00AA3003"/>
    <w:rsid w:val="00AA4246"/>
    <w:rsid w:val="00AB21A3"/>
    <w:rsid w:val="00AB7D14"/>
    <w:rsid w:val="00AC139B"/>
    <w:rsid w:val="00AD7784"/>
    <w:rsid w:val="00B00886"/>
    <w:rsid w:val="00B05194"/>
    <w:rsid w:val="00B24563"/>
    <w:rsid w:val="00B4468E"/>
    <w:rsid w:val="00B509D2"/>
    <w:rsid w:val="00B53AD2"/>
    <w:rsid w:val="00B607AE"/>
    <w:rsid w:val="00B63592"/>
    <w:rsid w:val="00B635BA"/>
    <w:rsid w:val="00B839F5"/>
    <w:rsid w:val="00B90628"/>
    <w:rsid w:val="00B907A7"/>
    <w:rsid w:val="00B919A9"/>
    <w:rsid w:val="00BA5D58"/>
    <w:rsid w:val="00BB2497"/>
    <w:rsid w:val="00BB372B"/>
    <w:rsid w:val="00BB7B3E"/>
    <w:rsid w:val="00BC5063"/>
    <w:rsid w:val="00BC6684"/>
    <w:rsid w:val="00BD4413"/>
    <w:rsid w:val="00BF32D3"/>
    <w:rsid w:val="00C15174"/>
    <w:rsid w:val="00C227F7"/>
    <w:rsid w:val="00C23E4C"/>
    <w:rsid w:val="00C337C1"/>
    <w:rsid w:val="00C4155A"/>
    <w:rsid w:val="00C41D70"/>
    <w:rsid w:val="00C45F21"/>
    <w:rsid w:val="00C56BE0"/>
    <w:rsid w:val="00C605BD"/>
    <w:rsid w:val="00C61DC5"/>
    <w:rsid w:val="00C62423"/>
    <w:rsid w:val="00C86FB1"/>
    <w:rsid w:val="00C955CC"/>
    <w:rsid w:val="00C97E32"/>
    <w:rsid w:val="00CA0E2D"/>
    <w:rsid w:val="00CB3117"/>
    <w:rsid w:val="00CD1937"/>
    <w:rsid w:val="00CE1862"/>
    <w:rsid w:val="00CE37ED"/>
    <w:rsid w:val="00CE5241"/>
    <w:rsid w:val="00CF2CB4"/>
    <w:rsid w:val="00D3312D"/>
    <w:rsid w:val="00D33F5E"/>
    <w:rsid w:val="00D4613F"/>
    <w:rsid w:val="00D51AD5"/>
    <w:rsid w:val="00D51E0D"/>
    <w:rsid w:val="00D5318C"/>
    <w:rsid w:val="00D554FC"/>
    <w:rsid w:val="00D569D4"/>
    <w:rsid w:val="00D60A9C"/>
    <w:rsid w:val="00D81BC9"/>
    <w:rsid w:val="00D81E3D"/>
    <w:rsid w:val="00DA057C"/>
    <w:rsid w:val="00DA16BE"/>
    <w:rsid w:val="00DA7584"/>
    <w:rsid w:val="00DA7C3C"/>
    <w:rsid w:val="00DB13AB"/>
    <w:rsid w:val="00DB2FC5"/>
    <w:rsid w:val="00DE344D"/>
    <w:rsid w:val="00E02CF8"/>
    <w:rsid w:val="00E339F2"/>
    <w:rsid w:val="00E43C77"/>
    <w:rsid w:val="00E441B7"/>
    <w:rsid w:val="00E578A5"/>
    <w:rsid w:val="00E64F99"/>
    <w:rsid w:val="00E774D0"/>
    <w:rsid w:val="00E834BA"/>
    <w:rsid w:val="00E8388E"/>
    <w:rsid w:val="00EA2495"/>
    <w:rsid w:val="00EA5F52"/>
    <w:rsid w:val="00EB2D5C"/>
    <w:rsid w:val="00EC1F82"/>
    <w:rsid w:val="00EC282F"/>
    <w:rsid w:val="00EC7307"/>
    <w:rsid w:val="00ED7C8E"/>
    <w:rsid w:val="00EE2E07"/>
    <w:rsid w:val="00EE66A7"/>
    <w:rsid w:val="00EE66B1"/>
    <w:rsid w:val="00EF3B2C"/>
    <w:rsid w:val="00EF7B17"/>
    <w:rsid w:val="00F0364D"/>
    <w:rsid w:val="00F04405"/>
    <w:rsid w:val="00F06CB4"/>
    <w:rsid w:val="00F16C5D"/>
    <w:rsid w:val="00F23F4A"/>
    <w:rsid w:val="00F44D5C"/>
    <w:rsid w:val="00F453E0"/>
    <w:rsid w:val="00F71A7A"/>
    <w:rsid w:val="00F81C9E"/>
    <w:rsid w:val="00F820FC"/>
    <w:rsid w:val="00F83DB6"/>
    <w:rsid w:val="00F85CE3"/>
    <w:rsid w:val="00F91992"/>
    <w:rsid w:val="00FA08FE"/>
    <w:rsid w:val="00FA2BCA"/>
    <w:rsid w:val="00FA2C9B"/>
    <w:rsid w:val="00FF1DEB"/>
    <w:rsid w:val="00FF3885"/>
    <w:rsid w:val="00FF5D03"/>
    <w:rsid w:val="03363C99"/>
    <w:rsid w:val="1FEC7732"/>
    <w:rsid w:val="25FD175D"/>
    <w:rsid w:val="41CF6C76"/>
    <w:rsid w:val="5C1C5845"/>
    <w:rsid w:val="6FAC580C"/>
    <w:rsid w:val="760D6AF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style>
  <w:style w:type="paragraph" w:styleId="3">
    <w:name w:val="Balloon Text"/>
    <w:basedOn w:val="1"/>
    <w:link w:val="11"/>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240"/>
      <w:jc w:val="left"/>
    </w:pPr>
    <w:rPr>
      <w:rFonts w:ascii="宋体" w:hAnsi="宋体" w:cs="宋体"/>
      <w:kern w:val="0"/>
      <w:sz w:val="24"/>
    </w:rPr>
  </w:style>
  <w:style w:type="character" w:styleId="9">
    <w:name w:val="page number"/>
    <w:qFormat/>
    <w:uiPriority w:val="99"/>
    <w:rPr>
      <w:rFonts w:cs="Times New Roman"/>
    </w:rPr>
  </w:style>
  <w:style w:type="character" w:customStyle="1" w:styleId="10">
    <w:name w:val="日期 Char"/>
    <w:link w:val="2"/>
    <w:semiHidden/>
    <w:locked/>
    <w:uiPriority w:val="99"/>
    <w:rPr>
      <w:rFonts w:cs="Times New Roman"/>
      <w:sz w:val="24"/>
      <w:szCs w:val="24"/>
    </w:rPr>
  </w:style>
  <w:style w:type="character" w:customStyle="1" w:styleId="11">
    <w:name w:val="批注框文本 Char"/>
    <w:link w:val="3"/>
    <w:qFormat/>
    <w:locked/>
    <w:uiPriority w:val="99"/>
    <w:rPr>
      <w:rFonts w:cs="Times New Roman"/>
      <w:kern w:val="2"/>
      <w:sz w:val="18"/>
    </w:rPr>
  </w:style>
  <w:style w:type="character" w:customStyle="1" w:styleId="12">
    <w:name w:val="页脚 Char"/>
    <w:link w:val="4"/>
    <w:qFormat/>
    <w:locked/>
    <w:uiPriority w:val="99"/>
    <w:rPr>
      <w:rFonts w:cs="Times New Roman"/>
      <w:kern w:val="2"/>
      <w:sz w:val="18"/>
    </w:rPr>
  </w:style>
  <w:style w:type="character" w:customStyle="1" w:styleId="13">
    <w:name w:val="页眉 Char"/>
    <w:link w:val="5"/>
    <w:qFormat/>
    <w:locked/>
    <w:uiPriority w:val="99"/>
    <w:rPr>
      <w:rFonts w:cs="Times New Roman"/>
      <w:kern w:val="2"/>
      <w:sz w:val="18"/>
    </w:rPr>
  </w:style>
  <w:style w:type="paragraph" w:customStyle="1" w:styleId="14">
    <w:name w:val="notice_title"/>
    <w:basedOn w:val="1"/>
    <w:qFormat/>
    <w:uiPriority w:val="99"/>
    <w:pPr>
      <w:widowControl/>
      <w:spacing w:after="225"/>
      <w:jc w:val="center"/>
    </w:pPr>
    <w:rPr>
      <w:rFonts w:ascii="宋体" w:hAnsi="宋体" w:cs="宋体"/>
      <w:b/>
      <w:bCs/>
      <w:color w:val="771325"/>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570</Words>
  <Characters>3253</Characters>
  <Lines>27</Lines>
  <Paragraphs>7</Paragraphs>
  <TotalTime>48</TotalTime>
  <ScaleCrop>false</ScaleCrop>
  <LinksUpToDate>false</LinksUpToDate>
  <CharactersWithSpaces>3816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2016-05-29T09:45:00Z</dcterms:created>
  <dc:creator>许梦如</dc:creator>
  <cp:lastModifiedBy>Administrator</cp:lastModifiedBy>
  <cp:lastPrinted>2015-08-28T07:57:00Z</cp:lastPrinted>
  <dcterms:modified xsi:type="dcterms:W3CDTF">2023-12-14T04:15:02Z</dcterms:modified>
  <dc:title>喀什地区部门决算和三公经费</dc:title>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