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方正小标宋简体" w:hAnsi="宋体" w:eastAsia="方正小标宋简体" w:cs="宋体"/>
          <w:sz w:val="44"/>
          <w:szCs w:val="44"/>
        </w:rPr>
      </w:pPr>
      <w:r>
        <w:rPr>
          <w:rFonts w:hint="eastAsia" w:ascii="仿宋_GB2312" w:hAnsi="宋体" w:eastAsia="仿宋_GB2312"/>
          <w:b/>
          <w:sz w:val="44"/>
          <w:szCs w:val="44"/>
        </w:rPr>
        <w:t xml:space="preserve">  </w:t>
      </w:r>
      <w:r>
        <w:rPr>
          <w:rFonts w:hint="eastAsia" w:ascii="方正小标宋简体" w:hAnsi="宋体" w:eastAsia="方正小标宋简体" w:cs="宋体"/>
          <w:sz w:val="44"/>
          <w:szCs w:val="44"/>
        </w:rPr>
        <w:t>2017年叶城县动物卫生监督所部门决算说明</w:t>
      </w:r>
    </w:p>
    <w:p>
      <w:pPr>
        <w:pStyle w:val="2"/>
        <w:spacing w:line="500" w:lineRule="exact"/>
        <w:jc w:val="center"/>
        <w:rPr>
          <w:rFonts w:ascii="华文中宋" w:hAnsi="华文中宋" w:eastAsia="华文中宋" w:cs="宋体"/>
          <w:sz w:val="32"/>
          <w:szCs w:val="32"/>
        </w:rPr>
      </w:pPr>
      <w:r>
        <w:rPr>
          <w:rFonts w:hint="eastAsia" w:ascii="华文中宋" w:hAnsi="华文中宋" w:eastAsia="华文中宋" w:cs="宋体"/>
          <w:sz w:val="32"/>
          <w:szCs w:val="32"/>
        </w:rPr>
        <w:t>目  录</w:t>
      </w:r>
    </w:p>
    <w:p>
      <w:pPr>
        <w:pStyle w:val="2"/>
        <w:spacing w:line="500" w:lineRule="exact"/>
        <w:rPr>
          <w:rFonts w:ascii="黑体" w:hAnsi="宋体" w:eastAsia="黑体" w:cs="宋体"/>
          <w:sz w:val="32"/>
          <w:szCs w:val="32"/>
        </w:rPr>
      </w:pPr>
      <w:r>
        <w:rPr>
          <w:rFonts w:hint="eastAsia" w:ascii="黑体" w:hAnsi="宋体" w:eastAsia="黑体" w:cs="宋体"/>
          <w:sz w:val="32"/>
          <w:szCs w:val="32"/>
        </w:rPr>
        <w:t>第一部分动物卫生监督所部门单位概况</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一、主要职能、机构设置及人员情况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二、部门决算单位构成 </w:t>
      </w:r>
    </w:p>
    <w:p>
      <w:pPr>
        <w:pStyle w:val="2"/>
        <w:spacing w:line="500" w:lineRule="exact"/>
        <w:rPr>
          <w:rFonts w:ascii="黑体" w:hAnsi="宋体" w:eastAsia="黑体" w:cs="宋体"/>
          <w:sz w:val="32"/>
          <w:szCs w:val="32"/>
        </w:rPr>
      </w:pPr>
      <w:r>
        <w:rPr>
          <w:rFonts w:hint="eastAsia" w:ascii="黑体" w:hAnsi="宋体" w:eastAsia="黑体" w:cs="宋体"/>
          <w:sz w:val="32"/>
          <w:szCs w:val="32"/>
        </w:rPr>
        <w:t xml:space="preserve">第二部分 部门决算情况说明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一、部门收支总体情况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（一）部门收入支出决算总体情况说明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（二）部门收入总体情况说明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（三）部门支出总体情况说明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二、部门财政拨款收支情况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（一）财政拨款收支总体情况说明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（二）一般公共预算支出决算情况说明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（三）政府性基金预算收支决算情况说明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（四）政府性基金预算支出决算情况说明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三、部门结转结余情况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四、一般公共预算“三公”经费支出情况</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五、机关运行经费支出情况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六、政府采购情况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七、其他重要事项的情况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（一）国有资产占用情况说明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（二）国有资产收益征缴情况说明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（三）部门项目支出情况和项目绩效评价情况说明 </w:t>
      </w:r>
    </w:p>
    <w:p>
      <w:pPr>
        <w:pStyle w:val="2"/>
        <w:spacing w:line="500" w:lineRule="exact"/>
        <w:rPr>
          <w:rFonts w:ascii="黑体" w:hAnsi="宋体" w:eastAsia="黑体" w:cs="宋体"/>
          <w:sz w:val="32"/>
          <w:szCs w:val="32"/>
        </w:rPr>
      </w:pPr>
      <w:r>
        <w:rPr>
          <w:rFonts w:hint="eastAsia" w:ascii="黑体" w:hAnsi="宋体" w:eastAsia="黑体" w:cs="宋体"/>
          <w:sz w:val="32"/>
          <w:szCs w:val="32"/>
        </w:rPr>
        <w:t xml:space="preserve">第三部分 专业名词解释 </w:t>
      </w:r>
    </w:p>
    <w:p>
      <w:pPr>
        <w:pStyle w:val="2"/>
        <w:spacing w:line="500" w:lineRule="exact"/>
        <w:rPr>
          <w:rFonts w:ascii="黑体" w:hAnsi="宋体" w:eastAsia="黑体" w:cs="宋体"/>
          <w:sz w:val="32"/>
          <w:szCs w:val="32"/>
        </w:rPr>
      </w:pPr>
      <w:r>
        <w:rPr>
          <w:rFonts w:hint="eastAsia" w:ascii="黑体" w:hAnsi="宋体" w:eastAsia="黑体" w:cs="宋体"/>
          <w:sz w:val="32"/>
          <w:szCs w:val="32"/>
        </w:rPr>
        <w:t xml:space="preserve">第四部分 部门决算报表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一、报表封面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二、部门收支总体情况（11张）：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《收入支出决算总表》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《收入决算表》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《支出决算表》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《收入支出决算表》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《项目收入支出决算表》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《行政事业类项目收入支出决算表》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《基本建设类项目收入支出决算表》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《基本支出决算明细表》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《项目支出决算明细表》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《财政专户管理资金收入支出决算表》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三、财政拨款收支情况（9张）</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《财政拨款收入支出决算总表》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《一般公共预算财政拨款收入支出决算表》</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《一般公共预算财政拨款支出决算明细表》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《一般公共预算财政拨款基本支出决算明细表》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《一般公共预算财政拨款项目支出决算明细表》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《政府性基金预算财政拨款收入支出决算表》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《政府性基金预算财政拨款支出决算明细表》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《政府性基金预算财政拨款基本支出决算明细表》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《政府性基金预算财政拨款项目支出决算明细表》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四、单位资产负责情况（1张）：《资产负债简表》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五、部门决算附表（5张）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《资产情况表》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《国有资产收益征缴情况表》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《基本数字表》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《机构人员情况表》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《非税收入征缴情况表》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六、填报说明附表（2张）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《部门决算相关信息统计表》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《政府采购情况表》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七、“三公”经费支出情况(1张)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《2017年度一般公共预算“三公”经费支出情况表》 </w:t>
      </w:r>
    </w:p>
    <w:p>
      <w:pPr>
        <w:spacing w:line="500" w:lineRule="exact"/>
        <w:jc w:val="center"/>
        <w:rPr>
          <w:rFonts w:ascii="宋体" w:hAnsi="宋体" w:cs="宋体"/>
          <w:b/>
          <w:sz w:val="44"/>
          <w:szCs w:val="44"/>
        </w:rPr>
      </w:pPr>
    </w:p>
    <w:p>
      <w:pPr>
        <w:pStyle w:val="2"/>
        <w:spacing w:line="500" w:lineRule="exact"/>
        <w:jc w:val="center"/>
        <w:rPr>
          <w:rFonts w:ascii="黑体" w:hAnsi="宋体" w:eastAsia="黑体" w:cs="宋体"/>
          <w:sz w:val="32"/>
          <w:szCs w:val="32"/>
        </w:rPr>
      </w:pPr>
      <w:r>
        <w:rPr>
          <w:rFonts w:hint="eastAsia" w:ascii="黑体" w:hAnsi="宋体" w:eastAsia="黑体" w:cs="宋体"/>
          <w:sz w:val="32"/>
          <w:szCs w:val="32"/>
        </w:rPr>
        <w:t>第一部分 部门单位概况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一、部门单位基本情况，包括：部门主要职能和机构设置情况、年末编制情况、实有人数情况等。</w:t>
      </w:r>
    </w:p>
    <w:p>
      <w:pPr>
        <w:spacing w:line="50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（一）</w:t>
      </w:r>
      <w:r>
        <w:rPr>
          <w:rFonts w:hint="eastAsia" w:ascii="仿宋_GB2312" w:hAnsi="宋体" w:eastAsia="仿宋_GB2312"/>
          <w:sz w:val="32"/>
          <w:szCs w:val="32"/>
        </w:rPr>
        <w:t>主要职能：</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单位性质为参照公务员法管理事业单位，全额拨款，执行会计制度为事业会计制度。独立编制机构1个，独立编制机构与上年无变动。</w:t>
      </w:r>
    </w:p>
    <w:p>
      <w:pPr>
        <w:pStyle w:val="7"/>
        <w:shd w:val="clear" w:color="auto" w:fill="FFFFFF"/>
        <w:spacing w:before="0" w:beforeAutospacing="0" w:after="0" w:line="500" w:lineRule="exact"/>
        <w:ind w:firstLine="640" w:firstLineChars="200"/>
        <w:rPr>
          <w:rFonts w:ascii="仿宋_GB2312" w:hAnsi="Arial" w:eastAsia="仿宋_GB2312" w:cs="Arial"/>
          <w:sz w:val="32"/>
          <w:szCs w:val="32"/>
        </w:rPr>
      </w:pPr>
      <w:r>
        <w:rPr>
          <w:rFonts w:hint="eastAsia" w:ascii="仿宋_GB2312" w:eastAsia="仿宋_GB2312"/>
          <w:sz w:val="32"/>
          <w:szCs w:val="32"/>
        </w:rPr>
        <w:t>叶城县动物卫生监督所隶属县畜牧兽医局，属参照公务员管理事业单位，具有独立的法人资格，核定全额拨款事业编制10名。叶城县动物卫生监督所主要职能包括：</w:t>
      </w:r>
      <w:r>
        <w:rPr>
          <w:rFonts w:hint="eastAsia" w:ascii="仿宋_GB2312" w:hAnsi="Arial" w:eastAsia="仿宋_GB2312" w:cs="Arial"/>
          <w:sz w:val="32"/>
          <w:szCs w:val="32"/>
        </w:rPr>
        <w:t>依法实施动物防疫监督工作；负责动物卫生监督；依法承担动物和动物产品检疫、动物疫情调查；依法监督管理兽药、饲料，并协助监督管理畜产品安全工作；负责对动物卫生有关方面的法律法规的宣传；负责全县的动物防疫指导工作；负责乡站的监督、检疫、指导、检查及管理工作。</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（二）根据职责，纳入2017年部门预算编制范围的有3个内设机构。</w:t>
      </w:r>
    </w:p>
    <w:p>
      <w:pPr>
        <w:pStyle w:val="7"/>
        <w:shd w:val="clear" w:color="auto" w:fill="FFFFFF"/>
        <w:spacing w:before="0" w:beforeAutospacing="0" w:after="0" w:line="500" w:lineRule="exact"/>
        <w:ind w:left="640"/>
        <w:rPr>
          <w:rFonts w:ascii="仿宋_GB2312" w:hAnsi="Arial" w:eastAsia="仿宋_GB2312" w:cs="Arial"/>
          <w:sz w:val="32"/>
          <w:szCs w:val="32"/>
        </w:rPr>
      </w:pPr>
      <w:r>
        <w:rPr>
          <w:rFonts w:hint="eastAsia" w:ascii="仿宋_GB2312" w:hAnsi="Arial" w:eastAsia="仿宋_GB2312" w:cs="Arial"/>
          <w:sz w:val="32"/>
          <w:szCs w:val="32"/>
        </w:rPr>
        <w:t>1、办公室</w:t>
      </w:r>
    </w:p>
    <w:p>
      <w:pPr>
        <w:pStyle w:val="7"/>
        <w:shd w:val="clear" w:color="auto" w:fill="FFFFFF"/>
        <w:spacing w:before="0" w:beforeAutospacing="0" w:after="0" w:line="500" w:lineRule="exact"/>
        <w:rPr>
          <w:rFonts w:ascii="仿宋_GB2312" w:hAnsi="Arial" w:eastAsia="仿宋_GB2312" w:cs="Arial"/>
          <w:sz w:val="32"/>
          <w:szCs w:val="32"/>
        </w:rPr>
      </w:pPr>
      <w:r>
        <w:rPr>
          <w:rFonts w:hint="eastAsia" w:ascii="仿宋_GB2312" w:hAnsi="Arial" w:eastAsia="仿宋_GB2312" w:cs="Arial"/>
          <w:sz w:val="32"/>
          <w:szCs w:val="32"/>
        </w:rPr>
        <w:t xml:space="preserve">    负责动物卫生监督所对内、对外发函、申请、通知等文件的起草；负责安排本单位日常后勤工作，包括车辆、绿化、环境卫生、会务、接待、办公用品等，为各内设机构做好服务工作</w:t>
      </w:r>
    </w:p>
    <w:p>
      <w:pPr>
        <w:pStyle w:val="7"/>
        <w:shd w:val="clear" w:color="auto" w:fill="FFFFFF"/>
        <w:spacing w:before="0" w:beforeAutospacing="0" w:after="0" w:line="500" w:lineRule="exact"/>
        <w:ind w:left="640"/>
        <w:rPr>
          <w:rFonts w:ascii="仿宋_GB2312" w:hAnsi="Arial" w:eastAsia="仿宋_GB2312" w:cs="Arial"/>
          <w:sz w:val="32"/>
          <w:szCs w:val="32"/>
        </w:rPr>
      </w:pPr>
      <w:r>
        <w:rPr>
          <w:rFonts w:hint="eastAsia" w:ascii="仿宋_GB2312" w:hAnsi="Arial" w:eastAsia="仿宋_GB2312" w:cs="Arial"/>
          <w:sz w:val="32"/>
          <w:szCs w:val="32"/>
        </w:rPr>
        <w:t>2、监督办</w:t>
      </w:r>
    </w:p>
    <w:p>
      <w:pPr>
        <w:pStyle w:val="7"/>
        <w:shd w:val="clear" w:color="auto" w:fill="FFFFFF"/>
        <w:spacing w:before="0" w:beforeAutospacing="0" w:after="0" w:line="50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负责流通环节牲畜交易监督、兽药经营许可监督、各动物检疫卡点及奶业安全监督，出具出县境电子出证等。</w:t>
      </w:r>
    </w:p>
    <w:p>
      <w:pPr>
        <w:pStyle w:val="7"/>
        <w:shd w:val="clear" w:color="auto" w:fill="FFFFFF"/>
        <w:spacing w:before="0" w:beforeAutospacing="0" w:after="0" w:line="500" w:lineRule="exact"/>
        <w:ind w:left="640"/>
        <w:rPr>
          <w:rFonts w:ascii="仿宋_GB2312" w:hAnsi="Arial" w:eastAsia="仿宋_GB2312" w:cs="Arial"/>
          <w:sz w:val="32"/>
          <w:szCs w:val="32"/>
        </w:rPr>
      </w:pPr>
      <w:r>
        <w:rPr>
          <w:rFonts w:hint="eastAsia" w:ascii="仿宋_GB2312" w:hAnsi="Arial" w:eastAsia="仿宋_GB2312" w:cs="Arial"/>
          <w:sz w:val="32"/>
          <w:szCs w:val="32"/>
        </w:rPr>
        <w:t>3、检疫办</w:t>
      </w:r>
    </w:p>
    <w:p>
      <w:pPr>
        <w:pStyle w:val="7"/>
        <w:shd w:val="clear" w:color="auto" w:fill="FFFFFF"/>
        <w:spacing w:before="0" w:beforeAutospacing="0" w:after="0" w:line="500" w:lineRule="exact"/>
        <w:ind w:left="640"/>
        <w:rPr>
          <w:rFonts w:ascii="仿宋_GB2312" w:hAnsi="Arial" w:eastAsia="仿宋_GB2312" w:cs="Arial"/>
          <w:sz w:val="32"/>
          <w:szCs w:val="32"/>
        </w:rPr>
      </w:pPr>
      <w:r>
        <w:rPr>
          <w:rFonts w:hint="eastAsia" w:ascii="仿宋_GB2312" w:hAnsi="Arial" w:eastAsia="仿宋_GB2312" w:cs="Arial"/>
          <w:sz w:val="32"/>
          <w:szCs w:val="32"/>
        </w:rPr>
        <w:t>负责生猪、牛羊、家禽屠宰场的检疫</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机构设置、人员情况：编制10人，按照编委文件填报，实际实有在职人数10人，属于一般公共预算财政拨款开支10人，2016年退休14人，2017年无退休人员，比2016年减少14人，原因：实施机关事业单位养老保险改革退休人员纳入社保局统一管理。</w:t>
      </w:r>
    </w:p>
    <w:p>
      <w:pPr>
        <w:pStyle w:val="2"/>
        <w:spacing w:line="500" w:lineRule="exact"/>
        <w:ind w:firstLine="640" w:firstLineChars="200"/>
        <w:rPr>
          <w:rFonts w:ascii="仿宋_GB2312" w:hAnsi="宋体" w:eastAsia="仿宋_GB2312" w:cs="宋体"/>
          <w:sz w:val="32"/>
          <w:szCs w:val="32"/>
        </w:rPr>
      </w:pPr>
      <w:bookmarkStart w:id="0" w:name="YS060102"/>
      <w:r>
        <w:rPr>
          <w:rFonts w:hint="eastAsia" w:ascii="仿宋_GB2312" w:hAnsi="宋体" w:eastAsia="仿宋_GB2312" w:cs="宋体"/>
          <w:sz w:val="32"/>
          <w:szCs w:val="32"/>
        </w:rPr>
        <w:t>二、部门决算单位构成。</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从决算单位构成看，叶城县动物卫生监督所2017年部门决算编制范围的单位名单见下表：</w:t>
      </w:r>
    </w:p>
    <w:tbl>
      <w:tblPr>
        <w:tblStyle w:val="8"/>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00" w:lineRule="exact"/>
              <w:rPr>
                <w:rFonts w:ascii="仿宋_GB2312" w:hAnsi="宋体" w:eastAsia="仿宋_GB2312" w:cs="宋体"/>
                <w:sz w:val="32"/>
                <w:szCs w:val="32"/>
              </w:rPr>
            </w:pPr>
            <w:r>
              <w:rPr>
                <w:rFonts w:hint="eastAsia" w:ascii="仿宋_GB2312" w:hAnsi="宋体" w:eastAsia="仿宋_GB2312" w:cs="宋体"/>
                <w:sz w:val="32"/>
                <w:szCs w:val="32"/>
              </w:rPr>
              <w:t>序号</w:t>
            </w:r>
          </w:p>
        </w:tc>
        <w:tc>
          <w:tcPr>
            <w:tcW w:w="4616" w:type="dxa"/>
          </w:tcPr>
          <w:p>
            <w:pPr>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单位名称</w:t>
            </w:r>
          </w:p>
        </w:tc>
        <w:tc>
          <w:tcPr>
            <w:tcW w:w="2841" w:type="dxa"/>
          </w:tcPr>
          <w:p>
            <w:pPr>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w:t>
            </w:r>
          </w:p>
        </w:tc>
        <w:tc>
          <w:tcPr>
            <w:tcW w:w="4616" w:type="dxa"/>
          </w:tcPr>
          <w:p>
            <w:pPr>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叶城县动物卫生监督所</w:t>
            </w:r>
          </w:p>
        </w:tc>
        <w:tc>
          <w:tcPr>
            <w:tcW w:w="2841" w:type="dxa"/>
          </w:tcPr>
          <w:p>
            <w:pPr>
              <w:spacing w:line="500" w:lineRule="exact"/>
              <w:ind w:firstLine="640" w:firstLineChars="200"/>
              <w:rPr>
                <w:rFonts w:ascii="仿宋_GB2312" w:hAnsi="宋体" w:eastAsia="仿宋_GB2312" w:cs="宋体"/>
                <w:sz w:val="32"/>
                <w:szCs w:val="32"/>
              </w:rPr>
            </w:pPr>
          </w:p>
        </w:tc>
      </w:tr>
      <w:bookmarkEnd w:id="0"/>
    </w:tbl>
    <w:p>
      <w:pPr>
        <w:pStyle w:val="2"/>
        <w:spacing w:line="500" w:lineRule="exact"/>
        <w:ind w:firstLine="2848" w:firstLineChars="890"/>
        <w:rPr>
          <w:rFonts w:ascii="黑体" w:hAnsi="宋体" w:eastAsia="黑体" w:cs="宋体"/>
          <w:sz w:val="32"/>
          <w:szCs w:val="32"/>
        </w:rPr>
      </w:pPr>
      <w:r>
        <w:rPr>
          <w:rFonts w:hint="eastAsia" w:ascii="黑体" w:hAnsi="宋体" w:eastAsia="黑体" w:cs="宋体"/>
          <w:sz w:val="32"/>
          <w:szCs w:val="32"/>
        </w:rPr>
        <w:t>第二部分 部门决算情况说明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一、部门收支总体情况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（一）部门收入支出决算总体情况说明 </w:t>
      </w:r>
    </w:p>
    <w:p>
      <w:pPr>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2017年度收入241.40万元，与上年相比，增加70.14万元，增长22.51%，增加的主要原因是：人员增资； 支出241.40万元,与上年相比，增加70.14万元，增长22.51%；结余0万元，与上年相比，增加（减少）0万元，无增减变化。与上年相比，收入、支出增加的主要原因是：本年度人员增资；</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与预算相比情况：2017年收入预算数261.48元，收入决算数241.40万元，与预算数相比，收入决算数减少20.08万元，降低7.7%；2017年支出预算数261.48元，支出决算数241.4万元，与预算数相比，支出决算数减少20.08万元，降低7.7%；减少的主要原因是：上级专项资金不可预计，本年项目资金减少。</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（二）部门收入总体情况说明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本年收入合计241.40万元，其中：财政拨款收入241.40万元，与上年相比，增加70.14万元，增长22.51%，增加的主要原因是：本年度人员增资；上级补助收入241.40万元，与上年相比，增加 70.14万元，增长22.51%，</w:t>
      </w:r>
      <w:r>
        <w:rPr>
          <w:rFonts w:hint="eastAsia" w:ascii="仿宋_GB2312" w:hAnsi="仿宋" w:eastAsia="仿宋_GB2312" w:cs="Arial"/>
          <w:kern w:val="0"/>
          <w:sz w:val="32"/>
          <w:szCs w:val="32"/>
        </w:rPr>
        <w:t>事业收入0万元，占0万元；经营收入0万元，占0%；附属单位缴款0万元，占0%，其他收入0万元，占0%。</w:t>
      </w:r>
      <w:r>
        <w:rPr>
          <w:rFonts w:hint="eastAsia" w:ascii="仿宋_GB2312" w:hAnsi="宋体" w:eastAsia="仿宋_GB2312" w:cs="宋体"/>
          <w:sz w:val="32"/>
          <w:szCs w:val="32"/>
        </w:rPr>
        <w:t xml:space="preserve">增加的主要原因是：本年度人员增资。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与预算相比情况：2017年收入预算数261. 48元，收入决算数241.40万元，与预算数相比，收入决算数减少20.08万元，降低7.7%；减少的主要原因是：上级专项资金不可预计，本年项目资金减少。</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（三）部门支出总体情况说明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本年支出合计241.40万元，其中：基本支出241.40万元，与上年相比，减少20.08万元，降低7.7%，项目支出0万元，与上年相比，无变化；</w:t>
      </w:r>
      <w:r>
        <w:rPr>
          <w:rFonts w:hint="eastAsia" w:ascii="仿宋_GB2312" w:hAnsi="宋体" w:eastAsia="仿宋_GB2312" w:cs="仿宋_GB2312"/>
          <w:sz w:val="32"/>
          <w:szCs w:val="32"/>
        </w:rPr>
        <w:t>上缴上级支出0万元，占0%；经营支出0万元，占0%；对附属单位补助支出0万元，占0%，</w:t>
      </w:r>
      <w:r>
        <w:rPr>
          <w:rFonts w:hint="eastAsia" w:ascii="仿宋_GB2312" w:hAnsi="宋体" w:eastAsia="仿宋_GB2312" w:cs="宋体"/>
          <w:sz w:val="32"/>
          <w:szCs w:val="32"/>
        </w:rPr>
        <w:t>与上年相比，无增减变化。减少的主要原因是：公用经费减少。</w:t>
      </w:r>
    </w:p>
    <w:p>
      <w:pPr>
        <w:pStyle w:val="2"/>
        <w:spacing w:line="500" w:lineRule="exact"/>
        <w:ind w:firstLine="640" w:firstLineChars="200"/>
        <w:rPr>
          <w:rFonts w:ascii="仿宋_GB2312" w:hAnsi="宋体" w:eastAsia="仿宋_GB2312" w:cs="宋体"/>
          <w:color w:val="00B050"/>
          <w:sz w:val="32"/>
          <w:szCs w:val="32"/>
        </w:rPr>
      </w:pPr>
      <w:r>
        <w:rPr>
          <w:rFonts w:hint="eastAsia" w:ascii="仿宋_GB2312" w:hAnsi="宋体" w:eastAsia="仿宋_GB2312" w:cs="宋体"/>
          <w:sz w:val="32"/>
          <w:szCs w:val="32"/>
        </w:rPr>
        <w:t>与预算相比情况：2017年支出预算数261.48元，支出决算数241.4万元，与预算数相比，支出决算数减少20.08万元，降低7.7%；减少的主要原因是：上级专项资金不可预计，本年项目资金减少。</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二、部门财政拨款收支情况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（一）财政拨款收支总体情况说明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2017年度财政拨款收入241.40万元，与上年相比，增加70.14万元，增长22.51%，增加的主要原因是：本年度人员增资；财政拨款支出241.40万元，与上年相比，增加70.14万元，增长22.51%，其中：基本支出241.40万元，项目支出0万元，与上年相比，减少20.08万元，降低7.7%，财政拨款结转结余0万元，与上年相比无变化。减少的主要原因是：本年度项目减少。</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与预算相比情况：2017年财政拨款收入年初预算数261.48元，财政拨款收入决算数246.86万元，减少20.08万元，降低7.7%；2017年财政拨款支出年初预算数261.48元，财政拨款支出决算数246.86万元，减少20.08万元，降低7.7%。减少的主要原因是：上级专项资金不可预计，本年项目资金减少。</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（二）一般公共预算支出决算情况说明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2017年度一般公共预算财政拨款支出241.40万元。与上年相比，增加70.14万元，增加22.51%，增加的主要原因是：本年度人员增加。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其中：按功能分类科目，机关事业单位基本养老保险缴费支出29.01万元，行政运行支出195.19万元，住房公积金17.193万元。按经济分类科目，工资福利支出205.42万元，商品和服务支出6.96万元，对个人和家庭的补助支出29.014万元。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与预算相比情况：2017年年初预算数261.48元，一般公共预算财政拨款支出246.86万元，与预算数相比，一般公共预算财政拨款支出决算数减少20.08万元，降低7.7%，减少的主要原因是：上级专项资金不可预计，本年项目资金减少。</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（三）政府性基金预算收支决算情况说明 （本单位无政府性基金预算收支。）</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2017年度政府性基金预算财政拨款收入0万元，与上年相比，增加（减少）0万元，增长（降低）0%。增减变化的主要原因是：本单位上年和本年均无政府性基金预算收支。政府性基金预算财政拨款支出0万元，与上年相比，增加（减少）0万元，增长（降低）0%。增减变化的主要原因是：本单位上年和本年均无政府性基金预算收支。</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（四）政府性基金预算支出决算情况说明（本单位无政府性基金预算收支。）</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2017年度政府性基金预算支出0万元。与上年相比，增加（减少）0万元，增长（降低）0%。增减变化的主要原因是：本单位上年和本年均无政府性基金预算收支。其中：按功能分类科目，本单位无政府性基金预算收支。按经济分类科目，本单位无政府性基金预算收支。</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与预算相比情况：本单位无政府性基金预算收支。</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三、部门结转结余情况（本单位无结转结余情况。）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年</w:t>
      </w:r>
      <w:r>
        <w:rPr>
          <w:rFonts w:hint="eastAsia" w:hAnsi="宋体" w:cs="宋体"/>
          <w:sz w:val="32"/>
          <w:szCs w:val="32"/>
        </w:rPr>
        <w:t>末</w:t>
      </w:r>
      <w:r>
        <w:rPr>
          <w:rFonts w:hint="eastAsia" w:ascii="仿宋_GB2312" w:hAnsi="宋体" w:eastAsia="仿宋_GB2312" w:cs="宋体"/>
          <w:sz w:val="32"/>
          <w:szCs w:val="32"/>
        </w:rPr>
        <w:t>无结转结余0万元。与上年相比，增加（减少）0万元，增长（降低）0%。</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其中财政拨款结转结余0万元。与上年相比，增加（减少）0万元，增长（降低）0%。</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四、一般公共预算“三公”经费支出情况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2017年度一般公共预算“三公”经费支出决算1.5万元，比上年增加（减少）0万元，增长（降低）0%，增加（减少）原因是：“三公”经费与上年相比无增减变化。其中，因公出国费支出0万元，占0%，比上年增加（减少）0万元，增长（降低）0%，增加（减少）原因是：本单位上年和本年无因公出国费用。公务用车购置及运行维护费支出1.5万元，占0%，比上年增加（减少）0万元，增长（降低）0%，增加（减少）原因是：上年与本年公务用车购置及运行维护费无增减变化；公务接待费支出0万元，比上年增加（减少）0万元，增长（降低）0%，增加（减少）原因是：上年与本年公务用车购置及运行维护费无增减变化。具体情况如下：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因公出国费支出0万元。本单位全年使用一般公共预算财政拨款安排的出国团组0个，累计0人次，无出国事由，与上年相比无增减变化。 </w:t>
      </w:r>
    </w:p>
    <w:p>
      <w:pPr>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公务用车购置及运行维护费1.5万元,其中，公务用车购置0万元，公务用车运行维护费1.5万元，主要用于车辆加油与维修维护费。2017年一般公共财政拨款安排的公务用车购置0辆，保有量为1辆，公务用车购置及运行维护费与上年相比无增减变化。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公务接待费0万元。具体是：国内公务接待支出0万元，主要是：本单位本年无公务接待费。2017年本单位国内公务接待0批次，0人次，公务接待费与上年相比无增减变化。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与预算相比情况：“三公”经费年初预算数1.5万元，决算数1.5万元，与预算相比，无增减变化，主要是因为严格执行中央八项</w:t>
      </w:r>
      <w:r>
        <w:rPr>
          <w:rFonts w:hint="eastAsia" w:ascii="仿宋_GB2312" w:hAnsi="宋体" w:eastAsia="仿宋_GB2312" w:cs="宋体"/>
          <w:sz w:val="32"/>
          <w:szCs w:val="32"/>
          <w:lang w:eastAsia="zh-CN"/>
        </w:rPr>
        <w:t>规定</w:t>
      </w:r>
      <w:r>
        <w:rPr>
          <w:rFonts w:hint="eastAsia" w:ascii="仿宋_GB2312" w:hAnsi="宋体" w:eastAsia="仿宋_GB2312" w:cs="宋体"/>
          <w:sz w:val="32"/>
          <w:szCs w:val="32"/>
        </w:rPr>
        <w:t>，控制经费支出。</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五、机关运行经费支出情况 </w:t>
      </w:r>
    </w:p>
    <w:p>
      <w:pPr>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2017年度机关运行经费支出6.96万元，比上年减少1.19万元，减少14.6% ，减少的主要原因是：严格执行中央</w:t>
      </w:r>
      <w:bookmarkStart w:id="1" w:name="_GoBack"/>
      <w:bookmarkEnd w:id="1"/>
      <w:r>
        <w:rPr>
          <w:rFonts w:hint="eastAsia" w:ascii="仿宋_GB2312" w:hAnsi="宋体" w:eastAsia="仿宋_GB2312" w:cs="宋体"/>
          <w:sz w:val="32"/>
          <w:szCs w:val="32"/>
        </w:rPr>
        <w:t>八项规定，压缩各类经费开支。</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六、政府采购情况 （本单位本年无政府采购资金。）</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2017年度政府采购计划0万元，其中：政府采购货物支出0元、政府采购工程支出0万元、政府采购服务支出0元；实际采购0万元，其中：政府采购货物支出0万元、政府采购工程支出0万元、政府采购服务支出0万元。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七、其他重要事项的情况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（一）国有资产占用情况说明 </w:t>
      </w:r>
    </w:p>
    <w:p>
      <w:pPr>
        <w:spacing w:line="500" w:lineRule="exact"/>
        <w:ind w:firstLine="640" w:firstLineChars="200"/>
        <w:rPr>
          <w:rFonts w:ascii="仿宋_GB2312" w:hAnsi="宋体" w:eastAsia="仿宋_GB2312"/>
          <w:sz w:val="32"/>
          <w:szCs w:val="32"/>
        </w:rPr>
      </w:pPr>
      <w:r>
        <w:rPr>
          <w:rFonts w:hint="eastAsia" w:ascii="仿宋_GB2312" w:hAnsi="宋体" w:eastAsia="仿宋_GB2312" w:cs="宋体"/>
          <w:sz w:val="32"/>
          <w:szCs w:val="32"/>
        </w:rPr>
        <w:t>截至:2017年12月31日，资产总计125.62万元，其中：流动资产3.25万元，固定资产122.37万元，其中：房屋1064.25（平方米），价值36.07万元，共有车辆4辆，价值41.53万元，其中：部级领导干部用车0辆、一般公务用车0辆、一般用车0辆、专业技术用车0辆、其他用车4辆（其他用车主要是：动物检疫车等）；单位价值50万元以上通用设备0台（套）、单位价值100万元以上专用设备0台（套），其他固定资产价值44.78万元。</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其他有关说明内容：无。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（二）国有资产收益征缴情况说明 （本单位无国有资产收益征缴情况。）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截至2017年12月31日，资产有偿使用收入合计  0  万元，资产处置收入合计0万元。其中：已缴国库0万元，已缴财政专户0万元，应缴未缴0万元，单位留用0万元。</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（三）部门项目支出情况和项目绩效评价情况说明 （本单位无项目资金支出。）</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2017年度，本单位实行绩效管理的项目0个，涉及预算0万元，项目支出决算0万元。年末本单位民生项目和重点支出项目的绩效评价开展情况　及结果：</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注：本单位无项目资金支出。</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jc w:val="center"/>
        <w:rPr>
          <w:rFonts w:ascii="黑体" w:hAnsi="宋体" w:eastAsia="黑体" w:cs="宋体"/>
          <w:sz w:val="32"/>
          <w:szCs w:val="32"/>
        </w:rPr>
      </w:pPr>
      <w:r>
        <w:rPr>
          <w:rFonts w:hint="eastAsia" w:ascii="黑体" w:hAnsi="宋体" w:eastAsia="黑体" w:cs="宋体"/>
          <w:sz w:val="32"/>
          <w:szCs w:val="32"/>
        </w:rPr>
        <w:t>第三部分 专业名词解释</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财政拨款收入：指同级财政当年拨付的资金。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上级补助收入：指事业单位从主管部门和上级单位取得的非财政补助收入。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事业收入：指事业单位开展专业业务活动及其辅助活动所取得的收入。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经营收入：指事业单位在专业业务活动及其辅助活动之外开展非独立核算经营活动取得的收入。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附属单位缴款：指事业单位附属的独立核算单位按有关规定上缴的收入。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其他收入：指除上述“财政拨款收入”、“事业收入”、“经营收入”、“附属单位缴款”等之外取得的收入。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上年结转和结余：指以前年度支出预算因客观条件变化未执行完毕、结转到本年度按有关规定继续使用的资金，既包括财政拨款结转和结余，也包括事业收入、经营收入、其他收入的结转和结余。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结余分配：反映单位当年结余的分配情况。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基本支出：指为保障机构正常运转、完成日常工作任务而发生的人员支出和公用支出。</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项目支出：指在基本支出之外为完成特定行政任务和事业发展目标所发生的支出。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经营支出：指事业单位在专业业务活动及其辅助活动之外开展非独立核算经营活动发生的支出。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对附属单位补助支出：指事业单位发生的用非财政预算资金对附属单位的补助支出。</w:t>
      </w:r>
    </w:p>
    <w:p>
      <w:pPr>
        <w:pStyle w:val="2"/>
        <w:spacing w:line="500" w:lineRule="exact"/>
        <w:ind w:firstLine="320" w:firstLineChars="100"/>
        <w:rPr>
          <w:rFonts w:ascii="仿宋_GB2312" w:hAnsi="宋体" w:eastAsia="仿宋_GB2312" w:cs="宋体"/>
          <w:sz w:val="32"/>
          <w:szCs w:val="32"/>
        </w:rPr>
      </w:pPr>
      <w:r>
        <w:rPr>
          <w:rFonts w:hint="eastAsia" w:ascii="仿宋_GB2312" w:hAnsi="宋体" w:eastAsia="仿宋_GB2312" w:cs="宋体"/>
          <w:sz w:val="32"/>
          <w:szCs w:val="32"/>
        </w:rPr>
        <w:t xml:space="preserve"> “三公”经费：指用一般公共预算财政拨款安排的因公出国费、公务用车购置及运行费和公务接待费。其中，因公出国费反映单位公务出国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本单位支出功能分类说明。208（类）05（款）05（项）：指机关事业单位基本养老保险缴费支出；213（类）01（款）01（项）：指行政运行支出；221（类）02（款）01（项）：指住房公积金支出。</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jc w:val="center"/>
        <w:rPr>
          <w:rFonts w:ascii="黑体" w:hAnsi="宋体" w:eastAsia="黑体" w:cs="宋体"/>
          <w:sz w:val="32"/>
          <w:szCs w:val="32"/>
        </w:rPr>
      </w:pPr>
      <w:r>
        <w:rPr>
          <w:rFonts w:hint="eastAsia" w:ascii="黑体" w:hAnsi="宋体" w:eastAsia="黑体" w:cs="宋体"/>
          <w:sz w:val="32"/>
          <w:szCs w:val="32"/>
        </w:rPr>
        <w:t>第四部分 部门决算报表（见附表）</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一、报表封面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二、《收入支出决算总表》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三、《收入决算表》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四、《支出决算表》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五、《收入支出决算表》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六、《项目收入支出决算表》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七、《行政事业类项目收入支出决算表》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八、《基本建设类项目收入支出决算表》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九、《支出决算明细表》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十、《基本支出决算明细表》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十一、《项目支出决算明细表》</w:t>
      </w:r>
      <w:r>
        <w:rPr>
          <w:rFonts w:hint="eastAsia" w:ascii="仿宋_GB2312" w:hAnsi="Calibri" w:eastAsia="仿宋_GB2312" w:cs="Times New Roman"/>
          <w:sz w:val="32"/>
          <w:szCs w:val="32"/>
        </w:rPr>
        <w:t>（</w:t>
      </w:r>
      <w:r>
        <w:rPr>
          <w:rFonts w:hint="eastAsia" w:ascii="仿宋_GB2312" w:hAnsi="宋体" w:eastAsia="仿宋_GB2312" w:cs="宋体"/>
          <w:sz w:val="32"/>
          <w:szCs w:val="32"/>
        </w:rPr>
        <w:t>空表，无此项数据）</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十二、《财政专户管理资金收入支出决算表》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十三、《财政拨款收入支出决算总表》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十四、《一般公共预算财政拨款收入支出决算表》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十五、《一般公共预算财政拨款支出决算明细表》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十六、《一般公共预算财政拨款基本支出决算明细表》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十七、《一般公共预算财政拨款项目支出决算明细表》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spacing w:line="500" w:lineRule="exact"/>
        <w:ind w:left="960" w:hanging="960" w:hangingChars="300"/>
        <w:rPr>
          <w:rFonts w:ascii="仿宋_GB2312" w:hAnsi="宋体" w:eastAsia="仿宋_GB2312" w:cs="宋体"/>
          <w:sz w:val="32"/>
          <w:szCs w:val="32"/>
        </w:rPr>
      </w:pPr>
      <w:r>
        <w:rPr>
          <w:rFonts w:hint="eastAsia" w:ascii="仿宋_GB2312" w:hAnsi="宋体" w:eastAsia="仿宋_GB2312" w:cs="宋体"/>
          <w:sz w:val="32"/>
          <w:szCs w:val="32"/>
        </w:rPr>
        <w:t>十八、《政府性基金预算财政拨款收入支出决算表》</w:t>
      </w:r>
      <w:r>
        <w:rPr>
          <w:rFonts w:hint="eastAsia" w:ascii="仿宋_GB2312" w:hAnsi="Calibri" w:eastAsia="仿宋_GB2312"/>
          <w:sz w:val="32"/>
          <w:szCs w:val="32"/>
        </w:rPr>
        <w:t>（</w:t>
      </w:r>
      <w:r>
        <w:rPr>
          <w:rFonts w:hint="eastAsia" w:ascii="仿宋_GB2312" w:hAnsi="宋体" w:eastAsia="仿宋_GB2312" w:cs="宋体"/>
          <w:sz w:val="32"/>
          <w:szCs w:val="32"/>
        </w:rPr>
        <w:t>空表，无此项数据）</w:t>
      </w:r>
    </w:p>
    <w:p>
      <w:pPr>
        <w:spacing w:line="500" w:lineRule="exact"/>
        <w:ind w:left="960" w:hanging="960" w:hangingChars="300"/>
        <w:rPr>
          <w:rFonts w:ascii="仿宋_GB2312" w:hAnsi="宋体" w:eastAsia="仿宋_GB2312" w:cs="宋体"/>
          <w:sz w:val="32"/>
          <w:szCs w:val="32"/>
        </w:rPr>
      </w:pPr>
      <w:r>
        <w:rPr>
          <w:rFonts w:hint="eastAsia" w:ascii="仿宋_GB2312" w:hAnsi="宋体" w:eastAsia="仿宋_GB2312" w:cs="宋体"/>
          <w:sz w:val="32"/>
          <w:szCs w:val="32"/>
        </w:rPr>
        <w:t>十九、《政府性基金预算财政拨款支出决算明细表》</w:t>
      </w:r>
      <w:r>
        <w:rPr>
          <w:rFonts w:hint="eastAsia" w:ascii="仿宋_GB2312" w:hAnsi="Calibri" w:eastAsia="仿宋_GB2312"/>
          <w:sz w:val="32"/>
          <w:szCs w:val="32"/>
        </w:rPr>
        <w:t>（</w:t>
      </w:r>
      <w:r>
        <w:rPr>
          <w:rFonts w:hint="eastAsia" w:ascii="仿宋_GB2312" w:hAnsi="宋体" w:eastAsia="仿宋_GB2312" w:cs="宋体"/>
          <w:sz w:val="32"/>
          <w:szCs w:val="32"/>
        </w:rPr>
        <w:t xml:space="preserve">空表，无此项数据） </w:t>
      </w:r>
    </w:p>
    <w:p>
      <w:pPr>
        <w:spacing w:line="500" w:lineRule="exact"/>
        <w:ind w:left="960" w:hanging="960" w:hangingChars="300"/>
        <w:rPr>
          <w:rFonts w:ascii="仿宋_GB2312" w:hAnsi="宋体" w:eastAsia="仿宋_GB2312" w:cs="宋体"/>
          <w:sz w:val="32"/>
          <w:szCs w:val="32"/>
        </w:rPr>
      </w:pPr>
      <w:r>
        <w:rPr>
          <w:rFonts w:hint="eastAsia" w:ascii="仿宋_GB2312" w:hAnsi="宋体" w:eastAsia="仿宋_GB2312" w:cs="宋体"/>
          <w:sz w:val="32"/>
          <w:szCs w:val="32"/>
        </w:rPr>
        <w:t xml:space="preserve">二十、《政府性基金预算财政拨款基本支出决算明细表》 </w:t>
      </w:r>
      <w:r>
        <w:rPr>
          <w:rFonts w:hint="eastAsia" w:ascii="仿宋_GB2312" w:hAnsi="Calibri" w:eastAsia="仿宋_GB2312"/>
          <w:sz w:val="32"/>
          <w:szCs w:val="32"/>
        </w:rPr>
        <w:t>（</w:t>
      </w:r>
      <w:r>
        <w:rPr>
          <w:rFonts w:hint="eastAsia" w:ascii="仿宋_GB2312" w:hAnsi="宋体" w:eastAsia="仿宋_GB2312" w:cs="宋体"/>
          <w:sz w:val="32"/>
          <w:szCs w:val="32"/>
        </w:rPr>
        <w:t>空表，无此项数据）</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二十一、《政府性基金预算财政拨款项目支出决算明细表》。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二十二、《资产负债简表》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二十三、《资产情况表》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二十四、《国有资产收益征缴情况表》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二十五、《基本数字表》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二十六、《机构人员情况表》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二十七、《非税收入征缴情况表》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二十八、《部门决算相关信息统计表》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二十九、《政府采购情况表》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三十、《2017年度一般公共预算“三公”经费支出情况表》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spacing w:line="500" w:lineRule="exact"/>
        <w:ind w:firstLine="640" w:firstLineChars="200"/>
        <w:rPr>
          <w:rFonts w:ascii="仿宋_GB2312" w:hAnsi="宋体" w:eastAsia="仿宋_GB2312" w:cs="宋体"/>
          <w:sz w:val="32"/>
          <w:szCs w:val="32"/>
        </w:rPr>
      </w:pPr>
    </w:p>
    <w:p>
      <w:pPr>
        <w:spacing w:line="500" w:lineRule="exact"/>
        <w:ind w:firstLine="640" w:firstLineChars="200"/>
        <w:rPr>
          <w:rFonts w:ascii="仿宋_GB2312" w:hAnsi="宋体" w:eastAsia="仿宋_GB2312" w:cs="宋体"/>
          <w:sz w:val="32"/>
          <w:szCs w:val="32"/>
        </w:rPr>
      </w:pPr>
    </w:p>
    <w:p>
      <w:pPr>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                      </w:t>
      </w: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82159"/>
    <w:rsid w:val="00006A87"/>
    <w:rsid w:val="000072AB"/>
    <w:rsid w:val="00012D74"/>
    <w:rsid w:val="000176D9"/>
    <w:rsid w:val="00024B7F"/>
    <w:rsid w:val="00034248"/>
    <w:rsid w:val="000364FA"/>
    <w:rsid w:val="00041A40"/>
    <w:rsid w:val="00044008"/>
    <w:rsid w:val="00052FE0"/>
    <w:rsid w:val="00053E8E"/>
    <w:rsid w:val="00054384"/>
    <w:rsid w:val="000567B1"/>
    <w:rsid w:val="00062AC7"/>
    <w:rsid w:val="000669CC"/>
    <w:rsid w:val="000703F5"/>
    <w:rsid w:val="000755DA"/>
    <w:rsid w:val="00082E8D"/>
    <w:rsid w:val="00086A97"/>
    <w:rsid w:val="00094D69"/>
    <w:rsid w:val="0009658C"/>
    <w:rsid w:val="000A056F"/>
    <w:rsid w:val="000A5461"/>
    <w:rsid w:val="000A65DB"/>
    <w:rsid w:val="000B22F9"/>
    <w:rsid w:val="000C2576"/>
    <w:rsid w:val="000C3B20"/>
    <w:rsid w:val="000D280A"/>
    <w:rsid w:val="000D7BB5"/>
    <w:rsid w:val="000E07BB"/>
    <w:rsid w:val="000E1E8D"/>
    <w:rsid w:val="000E7FFD"/>
    <w:rsid w:val="000F5434"/>
    <w:rsid w:val="001250CE"/>
    <w:rsid w:val="001354DE"/>
    <w:rsid w:val="001374C3"/>
    <w:rsid w:val="00140E78"/>
    <w:rsid w:val="00142BCE"/>
    <w:rsid w:val="00147040"/>
    <w:rsid w:val="0015133D"/>
    <w:rsid w:val="00151463"/>
    <w:rsid w:val="00157B94"/>
    <w:rsid w:val="001642D7"/>
    <w:rsid w:val="00170582"/>
    <w:rsid w:val="00175E9B"/>
    <w:rsid w:val="0018240F"/>
    <w:rsid w:val="00183136"/>
    <w:rsid w:val="001870FE"/>
    <w:rsid w:val="001943AB"/>
    <w:rsid w:val="001A6F10"/>
    <w:rsid w:val="001B17ED"/>
    <w:rsid w:val="001B3C4A"/>
    <w:rsid w:val="001B4E0F"/>
    <w:rsid w:val="001C27E9"/>
    <w:rsid w:val="001C55BD"/>
    <w:rsid w:val="001D09C9"/>
    <w:rsid w:val="001D202A"/>
    <w:rsid w:val="001D409E"/>
    <w:rsid w:val="001D6193"/>
    <w:rsid w:val="001E4658"/>
    <w:rsid w:val="00201438"/>
    <w:rsid w:val="0020220E"/>
    <w:rsid w:val="00203E53"/>
    <w:rsid w:val="00205C3B"/>
    <w:rsid w:val="002114D1"/>
    <w:rsid w:val="002165D8"/>
    <w:rsid w:val="00240359"/>
    <w:rsid w:val="00240DF1"/>
    <w:rsid w:val="00242FE4"/>
    <w:rsid w:val="00257208"/>
    <w:rsid w:val="002607F5"/>
    <w:rsid w:val="00262C89"/>
    <w:rsid w:val="00265B72"/>
    <w:rsid w:val="002743C3"/>
    <w:rsid w:val="00277A24"/>
    <w:rsid w:val="00283056"/>
    <w:rsid w:val="002835A2"/>
    <w:rsid w:val="00284759"/>
    <w:rsid w:val="00287A2E"/>
    <w:rsid w:val="00297725"/>
    <w:rsid w:val="002C37F3"/>
    <w:rsid w:val="002C677C"/>
    <w:rsid w:val="002C740B"/>
    <w:rsid w:val="002D3E53"/>
    <w:rsid w:val="002D5527"/>
    <w:rsid w:val="00303B2E"/>
    <w:rsid w:val="003053CB"/>
    <w:rsid w:val="003158E9"/>
    <w:rsid w:val="00316064"/>
    <w:rsid w:val="0031707E"/>
    <w:rsid w:val="003326EC"/>
    <w:rsid w:val="00333969"/>
    <w:rsid w:val="00333F9D"/>
    <w:rsid w:val="00340174"/>
    <w:rsid w:val="003457EA"/>
    <w:rsid w:val="003472C5"/>
    <w:rsid w:val="00357AC2"/>
    <w:rsid w:val="00365EF9"/>
    <w:rsid w:val="0037008E"/>
    <w:rsid w:val="00374619"/>
    <w:rsid w:val="00392F8A"/>
    <w:rsid w:val="003A09BE"/>
    <w:rsid w:val="003B0831"/>
    <w:rsid w:val="003B3F72"/>
    <w:rsid w:val="003B594E"/>
    <w:rsid w:val="003C2E54"/>
    <w:rsid w:val="003C6591"/>
    <w:rsid w:val="003D0C72"/>
    <w:rsid w:val="003D39BA"/>
    <w:rsid w:val="00405E57"/>
    <w:rsid w:val="00406AB0"/>
    <w:rsid w:val="00415103"/>
    <w:rsid w:val="00417715"/>
    <w:rsid w:val="00422042"/>
    <w:rsid w:val="0043072D"/>
    <w:rsid w:val="0043342B"/>
    <w:rsid w:val="00434EEE"/>
    <w:rsid w:val="00445A04"/>
    <w:rsid w:val="0045212A"/>
    <w:rsid w:val="00456ECA"/>
    <w:rsid w:val="0045740B"/>
    <w:rsid w:val="004701C4"/>
    <w:rsid w:val="004743B3"/>
    <w:rsid w:val="00485E54"/>
    <w:rsid w:val="00486188"/>
    <w:rsid w:val="00487059"/>
    <w:rsid w:val="00492A49"/>
    <w:rsid w:val="004A28B1"/>
    <w:rsid w:val="004A5A41"/>
    <w:rsid w:val="004D1588"/>
    <w:rsid w:val="004D2787"/>
    <w:rsid w:val="004D48D7"/>
    <w:rsid w:val="004D6F93"/>
    <w:rsid w:val="004E3BB3"/>
    <w:rsid w:val="0050291C"/>
    <w:rsid w:val="00505B29"/>
    <w:rsid w:val="005219F0"/>
    <w:rsid w:val="005272D8"/>
    <w:rsid w:val="00532879"/>
    <w:rsid w:val="0053680D"/>
    <w:rsid w:val="00544218"/>
    <w:rsid w:val="005445F3"/>
    <w:rsid w:val="00547CA3"/>
    <w:rsid w:val="00552B99"/>
    <w:rsid w:val="00565025"/>
    <w:rsid w:val="005661B2"/>
    <w:rsid w:val="00590027"/>
    <w:rsid w:val="00592401"/>
    <w:rsid w:val="005B0150"/>
    <w:rsid w:val="005B3712"/>
    <w:rsid w:val="005B66A2"/>
    <w:rsid w:val="005C24CE"/>
    <w:rsid w:val="005D008D"/>
    <w:rsid w:val="005D5345"/>
    <w:rsid w:val="005D5F98"/>
    <w:rsid w:val="005D6922"/>
    <w:rsid w:val="005E4828"/>
    <w:rsid w:val="005E5284"/>
    <w:rsid w:val="005F70AA"/>
    <w:rsid w:val="006157EE"/>
    <w:rsid w:val="0061786C"/>
    <w:rsid w:val="00621F83"/>
    <w:rsid w:val="0063024C"/>
    <w:rsid w:val="00642F1B"/>
    <w:rsid w:val="00652762"/>
    <w:rsid w:val="006537AC"/>
    <w:rsid w:val="00656A98"/>
    <w:rsid w:val="0066260D"/>
    <w:rsid w:val="00671F83"/>
    <w:rsid w:val="00672B4C"/>
    <w:rsid w:val="006773BD"/>
    <w:rsid w:val="00685F2C"/>
    <w:rsid w:val="006878B4"/>
    <w:rsid w:val="00696752"/>
    <w:rsid w:val="00696B58"/>
    <w:rsid w:val="006A1621"/>
    <w:rsid w:val="006A2219"/>
    <w:rsid w:val="006A56FC"/>
    <w:rsid w:val="006A7356"/>
    <w:rsid w:val="006C7E84"/>
    <w:rsid w:val="006D4B96"/>
    <w:rsid w:val="006E5576"/>
    <w:rsid w:val="006F1159"/>
    <w:rsid w:val="006F13E9"/>
    <w:rsid w:val="006F3090"/>
    <w:rsid w:val="006F3AD3"/>
    <w:rsid w:val="006F4B6E"/>
    <w:rsid w:val="006F7FA8"/>
    <w:rsid w:val="0070486D"/>
    <w:rsid w:val="007060A1"/>
    <w:rsid w:val="00707EE0"/>
    <w:rsid w:val="007226FB"/>
    <w:rsid w:val="00735957"/>
    <w:rsid w:val="00745C45"/>
    <w:rsid w:val="00772339"/>
    <w:rsid w:val="007747C2"/>
    <w:rsid w:val="007819CF"/>
    <w:rsid w:val="00782159"/>
    <w:rsid w:val="00790194"/>
    <w:rsid w:val="00793A29"/>
    <w:rsid w:val="00793D15"/>
    <w:rsid w:val="007978CD"/>
    <w:rsid w:val="00797B8F"/>
    <w:rsid w:val="007A2BDC"/>
    <w:rsid w:val="007C0DE1"/>
    <w:rsid w:val="007C291F"/>
    <w:rsid w:val="007D7314"/>
    <w:rsid w:val="00807CB8"/>
    <w:rsid w:val="008104D1"/>
    <w:rsid w:val="00815033"/>
    <w:rsid w:val="00823C5A"/>
    <w:rsid w:val="008321EE"/>
    <w:rsid w:val="0083537D"/>
    <w:rsid w:val="00842279"/>
    <w:rsid w:val="00842376"/>
    <w:rsid w:val="00847706"/>
    <w:rsid w:val="00854186"/>
    <w:rsid w:val="00854835"/>
    <w:rsid w:val="00861029"/>
    <w:rsid w:val="008640A7"/>
    <w:rsid w:val="008664F8"/>
    <w:rsid w:val="00877032"/>
    <w:rsid w:val="00880D0D"/>
    <w:rsid w:val="008872A2"/>
    <w:rsid w:val="00893317"/>
    <w:rsid w:val="008936E7"/>
    <w:rsid w:val="0089520C"/>
    <w:rsid w:val="00895A64"/>
    <w:rsid w:val="00895BE7"/>
    <w:rsid w:val="008B02AA"/>
    <w:rsid w:val="008C3A66"/>
    <w:rsid w:val="008C3EC1"/>
    <w:rsid w:val="008C5ABD"/>
    <w:rsid w:val="008D28A9"/>
    <w:rsid w:val="008D5B9E"/>
    <w:rsid w:val="008E26A2"/>
    <w:rsid w:val="008F46A7"/>
    <w:rsid w:val="0090620E"/>
    <w:rsid w:val="009078E5"/>
    <w:rsid w:val="00910498"/>
    <w:rsid w:val="00921F8C"/>
    <w:rsid w:val="00927630"/>
    <w:rsid w:val="00934911"/>
    <w:rsid w:val="009545D8"/>
    <w:rsid w:val="00954B4B"/>
    <w:rsid w:val="009568E5"/>
    <w:rsid w:val="009827B5"/>
    <w:rsid w:val="00986E5F"/>
    <w:rsid w:val="009A7D21"/>
    <w:rsid w:val="009B4AF6"/>
    <w:rsid w:val="009C453B"/>
    <w:rsid w:val="009C7F6B"/>
    <w:rsid w:val="009D0709"/>
    <w:rsid w:val="009D1B17"/>
    <w:rsid w:val="009D2AE5"/>
    <w:rsid w:val="009E1A91"/>
    <w:rsid w:val="009F1B75"/>
    <w:rsid w:val="009F39C7"/>
    <w:rsid w:val="009F6D25"/>
    <w:rsid w:val="00A20870"/>
    <w:rsid w:val="00A2792B"/>
    <w:rsid w:val="00A30E12"/>
    <w:rsid w:val="00A32422"/>
    <w:rsid w:val="00A3418E"/>
    <w:rsid w:val="00A407D1"/>
    <w:rsid w:val="00A44317"/>
    <w:rsid w:val="00A536B6"/>
    <w:rsid w:val="00A63C42"/>
    <w:rsid w:val="00A97B23"/>
    <w:rsid w:val="00AA1759"/>
    <w:rsid w:val="00AA3003"/>
    <w:rsid w:val="00AB21A3"/>
    <w:rsid w:val="00AB7D14"/>
    <w:rsid w:val="00AC139B"/>
    <w:rsid w:val="00AD7784"/>
    <w:rsid w:val="00AF4846"/>
    <w:rsid w:val="00B04E4D"/>
    <w:rsid w:val="00B05194"/>
    <w:rsid w:val="00B23E82"/>
    <w:rsid w:val="00B24563"/>
    <w:rsid w:val="00B4468E"/>
    <w:rsid w:val="00B513E3"/>
    <w:rsid w:val="00B573D3"/>
    <w:rsid w:val="00B607AE"/>
    <w:rsid w:val="00B635BA"/>
    <w:rsid w:val="00B80987"/>
    <w:rsid w:val="00B839F5"/>
    <w:rsid w:val="00B907A7"/>
    <w:rsid w:val="00B919A9"/>
    <w:rsid w:val="00BA249C"/>
    <w:rsid w:val="00BB2497"/>
    <w:rsid w:val="00BB372B"/>
    <w:rsid w:val="00BB7B3E"/>
    <w:rsid w:val="00BC072E"/>
    <w:rsid w:val="00BC5063"/>
    <w:rsid w:val="00BC6684"/>
    <w:rsid w:val="00BD4413"/>
    <w:rsid w:val="00BF32D3"/>
    <w:rsid w:val="00C15174"/>
    <w:rsid w:val="00C3223E"/>
    <w:rsid w:val="00C337C1"/>
    <w:rsid w:val="00C3662B"/>
    <w:rsid w:val="00C4155A"/>
    <w:rsid w:val="00C42A1F"/>
    <w:rsid w:val="00C45F21"/>
    <w:rsid w:val="00C605BD"/>
    <w:rsid w:val="00C61DC5"/>
    <w:rsid w:val="00C62423"/>
    <w:rsid w:val="00C86FB1"/>
    <w:rsid w:val="00C955CC"/>
    <w:rsid w:val="00C9712F"/>
    <w:rsid w:val="00C97E32"/>
    <w:rsid w:val="00CA0E2D"/>
    <w:rsid w:val="00CA16C8"/>
    <w:rsid w:val="00CB3117"/>
    <w:rsid w:val="00CE1862"/>
    <w:rsid w:val="00CE37ED"/>
    <w:rsid w:val="00CF0ECB"/>
    <w:rsid w:val="00D4613F"/>
    <w:rsid w:val="00D51AD5"/>
    <w:rsid w:val="00D51E0D"/>
    <w:rsid w:val="00D5318C"/>
    <w:rsid w:val="00D554FC"/>
    <w:rsid w:val="00D55F29"/>
    <w:rsid w:val="00D60A9C"/>
    <w:rsid w:val="00D81BC9"/>
    <w:rsid w:val="00D81E3D"/>
    <w:rsid w:val="00D92DEA"/>
    <w:rsid w:val="00DA057C"/>
    <w:rsid w:val="00DA16BE"/>
    <w:rsid w:val="00DA458A"/>
    <w:rsid w:val="00DA7C3C"/>
    <w:rsid w:val="00DB13AB"/>
    <w:rsid w:val="00DB2FC5"/>
    <w:rsid w:val="00DE344D"/>
    <w:rsid w:val="00E02CF8"/>
    <w:rsid w:val="00E22BA2"/>
    <w:rsid w:val="00E31C3F"/>
    <w:rsid w:val="00E339F2"/>
    <w:rsid w:val="00E43C77"/>
    <w:rsid w:val="00E578A5"/>
    <w:rsid w:val="00E6349D"/>
    <w:rsid w:val="00E6755B"/>
    <w:rsid w:val="00E774D0"/>
    <w:rsid w:val="00E834BA"/>
    <w:rsid w:val="00E8388E"/>
    <w:rsid w:val="00E953BE"/>
    <w:rsid w:val="00EA2495"/>
    <w:rsid w:val="00EA5F52"/>
    <w:rsid w:val="00EC1F82"/>
    <w:rsid w:val="00EC282F"/>
    <w:rsid w:val="00ED1CF9"/>
    <w:rsid w:val="00ED71A3"/>
    <w:rsid w:val="00ED7C8E"/>
    <w:rsid w:val="00EE2E07"/>
    <w:rsid w:val="00EE66B1"/>
    <w:rsid w:val="00EF1F0B"/>
    <w:rsid w:val="00EF3B2C"/>
    <w:rsid w:val="00EF5DF8"/>
    <w:rsid w:val="00EF7B17"/>
    <w:rsid w:val="00F0364D"/>
    <w:rsid w:val="00F04405"/>
    <w:rsid w:val="00F06CB4"/>
    <w:rsid w:val="00F07460"/>
    <w:rsid w:val="00F108A1"/>
    <w:rsid w:val="00F16C5D"/>
    <w:rsid w:val="00F30C1A"/>
    <w:rsid w:val="00F453E0"/>
    <w:rsid w:val="00F55EBB"/>
    <w:rsid w:val="00F71A7A"/>
    <w:rsid w:val="00F81C9E"/>
    <w:rsid w:val="00F820FC"/>
    <w:rsid w:val="00F83DB6"/>
    <w:rsid w:val="00F85CE3"/>
    <w:rsid w:val="00F9067D"/>
    <w:rsid w:val="00FA08FE"/>
    <w:rsid w:val="00FA2C9B"/>
    <w:rsid w:val="00FE07FA"/>
    <w:rsid w:val="00FE4411"/>
    <w:rsid w:val="00FF02BD"/>
    <w:rsid w:val="00FF5D03"/>
    <w:rsid w:val="040220E9"/>
    <w:rsid w:val="06DB0F51"/>
    <w:rsid w:val="07C10666"/>
    <w:rsid w:val="0A1151C5"/>
    <w:rsid w:val="0D9E33A3"/>
    <w:rsid w:val="0DF547A5"/>
    <w:rsid w:val="0DF65881"/>
    <w:rsid w:val="0F7B07B6"/>
    <w:rsid w:val="11CF3208"/>
    <w:rsid w:val="12023A8C"/>
    <w:rsid w:val="126C4B0A"/>
    <w:rsid w:val="160A06D7"/>
    <w:rsid w:val="16BB33FA"/>
    <w:rsid w:val="17A042E5"/>
    <w:rsid w:val="1E0E74CB"/>
    <w:rsid w:val="1FA527A3"/>
    <w:rsid w:val="21D57BD6"/>
    <w:rsid w:val="235F7595"/>
    <w:rsid w:val="281B3493"/>
    <w:rsid w:val="2A7C629F"/>
    <w:rsid w:val="2AA037B3"/>
    <w:rsid w:val="2B5D1C2C"/>
    <w:rsid w:val="2F27189C"/>
    <w:rsid w:val="2F632BE5"/>
    <w:rsid w:val="33446966"/>
    <w:rsid w:val="35526986"/>
    <w:rsid w:val="36765B97"/>
    <w:rsid w:val="3B3304A0"/>
    <w:rsid w:val="3E871675"/>
    <w:rsid w:val="42876676"/>
    <w:rsid w:val="43EE71EF"/>
    <w:rsid w:val="451427BB"/>
    <w:rsid w:val="531624B1"/>
    <w:rsid w:val="54D5783E"/>
    <w:rsid w:val="561C5026"/>
    <w:rsid w:val="5819655E"/>
    <w:rsid w:val="58A723EB"/>
    <w:rsid w:val="59B73681"/>
    <w:rsid w:val="5C1C5845"/>
    <w:rsid w:val="5D5F0CD2"/>
    <w:rsid w:val="619032DA"/>
    <w:rsid w:val="65F55C80"/>
    <w:rsid w:val="66732C36"/>
    <w:rsid w:val="702F6E8C"/>
    <w:rsid w:val="730633EE"/>
    <w:rsid w:val="7461543F"/>
    <w:rsid w:val="785E604F"/>
    <w:rsid w:val="78D95B5C"/>
    <w:rsid w:val="79B127D7"/>
    <w:rsid w:val="7AFB7780"/>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6"/>
    <w:qFormat/>
    <w:uiPriority w:val="0"/>
    <w:rPr>
      <w:rFonts w:ascii="宋体" w:hAnsi="Courier New" w:cs="Courier New"/>
      <w:szCs w:val="21"/>
    </w:rPr>
  </w:style>
  <w:style w:type="paragraph" w:styleId="3">
    <w:name w:val="Date"/>
    <w:basedOn w:val="1"/>
    <w:next w:val="1"/>
    <w:link w:val="11"/>
    <w:qFormat/>
    <w:uiPriority w:val="99"/>
    <w:pPr>
      <w:ind w:left="100" w:leftChars="2500"/>
    </w:pPr>
  </w:style>
  <w:style w:type="paragraph" w:styleId="4">
    <w:name w:val="Balloon Text"/>
    <w:basedOn w:val="1"/>
    <w:link w:val="12"/>
    <w:qFormat/>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240"/>
      <w:jc w:val="left"/>
    </w:pPr>
    <w:rPr>
      <w:rFonts w:ascii="宋体" w:hAnsi="宋体" w:cs="宋体"/>
      <w:kern w:val="0"/>
      <w:sz w:val="24"/>
    </w:rPr>
  </w:style>
  <w:style w:type="character" w:styleId="10">
    <w:name w:val="page number"/>
    <w:qFormat/>
    <w:uiPriority w:val="99"/>
    <w:rPr>
      <w:rFonts w:cs="Times New Roman"/>
    </w:rPr>
  </w:style>
  <w:style w:type="character" w:customStyle="1" w:styleId="11">
    <w:name w:val="日期 Char"/>
    <w:link w:val="3"/>
    <w:semiHidden/>
    <w:qFormat/>
    <w:locked/>
    <w:uiPriority w:val="99"/>
    <w:rPr>
      <w:rFonts w:cs="Times New Roman"/>
      <w:sz w:val="24"/>
      <w:szCs w:val="24"/>
    </w:rPr>
  </w:style>
  <w:style w:type="character" w:customStyle="1" w:styleId="12">
    <w:name w:val="批注框文本 Char"/>
    <w:link w:val="4"/>
    <w:qFormat/>
    <w:locked/>
    <w:uiPriority w:val="99"/>
    <w:rPr>
      <w:rFonts w:cs="Times New Roman"/>
      <w:kern w:val="2"/>
      <w:sz w:val="18"/>
    </w:rPr>
  </w:style>
  <w:style w:type="character" w:customStyle="1" w:styleId="13">
    <w:name w:val="页脚 Char"/>
    <w:link w:val="5"/>
    <w:qFormat/>
    <w:locked/>
    <w:uiPriority w:val="99"/>
    <w:rPr>
      <w:rFonts w:cs="Times New Roman"/>
      <w:kern w:val="2"/>
      <w:sz w:val="18"/>
    </w:rPr>
  </w:style>
  <w:style w:type="character" w:customStyle="1" w:styleId="14">
    <w:name w:val="页眉 Char"/>
    <w:link w:val="6"/>
    <w:qFormat/>
    <w:locked/>
    <w:uiPriority w:val="99"/>
    <w:rPr>
      <w:rFonts w:cs="Times New Roman"/>
      <w:kern w:val="2"/>
      <w:sz w:val="18"/>
    </w:rPr>
  </w:style>
  <w:style w:type="paragraph" w:customStyle="1" w:styleId="15">
    <w:name w:val="notice_title"/>
    <w:basedOn w:val="1"/>
    <w:qFormat/>
    <w:uiPriority w:val="99"/>
    <w:pPr>
      <w:widowControl/>
      <w:spacing w:after="225"/>
      <w:jc w:val="center"/>
    </w:pPr>
    <w:rPr>
      <w:rFonts w:ascii="宋体" w:hAnsi="宋体" w:cs="宋体"/>
      <w:b/>
      <w:bCs/>
      <w:color w:val="771325"/>
      <w:kern w:val="0"/>
      <w:szCs w:val="21"/>
    </w:rPr>
  </w:style>
  <w:style w:type="character" w:customStyle="1" w:styleId="16">
    <w:name w:val="纯文本 Char"/>
    <w:link w:val="2"/>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35E433-66B2-4D48-9C3C-EC255D9EEEE0}">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14</Pages>
  <Words>6367</Words>
  <Characters>818</Characters>
  <Lines>6</Lines>
  <Paragraphs>14</Paragraphs>
  <TotalTime>128</TotalTime>
  <ScaleCrop>false</ScaleCrop>
  <LinksUpToDate>false</LinksUpToDate>
  <CharactersWithSpaces>7171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2016-05-29T09:45:00Z</dcterms:created>
  <dc:creator>许梦如</dc:creator>
  <cp:lastModifiedBy>Administrator</cp:lastModifiedBy>
  <cp:lastPrinted>2015-08-28T07:57:00Z</cp:lastPrinted>
  <dcterms:modified xsi:type="dcterms:W3CDTF">2025-02-13T05:23:19Z</dcterms:modified>
  <dc:title>喀什地区部门决算和三公经费</dc:title>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