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年度新疆喀什地区叶城县农村合作经济经营管理局部门决算公开说明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负责全县土地承包监督管理：农村集体资产监督管理，农村合作经济组织管理，农民负担监督管理，农村财务管理，农村财务管理。</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从决算单位构成看，新疆喀什地区叶城县农村合作经济经营管理局部门决算包括：新疆喀什地区叶城县农村合作经济经营管理局部门本级决算、所属单位决算等。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纳入新疆喀什地区叶城县农村合作经济经营管理局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新疆喀什地区叶城县农村合作经济经营管理局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97.48</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51.93</w:t>
      </w:r>
      <w:r>
        <w:rPr>
          <w:rFonts w:hint="eastAsia" w:ascii="仿宋_GB2312" w:eastAsia="仿宋_GB2312" w:cs="仿宋_GB2312"/>
          <w:sz w:val="32"/>
          <w:szCs w:val="32"/>
        </w:rPr>
        <w:t>万元，下降</w:t>
      </w:r>
      <w:r>
        <w:rPr>
          <w:rFonts w:ascii="仿宋_GB2312" w:eastAsia="仿宋_GB2312" w:cs="仿宋_GB2312"/>
          <w:sz w:val="32"/>
          <w:szCs w:val="32"/>
        </w:rPr>
        <w:t>34.76%</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项目资金减少；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97.48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51.93</w:t>
      </w:r>
      <w:r>
        <w:rPr>
          <w:rFonts w:hint="eastAsia" w:ascii="仿宋_GB2312" w:eastAsia="仿宋_GB2312" w:cs="仿宋_GB2312"/>
          <w:sz w:val="32"/>
          <w:szCs w:val="32"/>
        </w:rPr>
        <w:t>万元，下降</w:t>
      </w:r>
      <w:r>
        <w:rPr>
          <w:rFonts w:ascii="仿宋_GB2312" w:eastAsia="仿宋_GB2312" w:cs="仿宋_GB2312"/>
          <w:sz w:val="32"/>
          <w:szCs w:val="32"/>
        </w:rPr>
        <w:t>34.76%</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项目资金减少；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8"/>
      <w:r>
        <w:rPr>
          <w:rFonts w:hint="eastAsia" w:ascii="仿宋_GB2312" w:eastAsia="仿宋_GB2312" w:cs="仿宋_GB2312"/>
          <w:color w:val="000000" w:themeColor="text1"/>
          <w:sz w:val="32"/>
          <w:szCs w:val="32"/>
        </w:rPr>
        <w:t>与上年相比，增加0万元，增长0%，增加的主要原因及：无结余。</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97.48</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97.48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1,091.13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97.48</w:t>
      </w:r>
      <w:r>
        <w:rPr>
          <w:rFonts w:hint="eastAsia" w:ascii="仿宋_GB2312" w:eastAsia="仿宋_GB2312" w:cs="仿宋_GB2312"/>
          <w:sz w:val="32"/>
          <w:szCs w:val="32"/>
        </w:rPr>
        <w:t>万元，预决算差异率</w:t>
      </w:r>
      <w:r>
        <w:rPr>
          <w:rFonts w:ascii="仿宋_GB2312" w:eastAsia="仿宋_GB2312" w:cs="仿宋_GB2312"/>
          <w:sz w:val="32"/>
          <w:szCs w:val="32"/>
        </w:rPr>
        <w:t>-91.07%</w:t>
      </w:r>
      <w:r>
        <w:rPr>
          <w:rFonts w:hint="eastAsia" w:ascii="仿宋_GB2312" w:eastAsia="仿宋_GB2312" w:cs="仿宋_GB2312"/>
          <w:sz w:val="32"/>
          <w:szCs w:val="32"/>
        </w:rPr>
        <w:t>，差异主要原因是减少项目资金。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97.48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93.48</w:t>
      </w:r>
      <w:r>
        <w:rPr>
          <w:rFonts w:hint="eastAsia" w:ascii="仿宋_GB2312" w:eastAsia="仿宋_GB2312" w:cs="仿宋_GB2312"/>
          <w:color w:val="000000"/>
          <w:sz w:val="32"/>
          <w:szCs w:val="32"/>
        </w:rPr>
        <w:t>万元，占</w:t>
      </w:r>
      <w:r>
        <w:rPr>
          <w:rFonts w:ascii="仿宋_GB2312" w:eastAsia="仿宋_GB2312" w:cs="仿宋_GB2312"/>
          <w:sz w:val="32"/>
          <w:szCs w:val="32"/>
        </w:rPr>
        <w:t>95.9%</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4</w:t>
      </w:r>
      <w:r>
        <w:rPr>
          <w:rFonts w:hint="eastAsia" w:ascii="仿宋_GB2312" w:eastAsia="仿宋_GB2312" w:cs="仿宋_GB2312"/>
          <w:color w:val="000000"/>
          <w:sz w:val="32"/>
          <w:szCs w:val="32"/>
        </w:rPr>
        <w:t>万元，占</w:t>
      </w:r>
      <w:r>
        <w:rPr>
          <w:rFonts w:ascii="仿宋_GB2312" w:eastAsia="仿宋_GB2312" w:cs="仿宋_GB2312"/>
          <w:sz w:val="32"/>
          <w:szCs w:val="32"/>
        </w:rPr>
        <w:t>4.1%</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1,091.13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97.48</w:t>
      </w:r>
      <w:r>
        <w:rPr>
          <w:rFonts w:hint="eastAsia" w:ascii="仿宋_GB2312" w:eastAsia="仿宋_GB2312" w:cs="仿宋_GB2312"/>
          <w:sz w:val="32"/>
          <w:szCs w:val="32"/>
        </w:rPr>
        <w:t>万元，预决算差异率</w:t>
      </w:r>
      <w:r>
        <w:rPr>
          <w:rFonts w:ascii="仿宋_GB2312" w:eastAsia="仿宋_GB2312" w:cs="仿宋_GB2312"/>
          <w:sz w:val="32"/>
          <w:szCs w:val="32"/>
        </w:rPr>
        <w:t>-91.07%</w:t>
      </w:r>
      <w:r>
        <w:rPr>
          <w:rFonts w:hint="eastAsia" w:ascii="仿宋_GB2312" w:eastAsia="仿宋_GB2312" w:cs="仿宋_GB2312"/>
          <w:sz w:val="32"/>
          <w:szCs w:val="32"/>
        </w:rPr>
        <w:t>，差异主要原因是减少项目资金。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97.48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51.93</w:t>
      </w:r>
      <w:r>
        <w:rPr>
          <w:rFonts w:hint="eastAsia" w:ascii="仿宋_GB2312" w:eastAsia="仿宋_GB2312" w:cs="仿宋_GB2312"/>
          <w:sz w:val="32"/>
          <w:szCs w:val="32"/>
        </w:rPr>
        <w:t>万元，下降</w:t>
      </w:r>
      <w:r>
        <w:rPr>
          <w:rFonts w:ascii="仿宋_GB2312" w:eastAsia="仿宋_GB2312" w:cs="仿宋_GB2312"/>
          <w:sz w:val="32"/>
          <w:szCs w:val="32"/>
        </w:rPr>
        <w:t>34.76%</w:t>
      </w:r>
      <w:r>
        <w:rPr>
          <w:rFonts w:hint="eastAsia" w:ascii="仿宋_GB2312" w:eastAsia="仿宋_GB2312" w:cs="仿宋_GB2312"/>
          <w:sz w:val="32"/>
          <w:szCs w:val="32"/>
        </w:rPr>
        <w:t>，减少的主要原因是：项目资金减少。</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97.48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51.93</w:t>
      </w:r>
      <w:r>
        <w:rPr>
          <w:rFonts w:hint="eastAsia" w:ascii="仿宋_GB2312" w:eastAsia="仿宋_GB2312" w:cs="仿宋_GB2312"/>
          <w:sz w:val="32"/>
          <w:szCs w:val="32"/>
        </w:rPr>
        <w:t>万元，下降</w:t>
      </w:r>
      <w:r>
        <w:rPr>
          <w:rFonts w:ascii="仿宋_GB2312" w:eastAsia="仿宋_GB2312" w:cs="仿宋_GB2312"/>
          <w:sz w:val="32"/>
          <w:szCs w:val="32"/>
        </w:rPr>
        <w:t>34.76%</w:t>
      </w:r>
      <w:r>
        <w:rPr>
          <w:rFonts w:hint="eastAsia" w:ascii="仿宋_GB2312" w:eastAsia="仿宋_GB2312" w:cs="仿宋_GB2312"/>
          <w:sz w:val="32"/>
          <w:szCs w:val="32"/>
        </w:rPr>
        <w:t>，减少的主要原因是：项目资金减少。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93.48</w:t>
      </w:r>
      <w:r>
        <w:rPr>
          <w:rFonts w:hint="eastAsia" w:ascii="仿宋_GB2312" w:eastAsia="仿宋_GB2312" w:cs="仿宋_GB2312"/>
          <w:color w:val="000000"/>
          <w:sz w:val="32"/>
          <w:szCs w:val="32"/>
        </w:rPr>
        <w:t>万元，项目支出</w:t>
      </w:r>
      <w:r>
        <w:rPr>
          <w:rFonts w:ascii="仿宋_GB2312" w:eastAsia="仿宋_GB2312" w:cs="仿宋_GB2312"/>
          <w:sz w:val="32"/>
          <w:szCs w:val="32"/>
        </w:rPr>
        <w:t>4</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财政拨款结转结余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，增加的主要原因是：无结转结余。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1,091.13</w:t>
      </w:r>
      <w:r>
        <w:rPr>
          <w:rFonts w:hint="eastAsia" w:ascii="仿宋_GB2312" w:eastAsia="仿宋_GB2312" w:cs="仿宋_GB2312"/>
          <w:color w:val="000000"/>
          <w:sz w:val="32"/>
          <w:szCs w:val="32"/>
        </w:rPr>
        <w:t>万元，决算数</w:t>
      </w:r>
      <w:r>
        <w:rPr>
          <w:rFonts w:ascii="仿宋_GB2312" w:eastAsia="仿宋_GB2312" w:cs="仿宋_GB2312"/>
          <w:sz w:val="32"/>
          <w:szCs w:val="32"/>
        </w:rPr>
        <w:t>97.48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-91.07%</w:t>
      </w:r>
      <w:r>
        <w:rPr>
          <w:rFonts w:hint="eastAsia" w:ascii="仿宋_GB2312" w:eastAsia="仿宋_GB2312" w:cs="仿宋_GB2312"/>
          <w:color w:val="000000"/>
          <w:sz w:val="32"/>
          <w:szCs w:val="32"/>
        </w:rPr>
        <w:t>，差异主要原因是项目资金减少。</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1,091.13</w:t>
      </w:r>
      <w:r>
        <w:rPr>
          <w:rFonts w:hint="eastAsia" w:ascii="仿宋_GB2312" w:eastAsia="仿宋_GB2312" w:cs="仿宋_GB2312"/>
          <w:color w:val="000000"/>
          <w:sz w:val="32"/>
          <w:szCs w:val="32"/>
        </w:rPr>
        <w:t>万元，决算数</w:t>
      </w:r>
      <w:r>
        <w:rPr>
          <w:rFonts w:ascii="仿宋_GB2312" w:eastAsia="仿宋_GB2312" w:cs="仿宋_GB2312"/>
          <w:sz w:val="32"/>
          <w:szCs w:val="32"/>
        </w:rPr>
        <w:t>97.48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-91.07%</w:t>
      </w:r>
      <w:r>
        <w:rPr>
          <w:rFonts w:hint="eastAsia" w:ascii="仿宋_GB2312" w:eastAsia="仿宋_GB2312" w:cs="仿宋_GB2312"/>
          <w:color w:val="000000"/>
          <w:sz w:val="32"/>
          <w:szCs w:val="32"/>
        </w:rPr>
        <w:t>，差异主要原因是项目资金减少。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97.48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51.93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34.76%</w:t>
      </w:r>
      <w:r>
        <w:rPr>
          <w:rFonts w:hint="eastAsia" w:ascii="仿宋_GB2312" w:eastAsia="仿宋_GB2312" w:cs="仿宋_GB2312"/>
          <w:color w:val="000000"/>
          <w:sz w:val="32"/>
          <w:szCs w:val="32"/>
        </w:rPr>
        <w:t>，减少的主要原因是：项目资金减少。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97.48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51.93</w:t>
      </w:r>
      <w:r>
        <w:rPr>
          <w:rFonts w:hint="eastAsia" w:ascii="仿宋_GB2312" w:eastAsia="仿宋_GB2312" w:cs="仿宋_GB2312"/>
          <w:sz w:val="32"/>
          <w:szCs w:val="32"/>
        </w:rPr>
        <w:t>万元，下降</w:t>
      </w:r>
      <w:r>
        <w:rPr>
          <w:rFonts w:ascii="仿宋_GB2312" w:eastAsia="仿宋_GB2312" w:cs="仿宋_GB2312"/>
          <w:sz w:val="32"/>
          <w:szCs w:val="32"/>
        </w:rPr>
        <w:t>34.76%</w:t>
      </w:r>
      <w:r>
        <w:rPr>
          <w:rFonts w:hint="eastAsia" w:ascii="仿宋_GB2312" w:eastAsia="仿宋_GB2312" w:cs="仿宋_GB2312"/>
          <w:sz w:val="32"/>
          <w:szCs w:val="32"/>
        </w:rPr>
        <w:t>，减少的主要原因是：项目资金减少。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6.07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81.12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10.29</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90.06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1.15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2.27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4</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1,091.13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97.48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-91.07%</w:t>
      </w:r>
      <w:r>
        <w:rPr>
          <w:rFonts w:hint="eastAsia" w:ascii="仿宋_GB2312" w:eastAsia="仿宋_GB2312" w:cs="仿宋_GB2312"/>
          <w:color w:val="000000"/>
          <w:sz w:val="32"/>
          <w:szCs w:val="32"/>
        </w:rPr>
        <w:t>，差异主要原因是项目资金减少。</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1,091.13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97.48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-91.07%</w:t>
      </w:r>
      <w:r>
        <w:rPr>
          <w:rFonts w:hint="eastAsia" w:ascii="仿宋_GB2312" w:eastAsia="仿宋_GB2312" w:cs="仿宋_GB2312"/>
          <w:color w:val="000000"/>
          <w:sz w:val="32"/>
          <w:szCs w:val="32"/>
        </w:rPr>
        <w:t>，差异主要原因是项目资金减少。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，与上年相比，增加0万元，增长0%，增加的主要原因是：无政府性基金预算财政拨款收入。</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，与上年相比，增加0万元，增长0%，增加的主要原因是：无政府性基金预算财政拨款收入。</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s="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，差异主要原因是无政府性基金预算财政拨款收入。</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，差异主要原因是无政府性基金预算财政拨款收入。</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0.38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1.12</w:t>
      </w:r>
      <w:r>
        <w:rPr>
          <w:rFonts w:hint="eastAsia" w:ascii="仿宋_GB2312" w:eastAsia="仿宋_GB2312" w:cs="仿宋_GB2312"/>
          <w:sz w:val="32"/>
          <w:szCs w:val="32"/>
        </w:rPr>
        <w:t>万元，下降</w:t>
      </w:r>
      <w:r>
        <w:rPr>
          <w:rFonts w:ascii="仿宋_GB2312" w:eastAsia="仿宋_GB2312" w:cs="仿宋_GB2312"/>
          <w:sz w:val="32"/>
          <w:szCs w:val="32"/>
        </w:rPr>
        <w:t>74.67%</w:t>
      </w:r>
      <w:r>
        <w:rPr>
          <w:rFonts w:hint="eastAsia" w:ascii="仿宋_GB2312" w:eastAsia="仿宋_GB2312" w:cs="仿宋_GB2312"/>
          <w:sz w:val="32"/>
          <w:szCs w:val="32"/>
        </w:rPr>
        <w:t>，减少的主要原因是</w:t>
      </w:r>
      <w:r>
        <w:rPr>
          <w:rFonts w:hint="eastAsia" w:ascii="仿宋_GB2312" w:eastAsia="仿宋_GB2312" w:cs="仿宋_GB2312"/>
          <w:color w:val="000000" w:themeColor="text1"/>
          <w:sz w:val="32"/>
          <w:szCs w:val="32"/>
        </w:rPr>
        <w:t>：</w:t>
      </w:r>
      <w:bookmarkEnd w:id="56"/>
      <w:bookmarkStart w:id="58" w:name="OLE_LINK75"/>
      <w:r>
        <w:rPr>
          <w:rFonts w:hint="eastAsia" w:ascii="仿宋_GB2312" w:eastAsia="仿宋_GB2312" w:cs="仿宋_GB2312"/>
          <w:color w:val="000000" w:themeColor="text1"/>
          <w:sz w:val="32"/>
          <w:szCs w:val="32"/>
        </w:rPr>
        <w:t>本单位认真贯彻落实中央和自治区厉行节约的各项规定，严格控制和降低行政运行成本，大力压缩“三公”经费支出规模。其中，</w:t>
      </w:r>
      <w:bookmarkStart w:id="59" w:name="OLE_LINK30"/>
      <w:r>
        <w:rPr>
          <w:rFonts w:hint="eastAsia" w:ascii="仿宋_GB2312" w:eastAsia="仿宋_GB2312" w:cs="仿宋_GB2312"/>
          <w:color w:val="000000" w:themeColor="text1"/>
          <w:sz w:val="32"/>
          <w:szCs w:val="32"/>
        </w:rPr>
        <w:t>因公出</w:t>
      </w:r>
      <w:r>
        <w:rPr>
          <w:rFonts w:hint="eastAsia" w:ascii="仿宋_GB2312" w:eastAsia="仿宋_GB2312" w:cs="仿宋_GB2312"/>
          <w:color w:val="000000" w:themeColor="text1"/>
          <w:sz w:val="32"/>
          <w:szCs w:val="32"/>
          <w:lang w:eastAsia="zh-CN"/>
        </w:rPr>
        <w:t>国（境）</w:t>
      </w:r>
      <w:r>
        <w:rPr>
          <w:rFonts w:hint="eastAsia" w:ascii="仿宋_GB2312" w:eastAsia="仿宋_GB2312" w:cs="仿宋_GB2312"/>
          <w:color w:val="000000" w:themeColor="text1"/>
          <w:sz w:val="32"/>
          <w:szCs w:val="32"/>
        </w:rPr>
        <w:t>费支出</w:t>
      </w:r>
      <w:bookmarkEnd w:id="59"/>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万元，占</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，比上年增加0万元，增长0%，增加的主要原因是：本单位今年无出国考察、培训等安排；</w:t>
      </w:r>
      <w:bookmarkEnd w:id="58"/>
      <w:bookmarkStart w:id="60" w:name="OLE_LINK31"/>
      <w:bookmarkStart w:id="61" w:name="OLE_LINK76"/>
      <w:r>
        <w:rPr>
          <w:rFonts w:hint="eastAsia" w:ascii="仿宋_GB2312" w:eastAsia="仿宋_GB2312" w:cs="仿宋_GB2312"/>
          <w:color w:val="000000" w:themeColor="text1"/>
          <w:sz w:val="32"/>
          <w:szCs w:val="32"/>
        </w:rPr>
        <w:t>公务用车购置及运行维护费支出</w:t>
      </w:r>
      <w:bookmarkEnd w:id="60"/>
      <w:r>
        <w:rPr>
          <w:rFonts w:ascii="仿宋_GB2312" w:eastAsia="仿宋_GB2312" w:cs="仿宋_GB2312"/>
          <w:color w:val="000000" w:themeColor="text1"/>
          <w:sz w:val="32"/>
          <w:szCs w:val="32"/>
        </w:rPr>
        <w:t>0.38</w:t>
      </w:r>
      <w:r>
        <w:rPr>
          <w:rFonts w:hint="eastAsia" w:ascii="仿宋_GB2312" w:eastAsia="仿宋_GB2312" w:cs="仿宋_GB2312"/>
          <w:color w:val="000000" w:themeColor="text1"/>
          <w:sz w:val="32"/>
          <w:szCs w:val="32"/>
        </w:rPr>
        <w:t>万元，占</w:t>
      </w:r>
      <w:r>
        <w:rPr>
          <w:rFonts w:ascii="仿宋_GB2312" w:eastAsia="仿宋_GB2312" w:cs="仿宋_GB2312"/>
          <w:color w:val="000000" w:themeColor="text1"/>
          <w:sz w:val="32"/>
          <w:szCs w:val="32"/>
        </w:rPr>
        <w:t>100%</w:t>
      </w:r>
      <w:r>
        <w:rPr>
          <w:rFonts w:hint="eastAsia" w:ascii="仿宋_GB2312" w:eastAsia="仿宋_GB2312" w:cs="仿宋_GB2312"/>
          <w:color w:val="000000" w:themeColor="text1"/>
          <w:sz w:val="32"/>
          <w:szCs w:val="32"/>
        </w:rPr>
        <w:t>，与上年相比，减少</w:t>
      </w:r>
      <w:r>
        <w:rPr>
          <w:rFonts w:ascii="仿宋_GB2312" w:eastAsia="仿宋_GB2312" w:cs="仿宋_GB2312"/>
          <w:color w:val="000000" w:themeColor="text1"/>
          <w:sz w:val="32"/>
          <w:szCs w:val="32"/>
        </w:rPr>
        <w:t>1.12</w:t>
      </w:r>
      <w:r>
        <w:rPr>
          <w:rFonts w:hint="eastAsia" w:ascii="仿宋_GB2312" w:eastAsia="仿宋_GB2312" w:cs="仿宋_GB2312"/>
          <w:color w:val="000000" w:themeColor="text1"/>
          <w:sz w:val="32"/>
          <w:szCs w:val="32"/>
        </w:rPr>
        <w:t>万元，下降</w:t>
      </w:r>
      <w:r>
        <w:rPr>
          <w:rFonts w:ascii="仿宋_GB2312" w:eastAsia="仿宋_GB2312" w:cs="仿宋_GB2312"/>
          <w:color w:val="000000" w:themeColor="text1"/>
          <w:sz w:val="32"/>
          <w:szCs w:val="32"/>
        </w:rPr>
        <w:t>74.67%</w:t>
      </w:r>
      <w:r>
        <w:rPr>
          <w:rFonts w:hint="eastAsia" w:ascii="仿宋_GB2312" w:eastAsia="仿宋_GB2312" w:cs="仿宋_GB2312"/>
          <w:color w:val="000000" w:themeColor="text1"/>
          <w:sz w:val="32"/>
          <w:szCs w:val="32"/>
        </w:rPr>
        <w:t>，减少的主要原因是：</w:t>
      </w:r>
      <w:bookmarkEnd w:id="61"/>
      <w:bookmarkStart w:id="62" w:name="OLE_LINK32"/>
      <w:bookmarkStart w:id="63" w:name="OLE_LINK77"/>
      <w:bookmarkStart w:id="64" w:name="OLE_LINK78"/>
      <w:r>
        <w:rPr>
          <w:rFonts w:hint="eastAsia" w:ascii="仿宋_GB2312" w:eastAsia="仿宋_GB2312" w:cs="仿宋_GB2312"/>
          <w:color w:val="000000" w:themeColor="text1"/>
          <w:sz w:val="32"/>
          <w:szCs w:val="32"/>
        </w:rPr>
        <w:t>严把车辆管控关，严格遵守公务车辆配置标准和管理制度，减少使用高耗油车辆，严禁公车私用；公务接待费支出</w:t>
      </w:r>
      <w:bookmarkEnd w:id="62"/>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万元，占</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，比上年增加0万元，增长0%，增加的主要原因是：</w:t>
      </w:r>
      <w:bookmarkEnd w:id="63"/>
      <w:bookmarkEnd w:id="64"/>
      <w:r>
        <w:rPr>
          <w:rFonts w:hint="eastAsia" w:ascii="仿宋_GB2312" w:eastAsia="仿宋_GB2312" w:cs="仿宋_GB2312"/>
          <w:color w:val="000000" w:themeColor="text1"/>
          <w:sz w:val="32"/>
          <w:szCs w:val="32"/>
        </w:rPr>
        <w:t>单位严把监督检查关，对接待费严格控制，减少一切不必要的公务接待开支。具体情况如下：</w:t>
      </w:r>
    </w:p>
    <w:p>
      <w:pPr>
        <w:spacing w:line="540" w:lineRule="exact"/>
        <w:ind w:firstLine="640" w:firstLineChars="200"/>
        <w:rPr>
          <w:rFonts w:ascii="仿宋_GB2312" w:eastAsia="仿宋_GB2312" w:cs="仿宋_GB2312"/>
          <w:color w:val="000000" w:themeColor="text1"/>
          <w:sz w:val="32"/>
          <w:szCs w:val="32"/>
        </w:rPr>
      </w:pPr>
      <w:bookmarkStart w:id="65" w:name="OLE_LINK80"/>
      <w:bookmarkStart w:id="66" w:name="OLE_LINK79"/>
      <w:r>
        <w:rPr>
          <w:rFonts w:hint="eastAsia" w:ascii="仿宋_GB2312" w:eastAsia="仿宋_GB2312" w:cs="仿宋_GB2312"/>
          <w:color w:val="000000" w:themeColor="text1"/>
          <w:sz w:val="32"/>
          <w:szCs w:val="32"/>
        </w:rPr>
        <w:t>因公出</w:t>
      </w:r>
      <w:r>
        <w:rPr>
          <w:rFonts w:hint="eastAsia" w:ascii="仿宋_GB2312" w:eastAsia="仿宋_GB2312" w:cs="仿宋_GB2312"/>
          <w:color w:val="000000" w:themeColor="text1"/>
          <w:sz w:val="32"/>
          <w:szCs w:val="32"/>
          <w:lang w:eastAsia="zh-CN"/>
        </w:rPr>
        <w:t>国（境）</w:t>
      </w:r>
      <w:r>
        <w:rPr>
          <w:rFonts w:hint="eastAsia" w:ascii="仿宋_GB2312" w:eastAsia="仿宋_GB2312" w:cs="仿宋_GB2312"/>
          <w:color w:val="000000" w:themeColor="text1"/>
          <w:sz w:val="32"/>
          <w:szCs w:val="32"/>
        </w:rPr>
        <w:t>费支出</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万元。新疆喀什地区叶城县农村合作经济经营管理局单位</w:t>
      </w:r>
      <w:bookmarkStart w:id="67" w:name="OLE_LINK33"/>
      <w:r>
        <w:rPr>
          <w:rFonts w:hint="eastAsia" w:ascii="仿宋_GB2312" w:eastAsia="仿宋_GB2312" w:cs="仿宋_GB2312"/>
          <w:color w:val="000000" w:themeColor="text1"/>
          <w:sz w:val="32"/>
          <w:szCs w:val="32"/>
        </w:rPr>
        <w:t>全年</w:t>
      </w:r>
      <w:bookmarkStart w:id="68" w:name="OLE_LINK34"/>
      <w:bookmarkStart w:id="69" w:name="OLE_LINK35"/>
      <w:bookmarkStart w:id="70" w:name="OLE_LINK36"/>
      <w:r>
        <w:rPr>
          <w:rFonts w:hint="eastAsia" w:ascii="仿宋_GB2312" w:eastAsia="仿宋_GB2312" w:cs="仿宋_GB2312"/>
          <w:color w:val="000000" w:themeColor="text1"/>
          <w:sz w:val="32"/>
          <w:szCs w:val="32"/>
        </w:rPr>
        <w:t>使用一般公共预算财政拨款安排的因公出</w:t>
      </w:r>
      <w:r>
        <w:rPr>
          <w:rFonts w:hint="eastAsia" w:ascii="仿宋_GB2312" w:eastAsia="仿宋_GB2312" w:cs="仿宋_GB2312"/>
          <w:color w:val="000000" w:themeColor="text1"/>
          <w:sz w:val="32"/>
          <w:szCs w:val="32"/>
          <w:lang w:eastAsia="zh-CN"/>
        </w:rPr>
        <w:t>国（境）</w:t>
      </w:r>
      <w:r>
        <w:rPr>
          <w:rFonts w:hint="eastAsia" w:ascii="仿宋_GB2312" w:eastAsia="仿宋_GB2312" w:cs="仿宋_GB2312"/>
          <w:color w:val="000000" w:themeColor="text1"/>
          <w:sz w:val="32"/>
          <w:szCs w:val="32"/>
        </w:rPr>
        <w:t>团组</w:t>
      </w:r>
      <w:bookmarkEnd w:id="67"/>
      <w:bookmarkEnd w:id="68"/>
      <w:bookmarkEnd w:id="69"/>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个</w:t>
      </w:r>
      <w:bookmarkEnd w:id="70"/>
      <w:r>
        <w:rPr>
          <w:rFonts w:hint="eastAsia" w:ascii="仿宋_GB2312" w:eastAsia="仿宋_GB2312" w:cs="仿宋_GB2312"/>
          <w:color w:val="000000" w:themeColor="text1"/>
          <w:sz w:val="32"/>
          <w:szCs w:val="32"/>
        </w:rPr>
        <w:t>，</w:t>
      </w:r>
      <w:bookmarkStart w:id="71" w:name="OLE_LINK37"/>
      <w:r>
        <w:rPr>
          <w:rFonts w:hint="eastAsia" w:ascii="仿宋_GB2312" w:eastAsia="仿宋_GB2312" w:cs="仿宋_GB2312"/>
          <w:color w:val="000000" w:themeColor="text1"/>
          <w:sz w:val="32"/>
          <w:szCs w:val="32"/>
        </w:rPr>
        <w:t>累计</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人次</w:t>
      </w:r>
      <w:bookmarkEnd w:id="71"/>
      <w:r>
        <w:rPr>
          <w:rFonts w:hint="eastAsia" w:ascii="仿宋_GB2312" w:eastAsia="仿宋_GB2312" w:cs="仿宋_GB2312"/>
          <w:color w:val="000000" w:themeColor="text1"/>
          <w:sz w:val="32"/>
          <w:szCs w:val="32"/>
        </w:rPr>
        <w:t>。</w:t>
      </w:r>
      <w:bookmarkStart w:id="72" w:name="OLE_LINK38"/>
      <w:r>
        <w:rPr>
          <w:rFonts w:hint="eastAsia" w:ascii="仿宋_GB2312" w:eastAsia="仿宋_GB2312" w:cs="仿宋_GB2312"/>
          <w:color w:val="000000" w:themeColor="text1"/>
          <w:sz w:val="32"/>
          <w:szCs w:val="32"/>
        </w:rPr>
        <w:t>开支内容包括：</w:t>
      </w:r>
      <w:bookmarkEnd w:id="65"/>
      <w:bookmarkEnd w:id="66"/>
      <w:bookmarkEnd w:id="72"/>
      <w:bookmarkStart w:id="73" w:name="OLE_LINK81"/>
      <w:r>
        <w:rPr>
          <w:rFonts w:hint="eastAsia" w:ascii="仿宋_GB2312" w:eastAsia="仿宋_GB2312" w:cs="仿宋_GB2312"/>
          <w:color w:val="000000" w:themeColor="text1"/>
          <w:sz w:val="32"/>
          <w:szCs w:val="32"/>
        </w:rPr>
        <w:t>无安排。</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0.38</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0.38</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公务用车运行汽车燃油费</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无公务接待费</w:t>
      </w:r>
      <w:r>
        <w:rPr>
          <w:rFonts w:hint="eastAsia" w:ascii="仿宋_GB2312" w:eastAsia="仿宋_GB2312" w:cs="仿宋_GB2312"/>
          <w:color w:val="000000"/>
          <w:sz w:val="32"/>
          <w:szCs w:val="32"/>
        </w:rPr>
        <w:t>。</w:t>
      </w:r>
      <w:bookmarkEnd w:id="78"/>
      <w:bookmarkStart w:id="79" w:name="OLE_LINK84"/>
      <w:r>
        <w:rPr>
          <w:rFonts w:hint="eastAsia" w:ascii="仿宋_GB2312" w:eastAsia="仿宋_GB2312" w:cs="仿宋_GB2312"/>
          <w:sz w:val="32"/>
          <w:szCs w:val="32"/>
        </w:rPr>
        <w:t>新疆喀什地区叶城县农村合作经济经营管理局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FF"/>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0.38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-71.85%</w:t>
      </w:r>
      <w:r>
        <w:rPr>
          <w:rFonts w:hint="eastAsia" w:ascii="仿宋_GB2312" w:eastAsia="仿宋_GB2312" w:cs="仿宋_GB2312"/>
          <w:color w:val="000000"/>
          <w:sz w:val="32"/>
          <w:szCs w:val="32"/>
        </w:rPr>
        <w:t>，差异主要原因是</w:t>
      </w:r>
      <w:bookmarkEnd w:id="80"/>
      <w:bookmarkStart w:id="81" w:name="OLE_LINK86"/>
      <w:bookmarkStart w:id="82" w:name="OLE_LINK87"/>
      <w:r>
        <w:rPr>
          <w:rFonts w:hint="eastAsia" w:ascii="仿宋_GB2312" w:eastAsia="仿宋_GB2312" w:cs="仿宋_GB2312"/>
          <w:color w:val="000000" w:themeColor="text1"/>
          <w:sz w:val="32"/>
          <w:szCs w:val="32"/>
        </w:rPr>
        <w:t>本单位认真贯彻落实中央和自治区厉行节约的各项规定，严格控制和降低行政运行成本，大力压缩“三公”经费支出规模。</w:t>
      </w:r>
      <w:r>
        <w:rPr>
          <w:rFonts w:hint="eastAsia" w:ascii="仿宋_GB2312" w:hAnsi="宋体" w:eastAsia="仿宋_GB2312" w:cs="仿宋_GB2312"/>
          <w:color w:val="000000" w:themeColor="text1"/>
          <w:kern w:val="0"/>
          <w:sz w:val="32"/>
          <w:szCs w:val="32"/>
        </w:rPr>
        <w:t>其中：</w:t>
      </w:r>
      <w:r>
        <w:rPr>
          <w:rFonts w:hint="eastAsia" w:ascii="仿宋_GB2312" w:eastAsia="仿宋_GB2312" w:cs="仿宋_GB2312"/>
          <w:color w:val="000000" w:themeColor="text1"/>
          <w:sz w:val="32"/>
          <w:szCs w:val="32"/>
        </w:rPr>
        <w:t>因公出</w:t>
      </w:r>
      <w:r>
        <w:rPr>
          <w:rFonts w:hint="eastAsia" w:ascii="仿宋_GB2312" w:eastAsia="仿宋_GB2312" w:cs="仿宋_GB2312"/>
          <w:color w:val="000000" w:themeColor="text1"/>
          <w:sz w:val="32"/>
          <w:szCs w:val="32"/>
          <w:lang w:eastAsia="zh-CN"/>
        </w:rPr>
        <w:t>国（境）</w:t>
      </w:r>
      <w:r>
        <w:rPr>
          <w:rFonts w:hint="eastAsia" w:ascii="仿宋_GB2312" w:hAnsi="宋体" w:eastAsia="仿宋_GB2312" w:cs="仿宋_GB2312"/>
          <w:color w:val="000000" w:themeColor="text1"/>
          <w:kern w:val="0"/>
          <w:sz w:val="32"/>
          <w:szCs w:val="32"/>
        </w:rPr>
        <w:t>费</w:t>
      </w:r>
      <w:r>
        <w:rPr>
          <w:rFonts w:hint="eastAsia" w:ascii="仿宋_GB2312" w:eastAsia="仿宋_GB2312" w:cs="仿宋_GB2312"/>
          <w:color w:val="000000" w:themeColor="text1"/>
          <w:sz w:val="32"/>
          <w:szCs w:val="32"/>
        </w:rPr>
        <w:t>预算数</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万元，决算数</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万元，预决算差异率</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，差异主要原因是</w:t>
      </w:r>
      <w:bookmarkEnd w:id="81"/>
      <w:bookmarkEnd w:id="82"/>
      <w:bookmarkStart w:id="83" w:name="OLE_LINK89"/>
      <w:bookmarkStart w:id="84" w:name="OLE_LINK88"/>
      <w:r>
        <w:rPr>
          <w:rFonts w:hint="eastAsia" w:ascii="仿宋_GB2312" w:eastAsia="仿宋_GB2312" w:cs="仿宋_GB2312"/>
          <w:color w:val="000000" w:themeColor="text1"/>
          <w:sz w:val="32"/>
          <w:szCs w:val="32"/>
        </w:rPr>
        <w:t>本单位今年无出国考察、培训等安排；</w:t>
      </w:r>
      <w:r>
        <w:rPr>
          <w:rFonts w:hint="eastAsia" w:ascii="仿宋_GB2312" w:hAnsi="宋体" w:eastAsia="仿宋_GB2312" w:cs="仿宋_GB2312"/>
          <w:color w:val="000000" w:themeColor="text1"/>
          <w:kern w:val="0"/>
          <w:sz w:val="32"/>
          <w:szCs w:val="32"/>
        </w:rPr>
        <w:t>公务用车购置</w:t>
      </w:r>
      <w:r>
        <w:rPr>
          <w:rFonts w:hint="eastAsia" w:ascii="仿宋_GB2312" w:eastAsia="仿宋_GB2312" w:cs="仿宋_GB2312"/>
          <w:color w:val="000000" w:themeColor="text1"/>
          <w:sz w:val="32"/>
          <w:szCs w:val="32"/>
        </w:rPr>
        <w:t>预算数</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万元，决算数</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万元，预决算差异率</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，差异主要原因是没有安排购置公务车预算数；</w:t>
      </w:r>
      <w:bookmarkEnd w:id="83"/>
      <w:bookmarkEnd w:id="84"/>
      <w:bookmarkStart w:id="85" w:name="OLE_LINK90"/>
      <w:r>
        <w:rPr>
          <w:rFonts w:hint="eastAsia" w:ascii="仿宋_GB2312" w:hAnsi="宋体" w:eastAsia="仿宋_GB2312" w:cs="仿宋_GB2312"/>
          <w:color w:val="000000" w:themeColor="text1"/>
          <w:kern w:val="0"/>
          <w:sz w:val="32"/>
          <w:szCs w:val="32"/>
        </w:rPr>
        <w:t>公务用车运行费</w:t>
      </w:r>
      <w:r>
        <w:rPr>
          <w:rFonts w:hint="eastAsia" w:ascii="仿宋_GB2312" w:eastAsia="仿宋_GB2312" w:cs="仿宋_GB2312"/>
          <w:color w:val="000000" w:themeColor="text1"/>
          <w:sz w:val="32"/>
          <w:szCs w:val="32"/>
        </w:rPr>
        <w:t>预算数</w:t>
      </w:r>
      <w:r>
        <w:rPr>
          <w:rFonts w:ascii="仿宋_GB2312" w:eastAsia="仿宋_GB2312" w:cs="仿宋_GB2312"/>
          <w:color w:val="000000" w:themeColor="text1"/>
          <w:sz w:val="32"/>
          <w:szCs w:val="32"/>
        </w:rPr>
        <w:t>1.35</w:t>
      </w:r>
      <w:r>
        <w:rPr>
          <w:rFonts w:hint="eastAsia" w:ascii="仿宋_GB2312" w:eastAsia="仿宋_GB2312" w:cs="仿宋_GB2312"/>
          <w:color w:val="000000" w:themeColor="text1"/>
          <w:sz w:val="32"/>
          <w:szCs w:val="32"/>
        </w:rPr>
        <w:t>万元，决算数</w:t>
      </w:r>
      <w:r>
        <w:rPr>
          <w:rFonts w:ascii="仿宋_GB2312" w:eastAsia="仿宋_GB2312" w:cs="仿宋_GB2312"/>
          <w:color w:val="000000" w:themeColor="text1"/>
          <w:sz w:val="32"/>
          <w:szCs w:val="32"/>
        </w:rPr>
        <w:t>0.38</w:t>
      </w:r>
      <w:r>
        <w:rPr>
          <w:rFonts w:hint="eastAsia" w:ascii="仿宋_GB2312" w:eastAsia="仿宋_GB2312" w:cs="仿宋_GB2312"/>
          <w:color w:val="000000" w:themeColor="text1"/>
          <w:sz w:val="32"/>
          <w:szCs w:val="32"/>
        </w:rPr>
        <w:t>万元，预决算差异率</w:t>
      </w:r>
      <w:r>
        <w:rPr>
          <w:rFonts w:ascii="仿宋_GB2312" w:eastAsia="仿宋_GB2312" w:cs="仿宋_GB2312"/>
          <w:color w:val="000000" w:themeColor="text1"/>
          <w:sz w:val="32"/>
          <w:szCs w:val="32"/>
        </w:rPr>
        <w:t>-71.85%</w:t>
      </w:r>
      <w:r>
        <w:rPr>
          <w:rFonts w:hint="eastAsia" w:ascii="仿宋_GB2312" w:eastAsia="仿宋_GB2312" w:cs="仿宋_GB2312"/>
          <w:color w:val="000000" w:themeColor="text1"/>
          <w:sz w:val="32"/>
          <w:szCs w:val="32"/>
        </w:rPr>
        <w:t>，差异主要原因是</w:t>
      </w:r>
      <w:bookmarkEnd w:id="85"/>
      <w:bookmarkStart w:id="86" w:name="OLE_LINK91"/>
      <w:r>
        <w:rPr>
          <w:rFonts w:hint="eastAsia" w:ascii="仿宋_GB2312" w:eastAsia="仿宋_GB2312" w:cs="仿宋_GB2312"/>
          <w:color w:val="000000" w:themeColor="text1"/>
          <w:sz w:val="32"/>
          <w:szCs w:val="32"/>
        </w:rPr>
        <w:t>严把车辆管控关，严格遵守公务车辆配置标准和管理制度，减少使用高耗油车辆，严禁公车私用；</w:t>
      </w:r>
      <w:r>
        <w:rPr>
          <w:rFonts w:hint="eastAsia" w:ascii="仿宋_GB2312" w:hAnsi="宋体" w:eastAsia="仿宋_GB2312" w:cs="仿宋_GB2312"/>
          <w:color w:val="000000" w:themeColor="text1"/>
          <w:kern w:val="0"/>
          <w:sz w:val="32"/>
          <w:szCs w:val="32"/>
        </w:rPr>
        <w:t>公务接待费</w:t>
      </w:r>
      <w:r>
        <w:rPr>
          <w:rFonts w:hint="eastAsia" w:ascii="仿宋_GB2312" w:eastAsia="仿宋_GB2312" w:cs="仿宋_GB2312"/>
          <w:color w:val="000000" w:themeColor="text1"/>
          <w:sz w:val="32"/>
          <w:szCs w:val="32"/>
        </w:rPr>
        <w:t>预算数</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万元，决算数</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万元，预决算差异率</w:t>
      </w:r>
      <w:r>
        <w:rPr>
          <w:rFonts w:ascii="仿宋_GB2312" w:eastAsia="仿宋_GB2312" w:cs="仿宋_GB2312"/>
          <w:color w:val="000000" w:themeColor="text1"/>
          <w:sz w:val="32"/>
          <w:szCs w:val="32"/>
        </w:rPr>
        <w:t>0%</w:t>
      </w:r>
      <w:r>
        <w:rPr>
          <w:rFonts w:hint="eastAsia" w:ascii="仿宋_GB2312" w:eastAsia="仿宋_GB2312" w:cs="仿宋_GB2312"/>
          <w:color w:val="000000" w:themeColor="text1"/>
          <w:sz w:val="32"/>
          <w:szCs w:val="32"/>
        </w:rPr>
        <w:t>，差异主要原因是</w:t>
      </w:r>
      <w:bookmarkEnd w:id="86"/>
      <w:r>
        <w:rPr>
          <w:rFonts w:hint="eastAsia" w:ascii="仿宋_GB2312" w:eastAsia="仿宋_GB2312" w:cs="仿宋_GB2312"/>
          <w:color w:val="000000" w:themeColor="text1"/>
          <w:sz w:val="32"/>
          <w:szCs w:val="32"/>
        </w:rPr>
        <w:t>本单位严把监督检查关，对接待费严格控制，减少一切不必要的公务接待开支。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新疆喀什地区叶城县农村合作经济经营管理局日常公用经费</w:t>
      </w:r>
      <w:r>
        <w:rPr>
          <w:rFonts w:ascii="仿宋_GB2312" w:eastAsia="仿宋_GB2312" w:cs="仿宋_GB2312"/>
          <w:color w:val="000000"/>
          <w:sz w:val="32"/>
          <w:szCs w:val="32"/>
        </w:rPr>
        <w:t>1.15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2.25</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66.18%</w:t>
      </w:r>
      <w:r>
        <w:rPr>
          <w:rFonts w:hint="eastAsia" w:ascii="仿宋_GB2312" w:eastAsia="仿宋_GB2312" w:cs="仿宋_GB2312"/>
          <w:color w:val="000000"/>
          <w:sz w:val="32"/>
          <w:szCs w:val="32"/>
        </w:rPr>
        <w:t>，减少的主要原因是</w:t>
      </w:r>
      <w:r>
        <w:rPr>
          <w:rFonts w:hint="eastAsia" w:ascii="仿宋_GB2312" w:eastAsia="仿宋_GB2312" w:cs="仿宋_GB2312"/>
          <w:color w:val="000000" w:themeColor="text1"/>
          <w:sz w:val="32"/>
          <w:szCs w:val="32"/>
        </w:rPr>
        <w:t>：本单位认真贯彻落实中央和自治区厉行节约的各项规定，严格控制和降低行政运行成本，大力压缩经费支出规模。</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19.9</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农村合作经济经营管理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4</w:t>
      </w:r>
      <w:r>
        <w:rPr>
          <w:rFonts w:hint="eastAsia" w:ascii="仿宋_GB2312" w:eastAsia="仿宋_GB2312" w:cs="仿宋_GB2312"/>
          <w:sz w:val="32"/>
          <w:szCs w:val="32"/>
        </w:rPr>
        <w:t>万元，执行金额为</w:t>
      </w:r>
      <w:r>
        <w:rPr>
          <w:rFonts w:ascii="仿宋_GB2312" w:eastAsia="仿宋_GB2312" w:cs="仿宋_GB2312"/>
          <w:sz w:val="32"/>
          <w:szCs w:val="32"/>
        </w:rPr>
        <w:t>4</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1</w:t>
      </w:r>
      <w:r>
        <w:rPr>
          <w:rFonts w:hint="eastAsia" w:ascii="仿宋_GB2312" w:eastAsia="仿宋_GB2312" w:cs="仿宋_GB2312"/>
          <w:sz w:val="32"/>
          <w:szCs w:val="32"/>
        </w:rPr>
        <w:t>个项目，其中已完成项目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bookmarkStart w:id="92" w:name="_GoBack"/>
      <w:bookmarkEnd w:id="92"/>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left="-1" w:right="-1" w:firstLine="646"/>
        <w:jc w:val="left"/>
      </w:pPr>
      <w:r>
        <w:rPr>
          <w:rFonts w:hint="eastAsia" w:ascii="仿宋_GB2312" w:hAnsi="仿宋_GB2312" w:eastAsia="仿宋_GB2312" w:cs="仿宋_GB2312"/>
          <w:sz w:val="32"/>
          <w:szCs w:val="32"/>
        </w:rPr>
        <w:t>农村土地确权登记颁证工作补助项目绩效自评综述：根据年初设定的绩效目标，该项目绩效自评得分为</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）项目完成质量设备质量合格率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）项目成本节约情况设备单位成本控制在</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）项目实施的经济效益分析提高职工的工作积极性，向先进看齐，向先进学习，参与土地确权登记颁证工作的乡镇有</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个，参与的村有</w:t>
      </w:r>
      <w:r>
        <w:rPr>
          <w:rFonts w:ascii="仿宋_GB2312" w:hAnsi="仿宋_GB2312" w:eastAsia="仿宋_GB2312" w:cs="仿宋_GB2312"/>
          <w:sz w:val="32"/>
          <w:szCs w:val="32"/>
        </w:rPr>
        <w:t>317</w:t>
      </w:r>
      <w:r>
        <w:rPr>
          <w:rFonts w:hint="eastAsia" w:ascii="仿宋_GB2312" w:hAnsi="仿宋_GB2312" w:eastAsia="仿宋_GB2312" w:cs="仿宋_GB2312"/>
          <w:sz w:val="32"/>
          <w:szCs w:val="32"/>
        </w:rPr>
        <w:t>个，参与的农户有</w:t>
      </w:r>
      <w:r>
        <w:rPr>
          <w:rFonts w:ascii="仿宋_GB2312" w:hAnsi="仿宋_GB2312" w:eastAsia="仿宋_GB2312" w:cs="仿宋_GB2312"/>
          <w:sz w:val="32"/>
          <w:szCs w:val="32"/>
        </w:rPr>
        <w:t>56013</w:t>
      </w:r>
      <w:r>
        <w:rPr>
          <w:rFonts w:hint="eastAsia" w:ascii="仿宋_GB2312" w:hAnsi="仿宋_GB2312" w:eastAsia="仿宋_GB2312" w:cs="仿宋_GB2312"/>
          <w:sz w:val="32"/>
          <w:szCs w:val="32"/>
        </w:rPr>
        <w:t>户。（</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）项目实施的社会效益分析农村土地确定权登记颁证工作补助项目的开展，有效减轻了农民负担。（</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）项目实施的生态效益分析本项目的开展对环境的不良影响率降低了，对环境的可持续发展起到了一定的促进作用。（</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）项目实施的可持续影响分析农村土地确权登记颁证工作补助项目开展以来，确定的土地使用权可永久使用。</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满意度指标完成情况分析按计划完成项目实施，已做满意度调查问卷，受益农户满意率达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，服务对象满意度指标完成。发现的问题及原因：主要是在财政平台操作方面存在不熟练，对财政法规学习不深入，业务水平有待提高。下一步改进措施：</w:t>
      </w:r>
      <w:r>
        <w:rPr>
          <w:rFonts w:ascii="仿宋_GB2312" w:hAnsi="仿宋_GB2312" w:eastAsia="仿宋_GB2312" w:cs="仿宋_GB2312"/>
          <w:sz w:val="32"/>
          <w:szCs w:val="32"/>
        </w:rPr>
        <w:t xml:space="preserve"> 2019</w:t>
      </w:r>
      <w:r>
        <w:rPr>
          <w:rFonts w:hint="eastAsia" w:ascii="仿宋_GB2312" w:hAnsi="仿宋_GB2312" w:eastAsia="仿宋_GB2312" w:cs="仿宋_GB2312"/>
          <w:sz w:val="32"/>
          <w:szCs w:val="32"/>
        </w:rPr>
        <w:t>年我单位将严格按照财政等部门文件要求，积极做好本单位项目预算，在实际执行中，认真、仔细核实支出，确保经费支出无误</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themeColor="text1"/>
          <w:sz w:val="32"/>
          <w:szCs w:val="32"/>
        </w:rPr>
        <w:t>因公出</w:t>
      </w:r>
      <w:r>
        <w:rPr>
          <w:rFonts w:hint="eastAsia" w:ascii="仿宋_GB2312" w:eastAsia="仿宋_GB2312" w:cs="仿宋_GB2312"/>
          <w:color w:val="000000" w:themeColor="text1"/>
          <w:sz w:val="32"/>
          <w:szCs w:val="32"/>
          <w:lang w:eastAsia="zh-CN"/>
        </w:rPr>
        <w:t>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themeColor="text1"/>
          <w:sz w:val="32"/>
          <w:szCs w:val="32"/>
        </w:rPr>
        <w:t>因公出</w:t>
      </w:r>
      <w:r>
        <w:rPr>
          <w:rFonts w:hint="eastAsia" w:ascii="仿宋_GB2312" w:eastAsia="仿宋_GB2312" w:cs="仿宋_GB2312"/>
          <w:color w:val="000000" w:themeColor="text1"/>
          <w:sz w:val="32"/>
          <w:szCs w:val="32"/>
          <w:lang w:eastAsia="zh-CN"/>
        </w:rPr>
        <w:t>国（境）</w:t>
      </w:r>
      <w:r>
        <w:rPr>
          <w:rFonts w:hint="eastAsia" w:ascii="仿宋_GB2312" w:eastAsia="仿宋_GB2312" w:cs="仿宋_GB2312"/>
          <w:sz w:val="32"/>
          <w:szCs w:val="32"/>
        </w:rPr>
        <w:t>费反映单位公务</w:t>
      </w:r>
      <w:r>
        <w:rPr>
          <w:rFonts w:hint="eastAsia" w:ascii="仿宋_GB2312" w:eastAsia="仿宋_GB2312" w:cs="仿宋_GB2312"/>
          <w:color w:val="000000" w:themeColor="text1"/>
          <w:sz w:val="32"/>
          <w:szCs w:val="32"/>
        </w:rPr>
        <w:t>出</w:t>
      </w:r>
      <w:r>
        <w:rPr>
          <w:rFonts w:hint="eastAsia" w:ascii="仿宋_GB2312" w:eastAsia="仿宋_GB2312" w:cs="仿宋_GB2312"/>
          <w:color w:val="000000" w:themeColor="text1"/>
          <w:sz w:val="32"/>
          <w:szCs w:val="32"/>
          <w:lang w:eastAsia="zh-CN"/>
        </w:rPr>
        <w:t>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5D"/>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3DA4"/>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E6B45"/>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46D84"/>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72E59"/>
    <w:rsid w:val="0069278A"/>
    <w:rsid w:val="006A1C84"/>
    <w:rsid w:val="006A745B"/>
    <w:rsid w:val="006A78F4"/>
    <w:rsid w:val="006B0F85"/>
    <w:rsid w:val="006B480D"/>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5E13"/>
    <w:rsid w:val="00776FAF"/>
    <w:rsid w:val="00777229"/>
    <w:rsid w:val="007775E8"/>
    <w:rsid w:val="0078072D"/>
    <w:rsid w:val="00795099"/>
    <w:rsid w:val="00796088"/>
    <w:rsid w:val="007A2C71"/>
    <w:rsid w:val="007A2FBD"/>
    <w:rsid w:val="007A6743"/>
    <w:rsid w:val="007B1E23"/>
    <w:rsid w:val="007B2E9D"/>
    <w:rsid w:val="007B4447"/>
    <w:rsid w:val="007B6905"/>
    <w:rsid w:val="007C0F24"/>
    <w:rsid w:val="007C1415"/>
    <w:rsid w:val="007C2670"/>
    <w:rsid w:val="007C2E4F"/>
    <w:rsid w:val="007C5E7D"/>
    <w:rsid w:val="007C7E2E"/>
    <w:rsid w:val="007D2127"/>
    <w:rsid w:val="007E3095"/>
    <w:rsid w:val="007F27ED"/>
    <w:rsid w:val="008043B9"/>
    <w:rsid w:val="0080628E"/>
    <w:rsid w:val="00806953"/>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3B8C"/>
    <w:rsid w:val="008E4EAC"/>
    <w:rsid w:val="008E5D6E"/>
    <w:rsid w:val="008E7F2F"/>
    <w:rsid w:val="008F0F07"/>
    <w:rsid w:val="008F711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63FD"/>
    <w:rsid w:val="00947403"/>
    <w:rsid w:val="0095057C"/>
    <w:rsid w:val="00954305"/>
    <w:rsid w:val="009543BA"/>
    <w:rsid w:val="00954FB4"/>
    <w:rsid w:val="00960925"/>
    <w:rsid w:val="00970AB3"/>
    <w:rsid w:val="00977B8F"/>
    <w:rsid w:val="00982C13"/>
    <w:rsid w:val="00985DF4"/>
    <w:rsid w:val="00987E45"/>
    <w:rsid w:val="0099241E"/>
    <w:rsid w:val="009942F3"/>
    <w:rsid w:val="00994950"/>
    <w:rsid w:val="0099652B"/>
    <w:rsid w:val="009A0831"/>
    <w:rsid w:val="009A44FB"/>
    <w:rsid w:val="009A5CDE"/>
    <w:rsid w:val="009B3F92"/>
    <w:rsid w:val="009C3CE9"/>
    <w:rsid w:val="009C4EFE"/>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97522"/>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1D3"/>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12085"/>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1BD7"/>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D312F"/>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D71F0"/>
    <w:rsid w:val="00EE0A13"/>
    <w:rsid w:val="00EE2897"/>
    <w:rsid w:val="00EF31D5"/>
    <w:rsid w:val="00EF5D2E"/>
    <w:rsid w:val="00EF7FDA"/>
    <w:rsid w:val="00F01612"/>
    <w:rsid w:val="00F04B17"/>
    <w:rsid w:val="00F113F4"/>
    <w:rsid w:val="00F13479"/>
    <w:rsid w:val="00F14CE8"/>
    <w:rsid w:val="00F1625A"/>
    <w:rsid w:val="00F17C93"/>
    <w:rsid w:val="00F35125"/>
    <w:rsid w:val="00F50BA2"/>
    <w:rsid w:val="00F5664D"/>
    <w:rsid w:val="00F6771B"/>
    <w:rsid w:val="00F703C3"/>
    <w:rsid w:val="00F7571C"/>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48B446B"/>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8E718E6"/>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007717"/>
    <w:rsid w:val="3D903B21"/>
    <w:rsid w:val="3F440741"/>
    <w:rsid w:val="41FC306C"/>
    <w:rsid w:val="44BE5554"/>
    <w:rsid w:val="451E0908"/>
    <w:rsid w:val="452C2D31"/>
    <w:rsid w:val="45D26E14"/>
    <w:rsid w:val="46A44D5C"/>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0016D7"/>
    <w:rsid w:val="6F8D70FF"/>
    <w:rsid w:val="6FFE5011"/>
    <w:rsid w:val="710A1097"/>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13</Pages>
  <Words>925</Words>
  <Characters>5276</Characters>
  <Lines>43</Lines>
  <Paragraphs>12</Paragraphs>
  <TotalTime>4</TotalTime>
  <ScaleCrop>false</ScaleCrop>
  <LinksUpToDate>false</LinksUpToDate>
  <CharactersWithSpaces>6189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2021-07-12T14:33:42Z</dcterms:modified>
  <cp:revision>818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