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华文中宋" w:eastAsia="黑体" w:cs="宋体"/>
          <w:b/>
          <w:kern w:val="0"/>
          <w:sz w:val="32"/>
          <w:szCs w:val="32"/>
        </w:rPr>
      </w:pPr>
      <w:r>
        <w:rPr>
          <w:rFonts w:hint="eastAsia" w:ascii="黑体" w:hAnsi="华文中宋" w:eastAsia="黑体" w:cs="宋体"/>
          <w:b/>
          <w:kern w:val="0"/>
          <w:sz w:val="32"/>
          <w:szCs w:val="32"/>
        </w:rPr>
        <w:t>喀什地区项目支出绩效自评报告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年度）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项目名称：</w:t>
      </w:r>
      <w:r>
        <w:rPr>
          <w:rFonts w:hint="eastAsia" w:ascii="仿宋_GB2312" w:eastAsia="仿宋_GB2312" w:cs="仿宋_GB2312"/>
          <w:sz w:val="32"/>
          <w:szCs w:val="32"/>
        </w:rPr>
        <w:t>叶城县村容村貌（美丽乡村）项目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/>
        </w:rPr>
        <w:t>叶城县扶贫开发领导小组办公室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马世江</w:t>
      </w:r>
    </w:p>
    <w:p>
      <w:pPr>
        <w:spacing w:line="70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填报时间：</w:t>
      </w:r>
      <w:r>
        <w:rPr>
          <w:rFonts w:ascii="仿宋_GB2312" w:hAnsi="仿宋_GB2312" w:eastAsia="仿宋_GB2312" w:cs="仿宋_GB2312"/>
          <w:kern w:val="0"/>
          <w:sz w:val="32"/>
          <w:szCs w:val="32"/>
          <w:lang w:val="zh-TW" w:eastAsia="zh-TW"/>
        </w:rPr>
        <w:t>201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年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月</w:t>
      </w:r>
      <w:r>
        <w:rPr>
          <w:rFonts w:ascii="仿宋_GB2312" w:hAnsi="仿宋_GB2312" w:eastAsia="仿宋_GB2312" w:cs="仿宋_GB2312"/>
          <w:kern w:val="0"/>
          <w:sz w:val="32"/>
          <w:szCs w:val="32"/>
        </w:rPr>
        <w:t>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TW" w:eastAsia="zh-TW"/>
        </w:rPr>
        <w:t>日</w:t>
      </w: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567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叶城县扶贫办</w:t>
      </w:r>
      <w:r>
        <w:rPr>
          <w:rFonts w:hint="eastAsia" w:ascii="仿宋_GB2312" w:hAnsi="宋体" w:eastAsia="仿宋_GB2312"/>
          <w:bCs/>
          <w:sz w:val="32"/>
          <w:szCs w:val="32"/>
        </w:rPr>
        <w:t>贯彻执行国家、自治区、地区扶贫开发领导小组和移民后期扶持工作方针政策，研究制定叶城县扶贫开发战略规划，负责组织、编制和制定县扶贫开发规划和年度计划，制定完善扶贫专项资金、涉农整合资金、援疆扶贫资金、物资管理办法，提出县年度扶贫开发项目计划，做好项目实施的组织、协调、检查、监督以及落实，组织实施产业化扶贫计划，引导、扶持扶贫龙头企业发，协调管理信贷扶贫工作，争取外部资金对叶城县援助并组织实施外资扶贫项目，制定县扶贫标准方案，对扶贫开发情况进行统计和动态监测，负责贫困户建档立卡管理。</w:t>
      </w:r>
    </w:p>
    <w:p>
      <w:pPr>
        <w:pStyle w:val="16"/>
        <w:shd w:val="clear" w:color="auto" w:fill="FFFFFF"/>
        <w:spacing w:line="520" w:lineRule="exact"/>
        <w:ind w:firstLine="624" w:firstLineChars="200"/>
        <w:rPr>
          <w:rStyle w:val="20"/>
          <w:rFonts w:ascii="仿宋_GB2312" w:eastAsia="仿宋_GB2312" w:cs="宋体"/>
          <w:b w:val="0"/>
          <w:spacing w:val="-4"/>
          <w:sz w:val="32"/>
          <w:szCs w:val="32"/>
        </w:rPr>
      </w:pP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人员情况：叶城县扶贫办行政编制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8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人，事业编制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3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人，机关工勤编制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名，实有</w:t>
      </w:r>
      <w:r>
        <w:rPr>
          <w:rFonts w:ascii="仿宋_GB2312" w:eastAsia="仿宋_GB2312" w:cs="宋体"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 w:cs="宋体"/>
          <w:bCs/>
          <w:spacing w:val="-4"/>
          <w:sz w:val="32"/>
          <w:szCs w:val="32"/>
        </w:rPr>
        <w:t>人。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（二）项目预算绩效目标设定情况</w:t>
      </w:r>
    </w:p>
    <w:p>
      <w:pPr>
        <w:widowControl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项目绩效总体目标：</w:t>
      </w:r>
      <w:r>
        <w:rPr>
          <w:rFonts w:ascii="仿宋_GB2312" w:hAnsi="仿宋" w:eastAsia="仿宋_GB2312"/>
          <w:sz w:val="32"/>
          <w:szCs w:val="32"/>
        </w:rPr>
        <w:t>2017</w:t>
      </w:r>
      <w:r>
        <w:rPr>
          <w:rFonts w:hint="eastAsia" w:ascii="仿宋_GB2312" w:hAnsi="仿宋" w:eastAsia="仿宋_GB2312"/>
          <w:sz w:val="32"/>
          <w:szCs w:val="32"/>
        </w:rPr>
        <w:t>年十九大的召开，习近平总书记提出关于乡村振兴战略的计划，到</w:t>
      </w:r>
      <w:r>
        <w:rPr>
          <w:rFonts w:ascii="仿宋_GB2312" w:hAnsi="仿宋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全国全面建成小康社会，现行标准下农村贫困户人口全部脱贫，贫困县全部摘帽，叶城县作为深度贫困县，要脱贫摘帽，不仅要达到“五通七有”，更要贯彻“乡村振兴战略计划”，建立生态宜居、宜游、宜业、出行便利、环境整洁的美丽乡村，加快推进城镇化建设进程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实现共同富裕和全面建设小康社会的战略任务，打好扶贫开发攻坚战。要坚定信心，高度重视，齐心协力，通过扎实工作，全面完成扶贫开发各项预期目标任务。为实现安定脱贫构筑坚强后盾，加快推进、强力攻坚，集中财力物力，每年为群众办几件看得见、能受益的实事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ascii="仿宋_GB2312" w:hAnsi="宋体" w:eastAsia="仿宋_GB2312"/>
          <w:b/>
          <w:bCs/>
          <w:spacing w:val="-4"/>
          <w:sz w:val="32"/>
          <w:szCs w:val="32"/>
        </w:rPr>
        <w:t>1</w:t>
      </w:r>
      <w:r>
        <w:rPr>
          <w:rFonts w:hint="eastAsia" w:ascii="仿宋_GB2312" w:hAnsi="宋体" w:eastAsia="仿宋_GB2312"/>
          <w:b/>
          <w:bCs/>
          <w:spacing w:val="-4"/>
          <w:sz w:val="32"/>
          <w:szCs w:val="32"/>
        </w:rPr>
        <w:t>、项目基本性质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ascii="仿宋_GB2312" w:hAnsi="宋体" w:eastAsia="仿宋_GB2312"/>
          <w:b/>
          <w:bCs/>
          <w:spacing w:val="-4"/>
          <w:sz w:val="32"/>
          <w:szCs w:val="32"/>
        </w:rPr>
        <w:t>2</w:t>
      </w:r>
      <w:r>
        <w:rPr>
          <w:rFonts w:hint="eastAsia" w:ascii="仿宋_GB2312" w:hAnsi="宋体" w:eastAsia="仿宋_GB2312"/>
          <w:b/>
          <w:bCs/>
          <w:spacing w:val="-4"/>
          <w:sz w:val="32"/>
          <w:szCs w:val="32"/>
        </w:rPr>
        <w:t>、项目用途及范围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整治贫困村的环境，改善贫困村落后的村容村貌现象，实现贫困村美化、绿化、亮化的目标，解决贫困村垃圾无处堆放、无法清理，环境卫生脏乱差的问题，提高贫困村整体整洁度，提升贫困户脱贫致富的信心和决心，为推进生态农业建设推广节能减排技术，节约和保护农业资源，打赢脱贫攻坚战提供有力保障、为乡村振兴战略奠定坚实基础。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（一）项目资金安排落实、总投入等情况分析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叶城县涉农整合项目（含财政专项）预算安排总额为</w:t>
      </w:r>
      <w:r>
        <w:rPr>
          <w:rFonts w:ascii="仿宋_GB2312" w:hAnsi="宋体" w:eastAsia="仿宋_GB2312" w:cs="仿宋_GB2312"/>
          <w:sz w:val="32"/>
          <w:szCs w:val="32"/>
        </w:rPr>
        <w:t>6101.94</w:t>
      </w:r>
      <w:r>
        <w:rPr>
          <w:rFonts w:hint="eastAsia" w:ascii="仿宋_GB2312" w:hAnsi="宋体" w:eastAsia="仿宋_GB2312" w:cs="仿宋_GB2312"/>
          <w:sz w:val="32"/>
          <w:szCs w:val="32"/>
        </w:rPr>
        <w:t>万元，新财综改［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15</w:t>
      </w:r>
      <w:r>
        <w:rPr>
          <w:rFonts w:hint="eastAsia" w:ascii="仿宋_GB2312" w:hAnsi="宋体" w:eastAsia="仿宋_GB2312" w:cs="仿宋_GB2312"/>
          <w:sz w:val="32"/>
          <w:szCs w:val="32"/>
        </w:rPr>
        <w:t>号、喀地综改［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15</w:t>
      </w:r>
      <w:r>
        <w:rPr>
          <w:rFonts w:hint="eastAsia" w:ascii="仿宋_GB2312" w:hAnsi="宋体" w:eastAsia="仿宋_GB2312" w:cs="仿宋_GB2312"/>
          <w:sz w:val="32"/>
          <w:szCs w:val="32"/>
        </w:rPr>
        <w:t>号、新财扶〔</w:t>
      </w:r>
      <w:r>
        <w:rPr>
          <w:rFonts w:ascii="仿宋_GB2312" w:hAnsi="宋体" w:eastAsia="仿宋_GB2312" w:cs="仿宋_GB2312"/>
          <w:sz w:val="32"/>
          <w:szCs w:val="32"/>
        </w:rPr>
        <w:t>2017</w:t>
      </w:r>
      <w:r>
        <w:rPr>
          <w:rFonts w:hint="eastAsia" w:ascii="仿宋_GB2312" w:hAnsi="宋体" w:eastAsia="仿宋_GB2312" w:cs="仿宋_GB2312"/>
          <w:sz w:val="32"/>
          <w:szCs w:val="32"/>
        </w:rPr>
        <w:t>〕</w:t>
      </w:r>
      <w:r>
        <w:rPr>
          <w:rFonts w:ascii="仿宋_GB2312" w:hAnsi="宋体" w:eastAsia="仿宋_GB2312" w:cs="仿宋_GB2312"/>
          <w:sz w:val="32"/>
          <w:szCs w:val="32"/>
        </w:rPr>
        <w:t>47</w:t>
      </w:r>
      <w:r>
        <w:rPr>
          <w:rFonts w:hint="eastAsia" w:ascii="仿宋_GB2312" w:hAnsi="宋体" w:eastAsia="仿宋_GB2312" w:cs="仿宋_GB2312"/>
          <w:sz w:val="32"/>
          <w:szCs w:val="32"/>
        </w:rPr>
        <w:t>号、喀地财扶［</w:t>
      </w:r>
      <w:r>
        <w:rPr>
          <w:rFonts w:ascii="仿宋_GB2312" w:hAnsi="宋体" w:eastAsia="仿宋_GB2312" w:cs="仿宋_GB2312"/>
          <w:sz w:val="32"/>
          <w:szCs w:val="32"/>
        </w:rPr>
        <w:t>2017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30</w:t>
      </w:r>
      <w:r>
        <w:rPr>
          <w:rFonts w:hint="eastAsia" w:ascii="仿宋_GB2312" w:hAnsi="宋体" w:eastAsia="仿宋_GB2312" w:cs="仿宋_GB2312"/>
          <w:sz w:val="32"/>
          <w:szCs w:val="32"/>
        </w:rPr>
        <w:t>号、新财扶〔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〕</w:t>
      </w:r>
      <w:r>
        <w:rPr>
          <w:rFonts w:ascii="仿宋_GB2312" w:hAnsi="宋体" w:eastAsia="仿宋_GB2312" w:cs="仿宋_GB2312"/>
          <w:sz w:val="32"/>
          <w:szCs w:val="32"/>
        </w:rPr>
        <w:t>0016</w:t>
      </w:r>
      <w:r>
        <w:rPr>
          <w:rFonts w:hint="eastAsia" w:ascii="仿宋_GB2312" w:hAnsi="宋体" w:eastAsia="仿宋_GB2312" w:cs="仿宋_GB2312"/>
          <w:sz w:val="32"/>
          <w:szCs w:val="32"/>
        </w:rPr>
        <w:t>、喀地财扶［</w:t>
      </w:r>
      <w:r>
        <w:rPr>
          <w:rFonts w:ascii="仿宋_GB2312" w:hAnsi="宋体" w:eastAsia="仿宋_GB2312" w:cs="仿宋_GB2312"/>
          <w:sz w:val="32"/>
          <w:szCs w:val="32"/>
        </w:rPr>
        <w:t>2018</w:t>
      </w:r>
      <w:r>
        <w:rPr>
          <w:rFonts w:hint="eastAsia" w:ascii="仿宋_GB2312" w:hAnsi="宋体" w:eastAsia="仿宋_GB2312" w:cs="仿宋_GB2312"/>
          <w:sz w:val="32"/>
          <w:szCs w:val="32"/>
        </w:rPr>
        <w:t>］</w:t>
      </w:r>
      <w:r>
        <w:rPr>
          <w:rFonts w:ascii="仿宋_GB2312" w:hAnsi="宋体" w:eastAsia="仿宋_GB2312" w:cs="仿宋_GB2312"/>
          <w:sz w:val="32"/>
          <w:szCs w:val="32"/>
        </w:rPr>
        <w:t>27</w:t>
      </w:r>
      <w:r>
        <w:rPr>
          <w:rFonts w:hint="eastAsia" w:ascii="仿宋_GB2312" w:hAnsi="宋体" w:eastAsia="仿宋_GB2312" w:cs="仿宋_GB2312"/>
          <w:sz w:val="32"/>
          <w:szCs w:val="32"/>
        </w:rPr>
        <w:t>号，其中财政资金</w:t>
      </w:r>
      <w:r>
        <w:rPr>
          <w:rFonts w:ascii="仿宋_GB2312" w:hAnsi="宋体" w:eastAsia="仿宋_GB2312" w:cs="仿宋_GB2312"/>
          <w:sz w:val="32"/>
          <w:szCs w:val="32"/>
        </w:rPr>
        <w:t>164.94</w:t>
      </w:r>
      <w:r>
        <w:rPr>
          <w:rFonts w:hint="eastAsia" w:ascii="仿宋_GB2312" w:hAnsi="宋体" w:eastAsia="仿宋_GB2312" w:cs="仿宋_GB2312"/>
          <w:sz w:val="32"/>
          <w:szCs w:val="32"/>
        </w:rPr>
        <w:t>万元，援疆资金</w:t>
      </w:r>
      <w:r>
        <w:rPr>
          <w:rFonts w:ascii="仿宋_GB2312" w:hAnsi="宋体" w:eastAsia="仿宋_GB2312" w:cs="仿宋_GB2312"/>
          <w:sz w:val="32"/>
          <w:szCs w:val="32"/>
        </w:rPr>
        <w:t>5937</w:t>
      </w:r>
      <w:r>
        <w:rPr>
          <w:rFonts w:hint="eastAsia" w:ascii="仿宋_GB2312" w:hAnsi="宋体" w:eastAsia="仿宋_GB2312" w:cs="仿宋_GB2312"/>
          <w:sz w:val="32"/>
          <w:szCs w:val="32"/>
        </w:rPr>
        <w:t>万元。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color w:val="0000FF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（二）项目资金实际使用情况分析</w:t>
      </w:r>
    </w:p>
    <w:p>
      <w:pPr>
        <w:spacing w:line="60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本项目实际支付资金</w:t>
      </w:r>
      <w:r>
        <w:rPr>
          <w:rFonts w:ascii="仿宋_GB2312" w:hAnsi="宋体" w:eastAsia="仿宋_GB2312" w:cs="仿宋_GB2312"/>
          <w:sz w:val="32"/>
          <w:szCs w:val="32"/>
        </w:rPr>
        <w:t>6101.94</w:t>
      </w:r>
      <w:r>
        <w:rPr>
          <w:rFonts w:hint="eastAsia" w:ascii="仿宋_GB2312" w:hAnsi="宋体" w:eastAsia="仿宋_GB2312" w:cs="仿宋_GB2312"/>
          <w:sz w:val="32"/>
          <w:szCs w:val="32"/>
        </w:rPr>
        <w:t>万元，预算执行率</w:t>
      </w:r>
      <w:r>
        <w:rPr>
          <w:rFonts w:ascii="仿宋_GB2312" w:hAnsi="宋体" w:eastAsia="仿宋_GB2312" w:cs="仿宋_GB2312"/>
          <w:sz w:val="32"/>
          <w:szCs w:val="32"/>
        </w:rPr>
        <w:t>100%</w:t>
      </w:r>
      <w:r>
        <w:rPr>
          <w:rFonts w:ascii="仿宋_GB2312" w:eastAsia="仿宋_GB2312" w:cs="仿宋_GB2312"/>
          <w:sz w:val="32"/>
          <w:szCs w:val="32"/>
        </w:rPr>
        <w:t>,</w:t>
      </w:r>
      <w:r>
        <w:rPr>
          <w:rFonts w:hint="eastAsia" w:ascii="仿宋_GB2312" w:hAnsi="宋体" w:eastAsia="仿宋_GB2312" w:cs="仿宋_GB2312"/>
          <w:sz w:val="32"/>
          <w:szCs w:val="32"/>
        </w:rPr>
        <w:t>没有结余资金。项目资金主要用于</w:t>
      </w:r>
      <w:r>
        <w:rPr>
          <w:rFonts w:hint="eastAsia" w:ascii="仿宋_GB2312" w:hAnsi="宋体" w:eastAsia="仿宋_GB2312"/>
          <w:bCs/>
          <w:sz w:val="32"/>
          <w:szCs w:val="32"/>
        </w:rPr>
        <w:t>实现贫困村美化、绿化、亮化的目标</w:t>
      </w:r>
      <w:r>
        <w:rPr>
          <w:rFonts w:hint="eastAsia" w:ascii="仿宋_GB2312" w:hAnsi="宋体" w:eastAsia="仿宋_GB2312" w:cs="仿宋_GB2312"/>
          <w:sz w:val="32"/>
          <w:szCs w:val="32"/>
        </w:rPr>
        <w:t>方面。</w:t>
      </w:r>
      <w:r>
        <w:rPr>
          <w:rFonts w:hint="eastAsia" w:ascii="仿宋_GB2312" w:hAnsi="宋体" w:eastAsia="仿宋_GB2312"/>
          <w:bCs/>
          <w:sz w:val="32"/>
          <w:szCs w:val="32"/>
        </w:rPr>
        <w:t>解决叶城县</w:t>
      </w:r>
      <w:r>
        <w:rPr>
          <w:rFonts w:ascii="仿宋_GB2312" w:hAnsi="宋体" w:eastAsia="仿宋_GB2312"/>
          <w:bCs/>
          <w:sz w:val="32"/>
          <w:szCs w:val="32"/>
        </w:rPr>
        <w:t>70</w:t>
      </w:r>
      <w:r>
        <w:rPr>
          <w:rFonts w:hint="eastAsia" w:ascii="仿宋_GB2312" w:hAnsi="宋体" w:eastAsia="仿宋_GB2312"/>
          <w:bCs/>
          <w:sz w:val="32"/>
          <w:szCs w:val="32"/>
        </w:rPr>
        <w:t>个村整治贫困村的环境，改善贫困村落后的村容村貌现象，实现贫困村美化、绿化、亮化的目标，解决贫困村垃圾无处堆放、无法清理，环境卫生脏乱差的问题，提高贫困村整体整洁度，提升贫困户脱贫致富的信心和决心。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20"/>
          <w:rFonts w:asci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本项目支出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根据《喀什地区财政扶贫资金管理办法（试行）》的制度，</w:t>
      </w:r>
      <w:r>
        <w:rPr>
          <w:rFonts w:hint="eastAsia" w:ascii="仿宋_GB2312" w:hAnsi="宋体" w:eastAsia="仿宋_GB2312" w:cs="仿宋_GB2312"/>
          <w:sz w:val="32"/>
          <w:szCs w:val="32"/>
        </w:rPr>
        <w:t>符合叶城县扶贫办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该项目属于涉农整合和财政专项项目</w:t>
      </w:r>
      <w:r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  <w:t>,</w:t>
      </w: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实施过程均按照上级制定的管理制度执行。</w:t>
      </w:r>
    </w:p>
    <w:p>
      <w:pPr>
        <w:spacing w:line="540" w:lineRule="exact"/>
        <w:ind w:firstLine="567" w:firstLineChars="181"/>
        <w:rPr>
          <w:rStyle w:val="20"/>
          <w:rFonts w:ascii="楷体" w:hAnsi="楷体" w:eastAsia="楷体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</w:t>
      </w:r>
      <w:r>
        <w:rPr>
          <w:rFonts w:hint="eastAsia" w:ascii="仿宋_GB2312" w:hAnsi="宋体" w:eastAsia="仿宋_GB2312" w:cs="仿宋_GB2312"/>
          <w:bCs/>
          <w:sz w:val="32"/>
          <w:szCs w:val="32"/>
        </w:rPr>
        <w:t>根据《喀什地区财政扶贫资金管理办法（试行）》的制度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管理规定，项目资料齐全并及时归档，不定期对项目进度情况进行督导检查，对检查过程中发现的问题及时督促整改，确保了项目按时保质完成。</w:t>
      </w:r>
    </w:p>
    <w:p>
      <w:pPr>
        <w:spacing w:line="540" w:lineRule="exact"/>
        <w:ind w:firstLine="567" w:firstLineChars="181"/>
        <w:rPr>
          <w:rStyle w:val="20"/>
          <w:rFonts w:ascii="仿宋_GB2312" w:hAnsi="楷体" w:eastAsia="仿宋_GB2312"/>
          <w:spacing w:val="-4"/>
          <w:sz w:val="32"/>
          <w:szCs w:val="32"/>
        </w:rPr>
      </w:pPr>
      <w:r>
        <w:rPr>
          <w:rStyle w:val="20"/>
          <w:rFonts w:hint="eastAsia" w:ascii="仿宋_GB2312" w:hAnsi="楷体" w:eastAsia="仿宋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项目的实施遵守相关法律法规和业务管理规定，项目资料齐全并及时归档，不定期对项目进度情况进行督导检查，对检查过程中发现的问题及时督促整改，确保了项目按时保质完成。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本项目共设置一级指标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个，二级指标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个，其中已完成三级指标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个，指标完成率为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。根据年初设定的绩效目标，此项目自评得分为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92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）项目完成数量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数量指标：实施村容村貌整治（美丽乡村建设）项目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107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个村，截止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质量指标：实施完后验收合格率合格率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年自评结束时，该项目已全部完成，合格率为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）项目实施进度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时效指标：开工及时率100%，完工及时率100%，按照申报目标的进度进行，截止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成本指标：每个村基础设施建设成本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57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万元，截止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经济效益指标：间接为贫困户增收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元以上。截止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社会效益指标：带动农户发展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38000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户以上，</w:t>
      </w: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完善基础设施，为脱贫致富创造良好条件。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生态效益指标：贫困村人居环境美化率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（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4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可持续影响指标：项目可持续影响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年，截止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3.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满意度指标：受益农户满意度超过95%，按计划完成项目实施，已做满意度调查问卷服务对象满意度指标完成。截止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年自评结束时，该项目已全部完成，完成率为</w:t>
      </w:r>
      <w:r>
        <w:rPr>
          <w:rFonts w:ascii="仿宋_GB2312" w:hAnsi="仿宋" w:eastAsia="仿宋_GB2312"/>
          <w:bCs/>
          <w:spacing w:val="-4"/>
          <w:sz w:val="32"/>
          <w:szCs w:val="32"/>
        </w:rPr>
        <w:t>100%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ascii="仿宋_GB2312" w:hAnsi="仿宋" w:eastAsia="仿宋_GB2312"/>
          <w:spacing w:val="-4"/>
          <w:sz w:val="32"/>
          <w:szCs w:val="32"/>
        </w:rPr>
        <w:t>2018</w:t>
      </w:r>
      <w:r>
        <w:rPr>
          <w:rFonts w:hint="eastAsia" w:ascii="仿宋_GB2312" w:hAnsi="仿宋" w:eastAsia="仿宋_GB2312"/>
          <w:spacing w:val="-4"/>
          <w:sz w:val="32"/>
          <w:szCs w:val="32"/>
        </w:rPr>
        <w:t>年本项目绩效目标全部达成，不存在未完成原因分析。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（一）后续工作计划</w:t>
      </w:r>
    </w:p>
    <w:p>
      <w:pPr>
        <w:widowControl/>
        <w:ind w:firstLine="716" w:firstLineChars="224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截止目前</w:t>
      </w:r>
      <w:r>
        <w:rPr>
          <w:rFonts w:ascii="仿宋_GB2312" w:hAnsi="宋体" w:eastAsia="仿宋_GB2312" w:cs="仿宋_GB2312"/>
          <w:kern w:val="0"/>
          <w:sz w:val="32"/>
          <w:szCs w:val="32"/>
        </w:rPr>
        <w:t>107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个村的美丽乡村建设（村容村貌整治）已全部完成，达到了每个村绿化的效果；群众出行更为方便；垃圾桶、垃圾箱等已全部到位，通过宣传，村民的意识逐步提升，垃圾集中归类观念逐渐加强，项目已取得初步成效。下一步将继续改善</w:t>
      </w:r>
      <w:r>
        <w:rPr>
          <w:rFonts w:hint="eastAsia" w:ascii="仿宋_GB2312" w:hAnsi="宋体" w:eastAsia="仿宋_GB2312"/>
          <w:bCs/>
          <w:sz w:val="32"/>
          <w:szCs w:val="32"/>
        </w:rPr>
        <w:t>贫困村美化、绿化、亮化，解决贫困村垃圾无处堆放、无法清理，环境卫生脏乱差的问题，提高贫困村整体整洁度，提升贫困户脱贫致富的信心和决心，为推进生态农业建设推广节能减排技术，节约和保护农业资源，打赢脱贫攻坚战提供有力保障、为乡村振兴战略奠定坚实基础。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1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、主要经验及做法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>一是严格项目建设管理。</w:t>
      </w:r>
      <w:r>
        <w:rPr>
          <w:rFonts w:hint="eastAsia" w:ascii="仿宋_GB2312" w:hAnsi="宋体" w:eastAsia="仿宋_GB2312" w:cs="仿宋_GB2312"/>
          <w:sz w:val="32"/>
          <w:szCs w:val="32"/>
        </w:rPr>
        <w:t>下拨项目资金后，我单位严格按照实施方案要求尽快实施项目，项目物资按照补助的原则实施，安排专人跟踪服务指导项目落实。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sz w:val="32"/>
          <w:szCs w:val="32"/>
        </w:rPr>
        <w:t>二是加强项目监督管理。</w:t>
      </w:r>
      <w:r>
        <w:rPr>
          <w:rFonts w:hint="eastAsia" w:ascii="仿宋_GB2312" w:hAnsi="宋体" w:eastAsia="仿宋_GB2312" w:cs="仿宋_GB2312"/>
          <w:sz w:val="32"/>
          <w:szCs w:val="32"/>
        </w:rPr>
        <w:t>要依据确定的实施方案尽快开展项目实施，项目资金不得用于修建楼堂馆所等。县扶贫办、财政部门要定期对项目实施情况进行监督检查，跟踪问效，并定期上报项目实施情况。</w:t>
      </w:r>
    </w:p>
    <w:p>
      <w:pPr>
        <w:spacing w:line="540" w:lineRule="exact"/>
        <w:ind w:firstLine="643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</w:rPr>
        <w:t>三是强化项目绩效管理。</w:t>
      </w:r>
      <w:r>
        <w:rPr>
          <w:rFonts w:hint="eastAsia" w:ascii="仿宋_GB2312" w:hAnsi="宋体" w:eastAsia="仿宋_GB2312" w:cs="仿宋_GB2312"/>
          <w:sz w:val="32"/>
          <w:szCs w:val="32"/>
        </w:rPr>
        <w:t>要确保项目建成后成效、有亮点，能起到引领示范作用，要注重梳理总结，提出一些好经验、好做法，形成一种新的发展模式便于今后推广。同时，要组织做好项目绩效考核工作。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2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ascii="仿宋_GB2312" w:hAnsi="仿宋" w:eastAsia="仿宋_GB2312"/>
          <w:bCs/>
          <w:spacing w:val="-4"/>
          <w:sz w:val="32"/>
          <w:szCs w:val="32"/>
        </w:rPr>
        <w:t>3</w:t>
      </w: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bCs/>
          <w:spacing w:val="-4"/>
          <w:sz w:val="32"/>
          <w:szCs w:val="32"/>
        </w:rPr>
      </w:pPr>
      <w:r>
        <w:rPr>
          <w:rFonts w:hint="eastAsia" w:ascii="仿宋_GB2312" w:hAnsi="仿宋" w:eastAsia="仿宋_GB2312"/>
          <w:bCs/>
          <w:spacing w:val="-4"/>
          <w:sz w:val="32"/>
          <w:szCs w:val="32"/>
        </w:rPr>
        <w:t>无</w:t>
      </w:r>
    </w:p>
    <w:p>
      <w:pPr>
        <w:spacing w:line="540" w:lineRule="exact"/>
        <w:ind w:firstLine="567" w:firstLineChars="181"/>
        <w:rPr>
          <w:rFonts w:ascii="仿宋_GB2312" w:hAnsi="楷体" w:eastAsia="仿宋_GB2312"/>
          <w:b/>
          <w:spacing w:val="-4"/>
          <w:sz w:val="32"/>
          <w:szCs w:val="32"/>
        </w:rPr>
      </w:pPr>
      <w:r>
        <w:rPr>
          <w:rFonts w:hint="eastAsia" w:ascii="仿宋_GB2312" w:hAnsi="楷体" w:eastAsia="仿宋_GB2312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无其说明内容。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" w:eastAsia="仿宋_GB2312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本次评价通过文件研读、实地调研、数据分析等方式，全面了解项目资金的使用效率和效果，项目管理过程是否规范，是否完成了预期绩效目标等。同时，通过开展自我评价来总结经验和教训，为叶城县项目今后的开展提供参考建议。</w:t>
      </w:r>
    </w:p>
    <w:p>
      <w:pPr>
        <w:spacing w:line="540" w:lineRule="exact"/>
        <w:ind w:firstLine="640"/>
        <w:rPr>
          <w:rStyle w:val="20"/>
          <w:rFonts w:ascii="黑体" w:hAnsi="黑体" w:eastAsia="黑体" w:cs="黑体"/>
          <w:bCs w:val="0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Cs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567"/>
        <w:rPr>
          <w:rStyle w:val="20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20"/>
          <w:rFonts w:hint="eastAsia" w:ascii="仿宋_GB2312" w:hAnsi="仿宋" w:eastAsia="仿宋_GB2312"/>
          <w:b w:val="0"/>
          <w:spacing w:val="-4"/>
          <w:sz w:val="32"/>
          <w:szCs w:val="32"/>
        </w:rPr>
        <w:t>《项目支出绩效自评表》</w:t>
      </w:r>
    </w:p>
    <w:p>
      <w:pPr>
        <w:spacing w:line="540" w:lineRule="exact"/>
        <w:ind w:firstLine="567"/>
        <w:rPr>
          <w:rStyle w:val="20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828FC"/>
    <w:rsid w:val="000976E8"/>
    <w:rsid w:val="000E70CF"/>
    <w:rsid w:val="00121AE4"/>
    <w:rsid w:val="00136BCC"/>
    <w:rsid w:val="00146AAD"/>
    <w:rsid w:val="001733D3"/>
    <w:rsid w:val="001B23F1"/>
    <w:rsid w:val="001B3A40"/>
    <w:rsid w:val="001F1D26"/>
    <w:rsid w:val="00220617"/>
    <w:rsid w:val="00236A5B"/>
    <w:rsid w:val="002C76E7"/>
    <w:rsid w:val="002E5309"/>
    <w:rsid w:val="00311626"/>
    <w:rsid w:val="00321CBD"/>
    <w:rsid w:val="00331623"/>
    <w:rsid w:val="00347D87"/>
    <w:rsid w:val="003723F5"/>
    <w:rsid w:val="003A6212"/>
    <w:rsid w:val="003C2CF9"/>
    <w:rsid w:val="003F2716"/>
    <w:rsid w:val="00402CDA"/>
    <w:rsid w:val="004366A8"/>
    <w:rsid w:val="00456192"/>
    <w:rsid w:val="004E2E44"/>
    <w:rsid w:val="00502BA7"/>
    <w:rsid w:val="005162F1"/>
    <w:rsid w:val="00535153"/>
    <w:rsid w:val="0055023B"/>
    <w:rsid w:val="005503D0"/>
    <w:rsid w:val="00552540"/>
    <w:rsid w:val="00554F82"/>
    <w:rsid w:val="00561E06"/>
    <w:rsid w:val="0056390D"/>
    <w:rsid w:val="005719B0"/>
    <w:rsid w:val="00595285"/>
    <w:rsid w:val="005D10D6"/>
    <w:rsid w:val="005E6040"/>
    <w:rsid w:val="00625CAD"/>
    <w:rsid w:val="0063597F"/>
    <w:rsid w:val="00636FFD"/>
    <w:rsid w:val="00655CD5"/>
    <w:rsid w:val="00656E69"/>
    <w:rsid w:val="00696356"/>
    <w:rsid w:val="006A619A"/>
    <w:rsid w:val="006E58E6"/>
    <w:rsid w:val="0070765F"/>
    <w:rsid w:val="00744BC7"/>
    <w:rsid w:val="00791614"/>
    <w:rsid w:val="007A593B"/>
    <w:rsid w:val="007D32F0"/>
    <w:rsid w:val="007E6716"/>
    <w:rsid w:val="00855E3A"/>
    <w:rsid w:val="00872B9B"/>
    <w:rsid w:val="00885530"/>
    <w:rsid w:val="008C3DC3"/>
    <w:rsid w:val="008E6B23"/>
    <w:rsid w:val="008F2612"/>
    <w:rsid w:val="00922CB9"/>
    <w:rsid w:val="0099379F"/>
    <w:rsid w:val="009E5CD9"/>
    <w:rsid w:val="009F334F"/>
    <w:rsid w:val="00A16B50"/>
    <w:rsid w:val="00A26421"/>
    <w:rsid w:val="00A4293B"/>
    <w:rsid w:val="00A57F50"/>
    <w:rsid w:val="00A67D50"/>
    <w:rsid w:val="00A8691A"/>
    <w:rsid w:val="00A9425A"/>
    <w:rsid w:val="00A956F3"/>
    <w:rsid w:val="00AA78D4"/>
    <w:rsid w:val="00AC1946"/>
    <w:rsid w:val="00AC2DE3"/>
    <w:rsid w:val="00AE61C1"/>
    <w:rsid w:val="00B27966"/>
    <w:rsid w:val="00B40063"/>
    <w:rsid w:val="00B41F61"/>
    <w:rsid w:val="00B804DE"/>
    <w:rsid w:val="00B96172"/>
    <w:rsid w:val="00BA142B"/>
    <w:rsid w:val="00BA2447"/>
    <w:rsid w:val="00BA46E6"/>
    <w:rsid w:val="00BD14D3"/>
    <w:rsid w:val="00BF7355"/>
    <w:rsid w:val="00C13103"/>
    <w:rsid w:val="00C56C72"/>
    <w:rsid w:val="00C82A43"/>
    <w:rsid w:val="00C87A8E"/>
    <w:rsid w:val="00C95952"/>
    <w:rsid w:val="00CA6457"/>
    <w:rsid w:val="00CB0722"/>
    <w:rsid w:val="00D0140A"/>
    <w:rsid w:val="00D17F2E"/>
    <w:rsid w:val="00D30354"/>
    <w:rsid w:val="00D35A5E"/>
    <w:rsid w:val="00DA6AE1"/>
    <w:rsid w:val="00DD1016"/>
    <w:rsid w:val="00DE6313"/>
    <w:rsid w:val="00DF42A0"/>
    <w:rsid w:val="00E32AE0"/>
    <w:rsid w:val="00E564B5"/>
    <w:rsid w:val="00E769FE"/>
    <w:rsid w:val="00EA2CBE"/>
    <w:rsid w:val="00EA593A"/>
    <w:rsid w:val="00EE6310"/>
    <w:rsid w:val="00F02926"/>
    <w:rsid w:val="00F15C44"/>
    <w:rsid w:val="00F32FEE"/>
    <w:rsid w:val="00F56224"/>
    <w:rsid w:val="00FB10BB"/>
    <w:rsid w:val="00FC3B55"/>
    <w:rsid w:val="00FD3BFD"/>
    <w:rsid w:val="00FE11B9"/>
    <w:rsid w:val="02E37DE9"/>
    <w:rsid w:val="03833447"/>
    <w:rsid w:val="0A3457DF"/>
    <w:rsid w:val="0D5D5A45"/>
    <w:rsid w:val="17E421EC"/>
    <w:rsid w:val="347362C2"/>
    <w:rsid w:val="7167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99"/>
    <w:pPr>
      <w:ind w:firstLine="420" w:firstLineChars="200"/>
    </w:pPr>
  </w:style>
  <w:style w:type="paragraph" w:styleId="12">
    <w:name w:val="Balloon Text"/>
    <w:basedOn w:val="1"/>
    <w:link w:val="31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qFormat/>
    <w:uiPriority w:val="99"/>
    <w:rPr>
      <w:rFonts w:ascii="Calibri" w:hAnsi="Calibri"/>
      <w:sz w:val="24"/>
      <w:szCs w:val="20"/>
    </w:rPr>
  </w:style>
  <w:style w:type="paragraph" w:styleId="17">
    <w:name w:val="Title"/>
    <w:basedOn w:val="1"/>
    <w:next w:val="1"/>
    <w:link w:val="35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99"/>
    <w:rPr>
      <w:rFonts w:cs="Times New Roman"/>
      <w:b/>
      <w:bCs/>
    </w:rPr>
  </w:style>
  <w:style w:type="character" w:styleId="21">
    <w:name w:val="Emphasis"/>
    <w:basedOn w:val="19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标题 1 Char"/>
    <w:basedOn w:val="19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Char"/>
    <w:basedOn w:val="19"/>
    <w:link w:val="3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Char"/>
    <w:basedOn w:val="19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Char"/>
    <w:basedOn w:val="19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Char"/>
    <w:basedOn w:val="19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Char"/>
    <w:basedOn w:val="19"/>
    <w:link w:val="7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Char"/>
    <w:basedOn w:val="19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标题 8 Char"/>
    <w:basedOn w:val="19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Char"/>
    <w:basedOn w:val="19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批注框文本 Char"/>
    <w:basedOn w:val="19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2">
    <w:name w:val="页脚 Char"/>
    <w:basedOn w:val="19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3">
    <w:name w:val="页眉 Char"/>
    <w:basedOn w:val="19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副标题 Char"/>
    <w:basedOn w:val="19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5">
    <w:name w:val="标题 Char"/>
    <w:basedOn w:val="19"/>
    <w:link w:val="17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6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7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8">
    <w:name w:val="引用1"/>
    <w:basedOn w:val="1"/>
    <w:next w:val="1"/>
    <w:link w:val="39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9">
    <w:name w:val="引用 Char"/>
    <w:basedOn w:val="19"/>
    <w:link w:val="38"/>
    <w:qFormat/>
    <w:locked/>
    <w:uiPriority w:val="99"/>
    <w:rPr>
      <w:rFonts w:cs="Times New Roman"/>
      <w:i/>
      <w:sz w:val="24"/>
      <w:szCs w:val="24"/>
    </w:rPr>
  </w:style>
  <w:style w:type="paragraph" w:customStyle="1" w:styleId="40">
    <w:name w:val="明显引用1"/>
    <w:basedOn w:val="1"/>
    <w:next w:val="1"/>
    <w:link w:val="41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1">
    <w:name w:val="明显引用 Char"/>
    <w:basedOn w:val="19"/>
    <w:link w:val="40"/>
    <w:qFormat/>
    <w:locked/>
    <w:uiPriority w:val="99"/>
    <w:rPr>
      <w:rFonts w:cs="Times New Roman"/>
      <w:b/>
      <w:i/>
      <w:sz w:val="24"/>
    </w:rPr>
  </w:style>
  <w:style w:type="character" w:customStyle="1" w:styleId="42">
    <w:name w:val="不明显强调1"/>
    <w:qFormat/>
    <w:uiPriority w:val="99"/>
    <w:rPr>
      <w:i/>
      <w:color w:val="5A5A5A"/>
    </w:rPr>
  </w:style>
  <w:style w:type="character" w:customStyle="1" w:styleId="43">
    <w:name w:val="明显强调1"/>
    <w:basedOn w:val="19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4">
    <w:name w:val="不明显参考1"/>
    <w:basedOn w:val="19"/>
    <w:qFormat/>
    <w:uiPriority w:val="99"/>
    <w:rPr>
      <w:rFonts w:cs="Times New Roman"/>
      <w:sz w:val="24"/>
      <w:szCs w:val="24"/>
      <w:u w:val="single"/>
    </w:rPr>
  </w:style>
  <w:style w:type="character" w:customStyle="1" w:styleId="45">
    <w:name w:val="明显参考1"/>
    <w:basedOn w:val="19"/>
    <w:qFormat/>
    <w:uiPriority w:val="99"/>
    <w:rPr>
      <w:rFonts w:cs="Times New Roman"/>
      <w:b/>
      <w:sz w:val="24"/>
      <w:u w:val="single"/>
    </w:rPr>
  </w:style>
  <w:style w:type="character" w:customStyle="1" w:styleId="46">
    <w:name w:val="书籍标题1"/>
    <w:basedOn w:val="19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7">
    <w:name w:val="TOC 标题1"/>
    <w:basedOn w:val="2"/>
    <w:next w:val="1"/>
    <w:semiHidden/>
    <w:qFormat/>
    <w:uiPriority w:val="99"/>
    <w:pPr>
      <w:outlineLvl w:val="9"/>
    </w:pPr>
    <w:rPr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483</Words>
  <Characters>2756</Characters>
  <Lines>22</Lines>
  <Paragraphs>6</Paragraphs>
  <TotalTime>0</TotalTime>
  <ScaleCrop>false</ScaleCrop>
  <LinksUpToDate>false</LinksUpToDate>
  <CharactersWithSpaces>3233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2019-08-21T10:17:00Z</dcterms:created>
  <dc:creator>赵 恺（预算处）</dc:creator>
  <cp:lastModifiedBy>Administrator</cp:lastModifiedBy>
  <cp:lastPrinted>2018-12-31T10:56:00Z</cp:lastPrinted>
  <dcterms:modified xsi:type="dcterms:W3CDTF">2021-07-12T14:51:19Z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