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sz w:val="36"/>
          <w:szCs w:val="36"/>
        </w:rPr>
      </w:pPr>
    </w:p>
    <w:p>
      <w:pPr>
        <w:jc w:val="center"/>
        <w:rPr>
          <w:rFonts w:ascii="仿宋" w:hAnsi="仿宋" w:eastAsia="仿宋" w:cs="仿宋"/>
          <w:sz w:val="48"/>
          <w:szCs w:val="48"/>
        </w:rPr>
      </w:pPr>
      <w:r>
        <w:rPr>
          <w:rFonts w:hint="eastAsia" w:ascii="仿宋" w:hAnsi="仿宋" w:eastAsia="仿宋" w:cs="仿宋"/>
          <w:sz w:val="48"/>
          <w:szCs w:val="48"/>
        </w:rPr>
        <w:t>叶城县园艺站特色种植项目支出绩效评价报告</w:t>
      </w:r>
    </w:p>
    <w:p>
      <w:pPr>
        <w:jc w:val="center"/>
        <w:rPr>
          <w:rFonts w:ascii="仿宋" w:hAnsi="仿宋" w:eastAsia="仿宋" w:cs="仿宋"/>
          <w:sz w:val="36"/>
          <w:szCs w:val="36"/>
        </w:rPr>
      </w:pPr>
    </w:p>
    <w:p>
      <w:pPr>
        <w:jc w:val="center"/>
        <w:rPr>
          <w:rFonts w:ascii="仿宋" w:hAnsi="仿宋" w:eastAsia="仿宋" w:cs="仿宋"/>
          <w:sz w:val="36"/>
          <w:szCs w:val="36"/>
        </w:rPr>
      </w:pPr>
    </w:p>
    <w:p>
      <w:pPr>
        <w:jc w:val="center"/>
        <w:rPr>
          <w:rFonts w:ascii="仿宋" w:hAnsi="仿宋" w:eastAsia="仿宋" w:cs="仿宋"/>
          <w:sz w:val="36"/>
          <w:szCs w:val="36"/>
        </w:rPr>
      </w:pPr>
    </w:p>
    <w:p>
      <w:pPr>
        <w:jc w:val="center"/>
        <w:rPr>
          <w:rFonts w:ascii="仿宋" w:hAnsi="仿宋" w:eastAsia="仿宋" w:cs="仿宋"/>
          <w:sz w:val="36"/>
          <w:szCs w:val="36"/>
        </w:rPr>
      </w:pPr>
    </w:p>
    <w:p>
      <w:pPr>
        <w:ind w:firstLine="2520" w:firstLineChars="700"/>
        <w:rPr>
          <w:rFonts w:ascii="仿宋" w:hAnsi="仿宋" w:eastAsia="仿宋" w:cs="仿宋"/>
          <w:sz w:val="36"/>
          <w:szCs w:val="36"/>
        </w:rPr>
      </w:pPr>
      <w:r>
        <w:rPr>
          <w:rFonts w:hint="eastAsia" w:ascii="仿宋" w:hAnsi="仿宋" w:eastAsia="仿宋" w:cs="仿宋"/>
          <w:sz w:val="36"/>
          <w:szCs w:val="36"/>
        </w:rPr>
        <w:t>项目名称：特色种植项目</w:t>
      </w:r>
    </w:p>
    <w:p>
      <w:pPr>
        <w:ind w:firstLine="2520" w:firstLineChars="700"/>
        <w:rPr>
          <w:rFonts w:ascii="仿宋" w:hAnsi="仿宋" w:eastAsia="仿宋" w:cs="仿宋"/>
          <w:sz w:val="36"/>
          <w:szCs w:val="36"/>
        </w:rPr>
      </w:pPr>
      <w:r>
        <w:rPr>
          <w:rFonts w:hint="eastAsia" w:ascii="仿宋" w:hAnsi="仿宋" w:eastAsia="仿宋" w:cs="仿宋"/>
          <w:sz w:val="36"/>
          <w:szCs w:val="36"/>
        </w:rPr>
        <w:t>实施单位：园艺工作站</w:t>
      </w:r>
    </w:p>
    <w:p>
      <w:pPr>
        <w:ind w:firstLine="2520" w:firstLineChars="700"/>
        <w:rPr>
          <w:rFonts w:ascii="仿宋" w:hAnsi="仿宋" w:eastAsia="仿宋" w:cs="仿宋"/>
          <w:sz w:val="36"/>
          <w:szCs w:val="36"/>
        </w:rPr>
      </w:pPr>
      <w:r>
        <w:rPr>
          <w:rFonts w:hint="eastAsia" w:ascii="仿宋" w:hAnsi="仿宋" w:eastAsia="仿宋" w:cs="仿宋"/>
          <w:sz w:val="36"/>
          <w:szCs w:val="36"/>
        </w:rPr>
        <w:t>评价部门：园艺工作站</w:t>
      </w:r>
    </w:p>
    <w:p>
      <w:pPr>
        <w:jc w:val="center"/>
        <w:rPr>
          <w:rFonts w:ascii="仿宋" w:hAnsi="仿宋" w:eastAsia="仿宋" w:cs="仿宋"/>
          <w:sz w:val="36"/>
          <w:szCs w:val="36"/>
        </w:rPr>
      </w:pPr>
    </w:p>
    <w:p>
      <w:pPr>
        <w:jc w:val="center"/>
        <w:rPr>
          <w:rFonts w:ascii="仿宋" w:hAnsi="仿宋" w:eastAsia="仿宋" w:cs="仿宋"/>
          <w:sz w:val="36"/>
          <w:szCs w:val="36"/>
        </w:rPr>
      </w:pPr>
    </w:p>
    <w:p>
      <w:pPr>
        <w:jc w:val="center"/>
        <w:rPr>
          <w:rFonts w:ascii="仿宋" w:hAnsi="仿宋" w:eastAsia="仿宋" w:cs="仿宋"/>
          <w:sz w:val="36"/>
          <w:szCs w:val="36"/>
        </w:rPr>
      </w:pPr>
    </w:p>
    <w:p>
      <w:pPr>
        <w:pStyle w:val="7"/>
        <w:ind w:firstLine="720"/>
        <w:rPr>
          <w:rFonts w:ascii="仿宋" w:hAnsi="仿宋" w:eastAsia="仿宋" w:cs="仿宋"/>
          <w:sz w:val="36"/>
          <w:szCs w:val="36"/>
        </w:rPr>
      </w:pPr>
    </w:p>
    <w:p>
      <w:pPr>
        <w:pStyle w:val="7"/>
        <w:ind w:firstLine="720"/>
        <w:rPr>
          <w:rFonts w:ascii="仿宋" w:hAnsi="仿宋" w:eastAsia="仿宋" w:cs="仿宋"/>
          <w:sz w:val="36"/>
          <w:szCs w:val="36"/>
        </w:rPr>
      </w:pPr>
    </w:p>
    <w:p>
      <w:pPr>
        <w:pStyle w:val="7"/>
        <w:ind w:firstLine="720"/>
        <w:rPr>
          <w:rFonts w:ascii="仿宋" w:hAnsi="仿宋" w:eastAsia="仿宋" w:cs="仿宋"/>
          <w:sz w:val="36"/>
          <w:szCs w:val="36"/>
        </w:rPr>
      </w:pPr>
    </w:p>
    <w:p>
      <w:pPr>
        <w:pStyle w:val="7"/>
        <w:ind w:firstLine="720"/>
        <w:rPr>
          <w:rFonts w:ascii="仿宋" w:hAnsi="仿宋" w:eastAsia="仿宋" w:cs="仿宋"/>
          <w:sz w:val="36"/>
          <w:szCs w:val="36"/>
        </w:rPr>
      </w:pPr>
    </w:p>
    <w:p>
      <w:pPr>
        <w:pStyle w:val="7"/>
        <w:ind w:firstLine="720"/>
        <w:rPr>
          <w:rFonts w:ascii="仿宋" w:hAnsi="仿宋" w:eastAsia="仿宋" w:cs="仿宋"/>
          <w:sz w:val="36"/>
          <w:szCs w:val="36"/>
        </w:rPr>
      </w:pPr>
    </w:p>
    <w:p>
      <w:pPr>
        <w:jc w:val="center"/>
        <w:rPr>
          <w:rFonts w:ascii="仿宋" w:hAnsi="仿宋" w:eastAsia="仿宋" w:cs="仿宋"/>
          <w:sz w:val="36"/>
          <w:szCs w:val="36"/>
        </w:rPr>
      </w:pPr>
      <w:r>
        <w:rPr>
          <w:rFonts w:hint="eastAsia" w:ascii="仿宋" w:hAnsi="仿宋" w:eastAsia="仿宋" w:cs="仿宋"/>
          <w:sz w:val="36"/>
          <w:szCs w:val="36"/>
        </w:rPr>
        <w:t>二零二零年四月</w:t>
      </w: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方正小标宋_GBK" w:hAnsi="方正小标宋_GBK" w:eastAsia="方正小标宋_GBK" w:cs="方正小标宋_GBK"/>
          <w:sz w:val="32"/>
          <w:szCs w:val="32"/>
        </w:rPr>
      </w:pPr>
    </w:p>
    <w:p>
      <w:pPr>
        <w:pStyle w:val="13"/>
        <w:spacing w:line="560" w:lineRule="exact"/>
        <w:ind w:firstLine="643"/>
      </w:pPr>
      <w:r>
        <w:rPr>
          <w:rFonts w:hint="eastAsia"/>
        </w:rPr>
        <w:t>一、基本情况</w:t>
      </w:r>
    </w:p>
    <w:p>
      <w:pPr>
        <w:pStyle w:val="13"/>
        <w:spacing w:line="560" w:lineRule="exact"/>
        <w:ind w:left="643" w:firstLine="0" w:firstLineChars="0"/>
        <w:rPr>
          <w:rFonts w:ascii="仿宋_GB2312" w:eastAsia="仿宋_GB2312" w:hAnsiTheme="majorHAnsi"/>
          <w:kern w:val="2"/>
        </w:rPr>
      </w:pPr>
      <w:bookmarkStart w:id="0" w:name="_Toc26401549"/>
      <w:r>
        <w:rPr>
          <w:rFonts w:hint="eastAsia" w:ascii="仿宋_GB2312" w:eastAsia="仿宋_GB2312" w:hAnsiTheme="majorHAnsi"/>
          <w:kern w:val="2"/>
        </w:rPr>
        <w:t>（一）项目概况</w:t>
      </w:r>
      <w:bookmarkEnd w:id="0"/>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1.项目背景及立项依据：</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为认真贯彻中央扶贫工作会议精神和新疆少数自治区党委系列部署，全面贯彻落实</w:t>
      </w:r>
      <w:r>
        <w:rPr>
          <w:rFonts w:hint="eastAsia" w:ascii="仿宋_GB2312" w:hAnsi="仿宋_GB2312" w:eastAsia="仿宋_GB2312" w:cs="仿宋_GB2312"/>
          <w:sz w:val="32"/>
          <w:szCs w:val="32"/>
          <w:lang w:eastAsia="zh-CN"/>
        </w:rPr>
        <w:t>习近平</w:t>
      </w:r>
      <w:r>
        <w:rPr>
          <w:rFonts w:hint="eastAsia" w:ascii="仿宋_GB2312" w:hAnsi="仿宋_GB2312" w:eastAsia="仿宋_GB2312" w:cs="仿宋_GB2312"/>
          <w:sz w:val="32"/>
          <w:szCs w:val="32"/>
        </w:rPr>
        <w:t>新时代</w:t>
      </w:r>
      <w:r>
        <w:rPr>
          <w:rFonts w:hint="eastAsia" w:ascii="仿宋_GB2312" w:hAnsi="仿宋_GB2312" w:eastAsia="仿宋_GB2312" w:cs="仿宋_GB2312"/>
          <w:sz w:val="32"/>
          <w:szCs w:val="32"/>
          <w:lang w:eastAsia="zh-CN"/>
        </w:rPr>
        <w:t>中国</w:t>
      </w:r>
      <w:r>
        <w:rPr>
          <w:rFonts w:hint="eastAsia" w:ascii="仿宋_GB2312" w:hAnsi="仿宋_GB2312" w:eastAsia="仿宋_GB2312" w:cs="仿宋_GB2312"/>
          <w:sz w:val="32"/>
          <w:szCs w:val="32"/>
        </w:rPr>
        <w:t>特色社会主义思想，按照“划分区域、分类扶持、整村推进、巩固提高、完善机制”的工作方针，通过深化农业供给侧结构性改革，大力推进现代农业发展，培育具有叶城特色的扶贫支柱产业，拓宽贫困群众增收渠道。</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2.立项依据</w:t>
      </w:r>
      <w:bookmarkStart w:id="8" w:name="_GoBack"/>
      <w:bookmarkEnd w:id="8"/>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（1）叶城县2019年脱贫攻坚项目推进专题会议纪要；</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（2）《叶城县2019年涉农统筹整合资金项目实施方案》；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（3）叶城县扶贫开发领导小组下达至项目启动通知书等通知文件。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3.项目负责及职责</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县农业农村局局长依力亚尔·拜合提亚尔，各乡镇党委书记。</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项目责任：</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叶城县园艺站责任：为项目牵头单位，负责各乡镇项目的计划的汇总、定期向项目领导小组汇报项目进展情况、监督管理项目实施完成情况，按照扶贫项目资金管理办法使用好项目资金、完成项目资金的拨付和监督管理、完成项目绩效及项目资料的收集整理及归档。</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项目乡、村责任：负责宣传发动贫困户积极参与设施农业节水配套项目，建立贫困户的实名制台账、按照时间节点和标准完成建设任务、负责项目的审核检查验收，资料配合项目检查验收等。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4.项目主要内容及实施情况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本项目的主管部门为园艺工作站。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机构设置情况：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叶城县园艺工作站，隶属县农业局，规格相当副科级，内设办公室和财务室，编制数10，其中：行政员编制0，参照公务员管理的事业单位员编制4，全额拨款事业单位员编制6。实有在职数18.</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工作职责：参与制订全县农业及农村经济工作发展规划，并将科研成果及实用技术应用于农业生产，促使农业增产增效，保障农业的持续快速发展，实现农业现代化；组织全县各乡（镇）设施农业技术培训，提高科技在农业生产中的含量；指导全县设施农业生产技术应用、各种蔬菜大棚病虫害防治，提供农业新技术、信息服务；对蔬菜的新品种、栽培新技术进行试验、示范及推广，为农业生产持续健康发展提供可靠依据。</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项目主要内容：根据新财扶【2018】58号、喀地财扶62号以及新财建【2019】192号、喀地财建【2019】100号文件，下发资金预算金额为1811.34万元。年度设定的预期目标: 1、发展特色种植业1.29万亩，种植包括各类蔬菜、食用菌、万寿菊、药用玫瑰、良种马铃薯、良种红薯、向日葵、丹参，发放复合肥39.5吨, 2、建成大拱棚811座，小拱棚1509座。3、带动1.6348万余户贫困户发展特色种植业，特色种植产业带动农民脱贫致富，为我县如期脱贫打下基础。4、该项目实施进一步带动农民创收，拓宽就业渠道，提高富余劳动力就业增收问题，提升农民种植技术，不断提高我县蔬菜产业开发水平。</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实施情况：本项目由各乡镇农户自行申报，乡镇统一汇总上报，园艺工作站对项目进行审查，出具审查意见，并上报扶贫开发领导小组，扶贫开发领导小组统筹资金下达实施方案，园艺工作站根据实施方案要求，制定本行业、本乡镇实施方案，项目完工后，乡镇强化日常项目监管，密切关注项目的经营管理、经济效益、经营风险等状况。对经营中出现的困难、问题，在合理范围内给予帮助协调解决，保证项目收益达到并超过预期。</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本项目的实施，对大力发展设施农业，带动劳动就业，促进蔬菜产业发展，增加农民收入，帮助贫困户增加收入，提高贫困户生活水平具有重要的意义。</w:t>
      </w:r>
    </w:p>
    <w:p>
      <w:pPr>
        <w:spacing w:line="560" w:lineRule="exact"/>
        <w:ind w:firstLine="643" w:firstLineChars="200"/>
        <w:rPr>
          <w:rFonts w:ascii="仿宋_GB2312" w:eastAsia="仿宋_GB2312" w:cs="Times New Roman" w:hAnsiTheme="majorHAnsi"/>
          <w:b/>
          <w:bCs/>
          <w:sz w:val="32"/>
          <w:szCs w:val="32"/>
        </w:rPr>
      </w:pPr>
      <w:bookmarkStart w:id="1" w:name="_Toc26401550"/>
      <w:r>
        <w:rPr>
          <w:rFonts w:hint="eastAsia" w:ascii="仿宋_GB2312" w:eastAsia="仿宋_GB2312" w:cs="Times New Roman" w:hAnsiTheme="majorHAnsi"/>
          <w:b/>
          <w:bCs/>
          <w:sz w:val="32"/>
          <w:szCs w:val="32"/>
        </w:rPr>
        <w:t>（二）资金</w:t>
      </w:r>
      <w:bookmarkEnd w:id="1"/>
      <w:r>
        <w:rPr>
          <w:rFonts w:hint="eastAsia" w:ascii="仿宋_GB2312" w:eastAsia="仿宋_GB2312" w:cs="Times New Roman" w:hAnsiTheme="majorHAnsi"/>
          <w:b/>
          <w:bCs/>
          <w:sz w:val="32"/>
          <w:szCs w:val="32"/>
        </w:rPr>
        <w:t>投入和使用情况</w:t>
      </w:r>
    </w:p>
    <w:p>
      <w:pPr>
        <w:spacing w:line="560" w:lineRule="exact"/>
        <w:ind w:firstLine="640" w:firstLineChars="200"/>
        <w:rPr>
          <w:rFonts w:ascii="仿宋_GB2312" w:hAnsi="仿宋" w:eastAsia="仿宋_GB2312" w:cs="宋体"/>
          <w:sz w:val="32"/>
          <w:szCs w:val="32"/>
        </w:rPr>
      </w:pPr>
      <w:bookmarkStart w:id="2" w:name="_Toc26401551"/>
      <w:r>
        <w:rPr>
          <w:rFonts w:hint="eastAsia" w:ascii="仿宋_GB2312" w:hAnsi="仿宋" w:eastAsia="仿宋_GB2312" w:cs="宋体"/>
          <w:sz w:val="32"/>
          <w:szCs w:val="32"/>
        </w:rPr>
        <w:t>1.预算金额</w:t>
      </w:r>
    </w:p>
    <w:p>
      <w:pPr>
        <w:adjustRightInd w:val="0"/>
        <w:snapToGrid w:val="0"/>
        <w:spacing w:line="560" w:lineRule="exact"/>
        <w:ind w:firstLine="640" w:firstLineChars="200"/>
        <w:outlineLvl w:val="0"/>
        <w:rPr>
          <w:rFonts w:ascii="仿宋_GB2312" w:hAnsi="仿宋" w:eastAsia="仿宋_GB2312" w:cs="宋体"/>
          <w:sz w:val="32"/>
          <w:szCs w:val="32"/>
        </w:rPr>
      </w:pPr>
      <w:r>
        <w:rPr>
          <w:rFonts w:hint="eastAsia" w:ascii="仿宋_GB2312" w:hAnsi="仿宋" w:eastAsia="仿宋_GB2312" w:cs="仿宋"/>
          <w:sz w:val="32"/>
          <w:szCs w:val="32"/>
        </w:rPr>
        <w:t>根据新财扶【2018】58号、喀地财扶62号以及新财建【2019】192号、喀地财建【2019】100号文件，下发资金1811.34万元</w:t>
      </w:r>
      <w:r>
        <w:rPr>
          <w:rFonts w:hint="eastAsia" w:ascii="仿宋_GB2312" w:hAnsi="仿宋" w:eastAsia="仿宋_GB2312" w:cs="仿宋"/>
          <w:bCs/>
          <w:sz w:val="32"/>
          <w:szCs w:val="32"/>
        </w:rPr>
        <w:t>；实际到位值1811.34万元，资金到位率100%</w:t>
      </w:r>
      <w:r>
        <w:rPr>
          <w:rFonts w:hint="eastAsia" w:ascii="仿宋_GB2312" w:hAnsi="仿宋" w:eastAsia="仿宋_GB2312" w:cs="宋体"/>
          <w:sz w:val="32"/>
          <w:szCs w:val="32"/>
        </w:rPr>
        <w:t>。</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2.预算来源</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该项目预算来源为涉农整合资金，2019年实际到位资金</w:t>
      </w:r>
      <w:r>
        <w:rPr>
          <w:rFonts w:hint="eastAsia" w:ascii="仿宋_GB2312" w:hAnsi="仿宋" w:eastAsia="仿宋_GB2312" w:cs="仿宋"/>
          <w:bCs/>
          <w:sz w:val="32"/>
          <w:szCs w:val="32"/>
        </w:rPr>
        <w:t>1811.34</w:t>
      </w:r>
      <w:r>
        <w:rPr>
          <w:rFonts w:hint="eastAsia" w:ascii="仿宋_GB2312" w:hAnsi="仿宋" w:eastAsia="仿宋_GB2312" w:cs="宋体"/>
          <w:sz w:val="32"/>
          <w:szCs w:val="32"/>
        </w:rPr>
        <w:t>万元，资金到位率 100.00%。</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3.项目实施起止时间</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本项目计划实施起止时间 2019 年 1 月-2019 年 12 月</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4.预算执行情况：</w:t>
      </w:r>
      <w:r>
        <w:rPr>
          <w:rFonts w:hint="eastAsia" w:ascii="仿宋_GB2312" w:hAnsi="仿宋" w:eastAsia="仿宋_GB2312" w:cs="仿宋"/>
          <w:sz w:val="32"/>
          <w:szCs w:val="32"/>
        </w:rPr>
        <w:t>根据新财扶【2018】58号、喀地财扶62号以及新财建【2019】192号、喀地财建【2019】100号文件，</w:t>
      </w:r>
      <w:r>
        <w:rPr>
          <w:rFonts w:hint="eastAsia" w:ascii="仿宋_GB2312" w:hAnsi="仿宋" w:eastAsia="仿宋_GB2312" w:cs="仿宋"/>
          <w:bCs/>
          <w:sz w:val="32"/>
          <w:szCs w:val="32"/>
        </w:rPr>
        <w:t>到位资金1811.34万元，本项目实际支付资金1811.34万元，预算执行率100%。项目资金主要用于支付辣椒苗款84.15万元、西红柿苗款81.07万元、茄子苗款10.67万元、西甜瓜苗款4.11万元、黄瓜苗款1.71万元、豇豆苗款2.31万元、向日葵8.36万元、红薯121.38万元、马铃薯190.39万元、药用玫瑰83.93万元、万寿菊12.98万元、丹参苗木补助30.96万元、食用菌种植80.72万元、配方肥15.80万元，设施农业拱棚项目款1114.8万元</w:t>
      </w:r>
      <w:r>
        <w:rPr>
          <w:rFonts w:hint="eastAsia" w:ascii="仿宋_GB2312" w:hAnsi="仿宋" w:eastAsia="仿宋_GB2312" w:cs="宋体"/>
          <w:sz w:val="32"/>
          <w:szCs w:val="32"/>
        </w:rPr>
        <w:t>。</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5.资金的使用制度</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扶贫资金使用和管理应按照《新疆少数自治区财政专项扶贫资金（扶贫发展项目管理办法（暂行的通知》（新财扶〔2017〕32号、《关于进一步加强财政扶贫资金监督管理的意见》（新财脱贫组〔2019〕2号等相关文件要求。依据项目计划和实施进度,提出支付申请并提供相关真实、合规的证明材料，制定资金使用计划，经审核后按照国库集中支付管理制度的规定和程序及时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项目验收合格后付款97%,苗木成活率达到85%或种子发芽率达到85%，付3%质保金。</w:t>
      </w:r>
    </w:p>
    <w:p>
      <w:pPr>
        <w:spacing w:line="560" w:lineRule="exact"/>
        <w:ind w:firstLine="643" w:firstLineChars="200"/>
        <w:rPr>
          <w:rFonts w:ascii="仿宋_GB2312" w:eastAsia="仿宋_GB2312" w:cs="Times New Roman" w:hAnsiTheme="majorHAnsi"/>
          <w:b/>
          <w:bCs/>
          <w:sz w:val="32"/>
          <w:szCs w:val="32"/>
        </w:rPr>
      </w:pPr>
      <w:r>
        <w:rPr>
          <w:rFonts w:hint="eastAsia" w:ascii="仿宋_GB2312" w:eastAsia="仿宋_GB2312" w:cs="Times New Roman" w:hAnsiTheme="majorHAnsi"/>
          <w:b/>
          <w:bCs/>
          <w:sz w:val="32"/>
          <w:szCs w:val="32"/>
        </w:rPr>
        <w:t>（三）绩效目标</w:t>
      </w:r>
      <w:bookmarkEnd w:id="2"/>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总体目标为：发展特色种植业1.29万亩，种植包括各类蔬菜、食用菌、万寿菊、药用玫瑰、良种马铃薯、良种红薯、向日葵、丹参。新建大拱棚811座，小拱棚1509座；                                                                                                               3、带动600余户贫困户发展特色种植业，特色种植产业带动农民脱贫致富，为我县如期脱贫打下基础。</w:t>
      </w:r>
    </w:p>
    <w:p>
      <w:pPr>
        <w:spacing w:line="560" w:lineRule="exact"/>
        <w:ind w:firstLine="643" w:firstLineChars="200"/>
        <w:rPr>
          <w:rFonts w:ascii="黑体" w:hAnsi="黑体" w:eastAsia="黑体" w:cs="黑体"/>
          <w:b/>
          <w:bCs/>
          <w:sz w:val="32"/>
          <w:szCs w:val="32"/>
        </w:rPr>
      </w:pPr>
      <w:bookmarkStart w:id="3" w:name="_Toc26401552"/>
      <w:r>
        <w:rPr>
          <w:rFonts w:hint="eastAsia" w:ascii="黑体" w:hAnsi="黑体" w:eastAsia="黑体" w:cs="黑体"/>
          <w:b/>
          <w:bCs/>
          <w:sz w:val="32"/>
          <w:szCs w:val="32"/>
        </w:rPr>
        <w:t>二、评价工作简述</w:t>
      </w:r>
      <w:bookmarkEnd w:id="3"/>
    </w:p>
    <w:p>
      <w:pPr>
        <w:spacing w:line="560" w:lineRule="exact"/>
        <w:ind w:firstLine="643" w:firstLineChars="200"/>
        <w:rPr>
          <w:rFonts w:ascii="仿宋_GB2312" w:eastAsia="仿宋_GB2312" w:cs="Times New Roman" w:hAnsiTheme="majorHAnsi"/>
          <w:b/>
          <w:bCs/>
          <w:sz w:val="32"/>
          <w:szCs w:val="32"/>
        </w:rPr>
      </w:pPr>
      <w:bookmarkStart w:id="4" w:name="_Toc26401553"/>
      <w:r>
        <w:rPr>
          <w:rFonts w:hint="eastAsia" w:ascii="仿宋_GB2312" w:eastAsia="仿宋_GB2312" w:cs="Times New Roman" w:hAnsiTheme="majorHAnsi"/>
          <w:b/>
          <w:bCs/>
          <w:sz w:val="32"/>
          <w:szCs w:val="32"/>
        </w:rPr>
        <w:t>（一）评价目的</w:t>
      </w:r>
      <w:bookmarkEnd w:id="4"/>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绩效评价遵循财政部《项目支出绩效评价管理办法》（财预〔2020〕10号）和自治区财政厅《自治区财政支出绩效评价管理暂行办法》（新财预〔2018〕189号）等相关政策文件与规定，旨在评价项目实施前期、过程及效果，评价财政预算资金使用的效率及效益。开展本项目绩效评价的目的是了解本项目的建设和实施方法，了解项目资金的使用情况，项目日常开展情况，以及项目实施后的效益情况，从而找出项目实施中存在的问题和困难，未今后类似项目的实施打下坚实基础。实施此项目能够改善居，增加经济收入，促进文明住行，美化农村，对符合条件的贫困户家庭，形成规模，生活水平明显提高，群众满意度和幸福感显著增强。</w:t>
      </w:r>
    </w:p>
    <w:p>
      <w:pPr>
        <w:spacing w:line="560" w:lineRule="exact"/>
        <w:ind w:firstLine="643" w:firstLineChars="200"/>
        <w:rPr>
          <w:rFonts w:ascii="方正楷体简体" w:hAnsi="方正楷体简体" w:eastAsia="方正楷体简体" w:cs="方正楷体简体"/>
          <w:sz w:val="32"/>
          <w:szCs w:val="32"/>
        </w:rPr>
      </w:pPr>
      <w:r>
        <w:rPr>
          <w:rFonts w:hint="eastAsia" w:ascii="仿宋_GB2312" w:eastAsia="仿宋_GB2312" w:cs="Times New Roman" w:hAnsiTheme="majorHAnsi"/>
          <w:b/>
          <w:bCs/>
          <w:sz w:val="32"/>
          <w:szCs w:val="32"/>
        </w:rPr>
        <w:t>（二）本次绩效评价的对象及范围</w:t>
      </w:r>
      <w:bookmarkStart w:id="5" w:name="_Toc26401554"/>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本次评价对象为庭院发展项目资金，评价范围包括专项资金的安排、组织及使用效益。</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1.资金使用范围：</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资金严格按照《叶城县扶贫资金绩效管理办法》和《叶城县财政资金管理制度》支付资金；资金支付由本单位分管领导、主管财务领导、县财政局、县扶贫办等各级部门审批审核；资金的支付有完整的审批程序和手续符合制度要求。</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2.项目实施及管理情况：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按照“行政主导、专家领衔、部门合作、公众参与、科学决策”的原则，推进规划科学民主决策，健全乡镇规划编制、实施管理和监督检查机制，严格规划审批和监督。根据《新疆少数自治区财政专项扶贫资金（扶贫发展项目管理办）暂行的通知》（新扶贫领字【2017】39号第二章第九条规定：县级扶贫开发领导小组是扶贫资金和项目管理的第一责任主体，组长是第一责任，全面负责扶贫资金和项目管理、绩效评价、监督检查等各项工作。为保质保量按时完成该项目，需实行目标管理责任制，明确领导小组各成员的职责，全面推行项目建设责任制、项目法责任制，建立健全扶贫资产公开公示、定期巡查、绩效考核、结果反馈等检查机制，对项目经营运行、收益分配、后期管护等环节绩效全程监督，保障扶贫资产安全有效。</w:t>
      </w:r>
    </w:p>
    <w:p>
      <w:pPr>
        <w:spacing w:line="560" w:lineRule="exact"/>
        <w:ind w:firstLine="643" w:firstLineChars="200"/>
        <w:rPr>
          <w:rFonts w:ascii="仿宋_GB2312" w:eastAsia="仿宋_GB2312" w:cs="Times New Roman" w:hAnsiTheme="majorHAnsi"/>
          <w:b/>
          <w:bCs/>
          <w:sz w:val="32"/>
          <w:szCs w:val="32"/>
        </w:rPr>
      </w:pPr>
      <w:r>
        <w:rPr>
          <w:rFonts w:hint="eastAsia" w:ascii="仿宋_GB2312" w:eastAsia="仿宋_GB2312" w:cs="Times New Roman" w:hAnsiTheme="majorHAnsi"/>
          <w:b/>
          <w:bCs/>
          <w:sz w:val="32"/>
          <w:szCs w:val="32"/>
        </w:rPr>
        <w:t>（三）绩效评价原则</w:t>
      </w:r>
      <w:bookmarkEnd w:id="5"/>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本次绩效评价遵循的原则包括：</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1.科学公正。绩效评价应当运用科学合理的方法，按照规范的程序，对项目绩效进行客观、公正的反映。</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3.激励约束。绩效评价结果应与预算安排、政策调整、改进管理实质性挂钩，体现奖优罚劣和激励相容导向，有效要安排、低效要压减、无效要问责。</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4.公开透明。绩效评价结果应依法依规公开，并自觉接受社会监督。</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根据以上原则,绩效评价应遵循如下要求:</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（1）在数据采集时,采取客观数据,主管部门审查、社会中介组织复查,与问卷调查相结合的形式,以保证各项指标的真实性。</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(2)保证评价结果的真实性、公正性,提高评价报告的公信力。</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(3)绩教评价报告应当简明扼要,除了对绩效评价的过程、结果描述外,还应总结经验,指出问题,并就共性问题提出可操作性改进建议。</w:t>
      </w:r>
    </w:p>
    <w:p>
      <w:pPr>
        <w:spacing w:line="560" w:lineRule="exact"/>
        <w:ind w:firstLine="643" w:firstLineChars="200"/>
        <w:rPr>
          <w:rFonts w:ascii="仿宋_GB2312" w:hAnsi="仿宋" w:eastAsia="仿宋_GB2312" w:cs="宋体"/>
          <w:b/>
          <w:bCs/>
          <w:sz w:val="32"/>
          <w:szCs w:val="32"/>
        </w:rPr>
      </w:pPr>
      <w:r>
        <w:rPr>
          <w:rFonts w:hint="eastAsia" w:ascii="仿宋_GB2312" w:hAnsi="仿宋" w:eastAsia="仿宋_GB2312" w:cs="宋体"/>
          <w:b/>
          <w:bCs/>
          <w:sz w:val="32"/>
          <w:szCs w:val="32"/>
        </w:rPr>
        <w:t>（四）绩效评价体系</w:t>
      </w:r>
    </w:p>
    <w:p>
      <w:pPr>
        <w:spacing w:line="560" w:lineRule="exact"/>
        <w:ind w:firstLine="640" w:firstLineChars="200"/>
        <w:rPr>
          <w:rFonts w:ascii="仿宋_GB2312" w:hAnsi="仿宋" w:eastAsia="仿宋_GB2312" w:cs="宋体"/>
          <w:sz w:val="32"/>
          <w:szCs w:val="32"/>
          <w:highlight w:val="yellow"/>
        </w:rPr>
      </w:pPr>
      <w:r>
        <w:rPr>
          <w:rFonts w:hint="eastAsia" w:ascii="仿宋_GB2312" w:hAnsi="仿宋" w:eastAsia="仿宋_GB2312" w:cs="宋体"/>
          <w:sz w:val="32"/>
          <w:szCs w:val="32"/>
        </w:rPr>
        <w:t>遵循“科学性、规范性、客观性和公正性”的绩效评价原则,根据财政部制定的《项目支出绩效评价共性指标体系框架》,结合庭院发展项目特性、农业农村局结合实际情况,按照财预﹝2020﹞10号文件制定评价指标体系。</w:t>
      </w:r>
    </w:p>
    <w:p>
      <w:pPr>
        <w:spacing w:line="560" w:lineRule="exact"/>
        <w:ind w:firstLine="640" w:firstLineChars="200"/>
        <w:rPr>
          <w:rFonts w:ascii="仿宋_GB2312" w:hAnsi="仿宋" w:eastAsia="仿宋_GB2312" w:cs="宋体"/>
          <w:sz w:val="32"/>
          <w:szCs w:val="32"/>
        </w:rPr>
      </w:pPr>
      <w:bookmarkStart w:id="6" w:name="_Toc26401555"/>
      <w:r>
        <w:rPr>
          <w:rFonts w:hint="eastAsia" w:ascii="仿宋_GB2312" w:hAnsi="仿宋" w:eastAsia="仿宋_GB2312" w:cs="宋体"/>
          <w:sz w:val="32"/>
          <w:szCs w:val="32"/>
        </w:rPr>
        <w:t>我单位选取共性指标：决策中一级指标1个，二级指标3个，三级指标4个，分别是立项依据充分性、绩效目标合理性、绩效指标明确性、预算编制科学性。</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过程中一级指标1个，二级指标2个，三级指标5个，分别是资金到位率、预算执行率、资金使用合规性、管理制度健全性、制度执行有效性。</w:t>
      </w:r>
    </w:p>
    <w:p>
      <w:pPr>
        <w:spacing w:line="560" w:lineRule="exact"/>
        <w:ind w:firstLine="643" w:firstLineChars="200"/>
        <w:rPr>
          <w:rFonts w:ascii="仿宋_GB2312" w:hAnsi="仿宋" w:eastAsia="仿宋_GB2312" w:cs="宋体"/>
          <w:b/>
          <w:bCs/>
          <w:sz w:val="32"/>
          <w:szCs w:val="32"/>
        </w:rPr>
      </w:pPr>
      <w:r>
        <w:rPr>
          <w:rFonts w:hint="eastAsia" w:ascii="仿宋_GB2312" w:hAnsi="仿宋" w:eastAsia="仿宋_GB2312" w:cs="宋体"/>
          <w:b/>
          <w:bCs/>
          <w:sz w:val="32"/>
          <w:szCs w:val="32"/>
        </w:rPr>
        <w:t>（五）绩效评价方法</w:t>
      </w:r>
      <w:bookmarkEnd w:id="6"/>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1）数据采集方法及过程</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主要采用查阅相关文件政策、会计凭证等资料，发放数据统计表格，以填报的方式采集项目资金支出情况、项目完成情况及项目成本构成等数据资料；并通过访谈、社会调查掌握具体情况，对采集的数据做详细的分析和统计。</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2）资金使用情况检查方法及过程</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进行实地调研，就项目资金使用情况进行检查，包括存在截留、挪用财政专项资金的情况；资金支付审批情况合规；资金支付所需材料齐备；存在擅自改变、扩大支出范围的情况；存在擅自提高支出标准、虚列项目支出等情况。根据调查结果显示，项目不存在资金截留、挪用的情况；资金用于规定的使用范围，资金使用合规。</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3）实地调研的方法</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项目评价组根据项目实施过程及指标评价需求判断，针对项目进行实地调研考察，进行</w:t>
      </w:r>
      <w:r>
        <w:rPr>
          <w:rFonts w:ascii="仿宋_GB2312" w:hAnsi="仿宋" w:eastAsia="仿宋_GB2312" w:cs="宋体"/>
          <w:sz w:val="32"/>
          <w:szCs w:val="32"/>
        </w:rPr>
        <w:t>问卷调查法</w:t>
      </w:r>
      <w:r>
        <w:rPr>
          <w:rFonts w:hint="eastAsia" w:ascii="仿宋_GB2312" w:hAnsi="仿宋" w:eastAsia="仿宋_GB2312" w:cs="宋体"/>
          <w:sz w:val="32"/>
          <w:szCs w:val="32"/>
        </w:rPr>
        <w:t>，通过</w:t>
      </w:r>
      <w:r>
        <w:rPr>
          <w:rFonts w:ascii="仿宋_GB2312" w:hAnsi="仿宋" w:eastAsia="仿宋_GB2312" w:cs="宋体"/>
          <w:sz w:val="32"/>
          <w:szCs w:val="32"/>
        </w:rPr>
        <w:t>设计不同形式的调查问卷,</w:t>
      </w:r>
      <w:r>
        <w:rPr>
          <w:rFonts w:hint="eastAsia" w:ascii="仿宋_GB2312" w:hAnsi="仿宋" w:eastAsia="仿宋_GB2312" w:cs="宋体"/>
          <w:sz w:val="32"/>
          <w:szCs w:val="32"/>
        </w:rPr>
        <w:t>在限期内</w:t>
      </w:r>
      <w:r>
        <w:rPr>
          <w:rFonts w:ascii="仿宋_GB2312" w:hAnsi="仿宋" w:eastAsia="仿宋_GB2312" w:cs="宋体"/>
          <w:sz w:val="32"/>
          <w:szCs w:val="32"/>
        </w:rPr>
        <w:t>收集、分析调查问卷,进行评价和判断的方法。</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4）撰写报告情况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项目评价组根据绩效评价的原理，对收集的数据汇总和分析，撰写绩效评价报告。</w:t>
      </w:r>
    </w:p>
    <w:p>
      <w:pPr>
        <w:spacing w:line="560" w:lineRule="exact"/>
        <w:ind w:firstLine="643" w:firstLineChars="200"/>
        <w:rPr>
          <w:rFonts w:ascii="仿宋_GB2312" w:hAnsi="仿宋" w:eastAsia="仿宋_GB2312" w:cs="宋体"/>
          <w:b/>
          <w:bCs/>
          <w:sz w:val="32"/>
          <w:szCs w:val="32"/>
        </w:rPr>
      </w:pPr>
      <w:r>
        <w:rPr>
          <w:rFonts w:hint="eastAsia" w:ascii="仿宋_GB2312" w:hAnsi="仿宋" w:eastAsia="仿宋_GB2312" w:cs="宋体"/>
          <w:b/>
          <w:bCs/>
          <w:sz w:val="32"/>
          <w:szCs w:val="32"/>
        </w:rPr>
        <w:t>（六）评价标准</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计划标准:实施该项目是贯彻落实好县委决策部署，全面完成脱贫攻坚任务，彻底改善居，转变农民生活方式，提高农民生活质量，促进文明住行的重要抓手。已达到该标准。</w:t>
      </w:r>
    </w:p>
    <w:p>
      <w:pPr>
        <w:spacing w:line="560" w:lineRule="exact"/>
        <w:ind w:firstLine="640" w:firstLineChars="200"/>
        <w:rPr>
          <w:rFonts w:ascii="仿宋_GB2312" w:hAnsi="仿宋" w:eastAsia="仿宋_GB2312" w:cs="宋体"/>
          <w:sz w:val="32"/>
          <w:szCs w:val="32"/>
        </w:rPr>
      </w:pPr>
      <w:r>
        <w:rPr>
          <w:rFonts w:ascii="仿宋_GB2312" w:hAnsi="仿宋" w:eastAsia="仿宋_GB2312" w:cs="宋体"/>
          <w:sz w:val="32"/>
          <w:szCs w:val="32"/>
        </w:rPr>
        <w:t>历史标准:是以本地区、本部门、本单位或同类部门、单位、项目的绩效评价指标的历史数据作为样本,运用一定的统计学方法计算出各类指标的平均历史水平作为评价的标准。也可以是上年实际数、上年同期数、历史最好水平等</w:t>
      </w:r>
      <w:r>
        <w:rPr>
          <w:rFonts w:hint="eastAsia" w:ascii="仿宋_GB2312" w:hAnsi="仿宋" w:eastAsia="仿宋_GB2312" w:cs="宋体"/>
          <w:sz w:val="32"/>
          <w:szCs w:val="32"/>
        </w:rPr>
        <w:t>。</w:t>
      </w:r>
      <w:r>
        <w:rPr>
          <w:rFonts w:ascii="仿宋_GB2312" w:hAnsi="仿宋" w:eastAsia="仿宋_GB2312" w:cs="宋体"/>
          <w:sz w:val="32"/>
          <w:szCs w:val="32"/>
        </w:rPr>
        <w:t>由于历史标准有较强的客观性,在实际操作中广泛应用</w:t>
      </w:r>
      <w:r>
        <w:rPr>
          <w:rFonts w:hint="eastAsia" w:ascii="仿宋_GB2312" w:hAnsi="仿宋" w:eastAsia="仿宋_GB2312" w:cs="宋体"/>
          <w:sz w:val="32"/>
          <w:szCs w:val="32"/>
        </w:rPr>
        <w:t>。</w:t>
      </w:r>
    </w:p>
    <w:p>
      <w:pPr>
        <w:spacing w:line="560" w:lineRule="exact"/>
        <w:ind w:firstLine="643" w:firstLineChars="200"/>
        <w:rPr>
          <w:rFonts w:ascii="仿宋_GB2312" w:hAnsi="仿宋" w:eastAsia="仿宋_GB2312" w:cs="宋体"/>
          <w:b/>
          <w:bCs/>
          <w:sz w:val="32"/>
          <w:szCs w:val="32"/>
        </w:rPr>
      </w:pPr>
      <w:r>
        <w:rPr>
          <w:rFonts w:hint="eastAsia" w:ascii="仿宋_GB2312" w:hAnsi="仿宋" w:eastAsia="仿宋_GB2312" w:cs="宋体"/>
          <w:b/>
          <w:bCs/>
          <w:sz w:val="32"/>
          <w:szCs w:val="32"/>
        </w:rPr>
        <w:t>（七）绩效评价工作过程</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本次评价成立了评价工作组，成员如下：</w:t>
      </w:r>
    </w:p>
    <w:tbl>
      <w:tblPr>
        <w:tblStyle w:val="9"/>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spacing w:line="560" w:lineRule="exact"/>
              <w:jc w:val="center"/>
              <w:rPr>
                <w:rFonts w:ascii="仿宋_GB2312" w:hAnsi="仿宋" w:eastAsia="仿宋_GB2312" w:cs="宋体"/>
                <w:b/>
                <w:bCs/>
                <w:sz w:val="24"/>
                <w:szCs w:val="24"/>
              </w:rPr>
            </w:pPr>
            <w:r>
              <w:rPr>
                <w:rFonts w:hint="eastAsia" w:ascii="仿宋_GB2312" w:hAnsi="仿宋" w:eastAsia="仿宋_GB2312" w:cs="宋体"/>
                <w:b/>
                <w:bCs/>
                <w:sz w:val="24"/>
                <w:szCs w:val="24"/>
              </w:rPr>
              <w:t>评价</w:t>
            </w:r>
          </w:p>
        </w:tc>
        <w:tc>
          <w:tcPr>
            <w:tcW w:w="2765" w:type="dxa"/>
            <w:vAlign w:val="center"/>
          </w:tcPr>
          <w:p>
            <w:pPr>
              <w:spacing w:line="560" w:lineRule="exact"/>
              <w:jc w:val="center"/>
              <w:rPr>
                <w:rFonts w:ascii="仿宋_GB2312" w:hAnsi="仿宋" w:eastAsia="仿宋_GB2312" w:cs="宋体"/>
                <w:b/>
                <w:bCs/>
                <w:sz w:val="24"/>
                <w:szCs w:val="24"/>
              </w:rPr>
            </w:pPr>
            <w:r>
              <w:rPr>
                <w:rFonts w:hint="eastAsia" w:ascii="仿宋_GB2312" w:hAnsi="仿宋" w:eastAsia="仿宋_GB2312" w:cs="宋体"/>
                <w:b/>
                <w:bCs/>
                <w:sz w:val="24"/>
                <w:szCs w:val="24"/>
              </w:rPr>
              <w:t>职责</w:t>
            </w:r>
          </w:p>
        </w:tc>
        <w:tc>
          <w:tcPr>
            <w:tcW w:w="2766" w:type="dxa"/>
            <w:vAlign w:val="center"/>
          </w:tcPr>
          <w:p>
            <w:pPr>
              <w:spacing w:line="560" w:lineRule="exact"/>
              <w:jc w:val="center"/>
              <w:rPr>
                <w:rFonts w:ascii="仿宋_GB2312" w:hAnsi="仿宋" w:eastAsia="仿宋_GB2312" w:cs="宋体"/>
                <w:b/>
                <w:bCs/>
                <w:sz w:val="24"/>
                <w:szCs w:val="24"/>
              </w:rPr>
            </w:pPr>
            <w:r>
              <w:rPr>
                <w:rFonts w:hint="eastAsia" w:ascii="仿宋_GB2312" w:hAnsi="仿宋" w:eastAsia="仿宋_GB2312" w:cs="宋体"/>
                <w:b/>
                <w:bCs/>
                <w:sz w:val="24"/>
                <w:szCs w:val="24"/>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spacing w:line="560" w:lineRule="exact"/>
              <w:jc w:val="center"/>
              <w:rPr>
                <w:rFonts w:ascii="仿宋_GB2312" w:hAnsi="仿宋" w:eastAsia="仿宋_GB2312" w:cs="宋体"/>
                <w:sz w:val="24"/>
                <w:szCs w:val="24"/>
              </w:rPr>
            </w:pPr>
            <w:r>
              <w:rPr>
                <w:rFonts w:hint="eastAsia" w:ascii="仿宋_GB2312" w:hAnsi="仿宋" w:eastAsia="仿宋_GB2312" w:cs="宋体"/>
                <w:sz w:val="24"/>
                <w:szCs w:val="24"/>
              </w:rPr>
              <w:t>阿不都热希提·阿布来提</w:t>
            </w:r>
          </w:p>
        </w:tc>
        <w:tc>
          <w:tcPr>
            <w:tcW w:w="2765" w:type="dxa"/>
            <w:vAlign w:val="center"/>
          </w:tcPr>
          <w:p>
            <w:pPr>
              <w:spacing w:line="560" w:lineRule="exact"/>
              <w:jc w:val="center"/>
              <w:rPr>
                <w:rFonts w:ascii="仿宋_GB2312" w:hAnsi="仿宋" w:eastAsia="仿宋_GB2312" w:cs="宋体"/>
                <w:sz w:val="24"/>
                <w:szCs w:val="24"/>
              </w:rPr>
            </w:pPr>
            <w:r>
              <w:rPr>
                <w:rFonts w:hint="eastAsia" w:ascii="仿宋_GB2312" w:hAnsi="仿宋" w:eastAsia="仿宋_GB2312" w:cs="宋体"/>
                <w:sz w:val="24"/>
                <w:szCs w:val="24"/>
              </w:rPr>
              <w:t>评价组组长</w:t>
            </w:r>
          </w:p>
        </w:tc>
        <w:tc>
          <w:tcPr>
            <w:tcW w:w="2766" w:type="dxa"/>
            <w:vAlign w:val="center"/>
          </w:tcPr>
          <w:p>
            <w:pPr>
              <w:spacing w:line="560" w:lineRule="exact"/>
              <w:jc w:val="center"/>
              <w:rPr>
                <w:rFonts w:ascii="仿宋_GB2312" w:hAnsi="仿宋" w:eastAsia="仿宋_GB2312" w:cs="宋体"/>
                <w:sz w:val="24"/>
                <w:szCs w:val="24"/>
              </w:rPr>
            </w:pPr>
            <w:r>
              <w:rPr>
                <w:rFonts w:hint="eastAsia" w:ascii="仿宋_GB2312" w:hAnsi="仿宋" w:eastAsia="仿宋_GB2312" w:cs="宋体"/>
                <w:sz w:val="24"/>
                <w:szCs w:val="24"/>
              </w:rPr>
              <w:t>园艺工作站站长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spacing w:line="560" w:lineRule="exact"/>
              <w:jc w:val="center"/>
              <w:rPr>
                <w:rFonts w:ascii="仿宋_GB2312" w:hAnsi="仿宋" w:eastAsia="仿宋_GB2312" w:cs="宋体"/>
                <w:sz w:val="24"/>
                <w:szCs w:val="24"/>
              </w:rPr>
            </w:pPr>
            <w:r>
              <w:rPr>
                <w:rFonts w:hint="eastAsia" w:ascii="仿宋_GB2312" w:hAnsi="仿宋" w:eastAsia="仿宋_GB2312" w:cs="宋体"/>
                <w:sz w:val="24"/>
                <w:szCs w:val="24"/>
              </w:rPr>
              <w:t>马秀珍</w:t>
            </w:r>
          </w:p>
        </w:tc>
        <w:tc>
          <w:tcPr>
            <w:tcW w:w="2765" w:type="dxa"/>
            <w:vAlign w:val="center"/>
          </w:tcPr>
          <w:p>
            <w:pPr>
              <w:spacing w:line="560" w:lineRule="exact"/>
              <w:jc w:val="center"/>
              <w:rPr>
                <w:rFonts w:ascii="仿宋_GB2312" w:hAnsi="仿宋" w:eastAsia="仿宋_GB2312" w:cs="宋体"/>
                <w:sz w:val="24"/>
                <w:szCs w:val="24"/>
              </w:rPr>
            </w:pPr>
            <w:r>
              <w:rPr>
                <w:rFonts w:hint="eastAsia" w:ascii="仿宋_GB2312" w:hAnsi="仿宋" w:eastAsia="仿宋_GB2312" w:cs="宋体"/>
                <w:sz w:val="24"/>
                <w:szCs w:val="24"/>
              </w:rPr>
              <w:t>评价组成员</w:t>
            </w:r>
          </w:p>
        </w:tc>
        <w:tc>
          <w:tcPr>
            <w:tcW w:w="2766" w:type="dxa"/>
            <w:vAlign w:val="center"/>
          </w:tcPr>
          <w:p>
            <w:pPr>
              <w:spacing w:line="560" w:lineRule="exact"/>
              <w:jc w:val="center"/>
              <w:rPr>
                <w:rFonts w:ascii="仿宋_GB2312" w:hAnsi="仿宋" w:eastAsia="仿宋_GB2312" w:cs="宋体"/>
                <w:sz w:val="24"/>
                <w:szCs w:val="24"/>
              </w:rPr>
            </w:pPr>
            <w:r>
              <w:rPr>
                <w:rFonts w:hint="eastAsia" w:ascii="仿宋_GB2312" w:hAnsi="仿宋" w:eastAsia="仿宋_GB2312" w:cs="宋体"/>
                <w:sz w:val="24"/>
                <w:szCs w:val="24"/>
              </w:rPr>
              <w:t>会计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spacing w:line="560" w:lineRule="exact"/>
              <w:ind w:firstLine="480" w:firstLineChars="200"/>
              <w:jc w:val="center"/>
              <w:rPr>
                <w:rFonts w:ascii="仿宋_GB2312" w:hAnsi="仿宋" w:eastAsia="仿宋_GB2312" w:cs="宋体"/>
                <w:sz w:val="24"/>
                <w:szCs w:val="24"/>
              </w:rPr>
            </w:pPr>
            <w:r>
              <w:rPr>
                <w:rFonts w:hint="eastAsia" w:ascii="仿宋_GB2312" w:hAnsi="仿宋" w:eastAsia="仿宋_GB2312" w:cs="宋体"/>
                <w:sz w:val="24"/>
                <w:szCs w:val="24"/>
              </w:rPr>
              <w:t>张雪梅</w:t>
            </w:r>
          </w:p>
        </w:tc>
        <w:tc>
          <w:tcPr>
            <w:tcW w:w="2765" w:type="dxa"/>
            <w:vAlign w:val="center"/>
          </w:tcPr>
          <w:p>
            <w:pPr>
              <w:spacing w:line="560" w:lineRule="exact"/>
              <w:jc w:val="center"/>
              <w:rPr>
                <w:rFonts w:ascii="仿宋_GB2312" w:hAnsi="仿宋" w:eastAsia="仿宋_GB2312" w:cs="宋体"/>
                <w:sz w:val="24"/>
                <w:szCs w:val="24"/>
              </w:rPr>
            </w:pPr>
            <w:r>
              <w:rPr>
                <w:rFonts w:hint="eastAsia" w:ascii="仿宋_GB2312" w:hAnsi="仿宋" w:eastAsia="仿宋_GB2312" w:cs="宋体"/>
                <w:sz w:val="24"/>
                <w:szCs w:val="24"/>
              </w:rPr>
              <w:t>评价组成员</w:t>
            </w:r>
          </w:p>
        </w:tc>
        <w:tc>
          <w:tcPr>
            <w:tcW w:w="2766" w:type="dxa"/>
            <w:vAlign w:val="center"/>
          </w:tcPr>
          <w:p>
            <w:pPr>
              <w:spacing w:line="560" w:lineRule="exact"/>
              <w:jc w:val="center"/>
              <w:rPr>
                <w:rFonts w:ascii="仿宋_GB2312" w:hAnsi="仿宋" w:eastAsia="仿宋_GB2312" w:cs="宋体"/>
                <w:sz w:val="24"/>
                <w:szCs w:val="24"/>
              </w:rPr>
            </w:pPr>
            <w:r>
              <w:rPr>
                <w:rFonts w:hint="eastAsia" w:ascii="仿宋_GB2312" w:hAnsi="仿宋" w:eastAsia="仿宋_GB2312" w:cs="宋体"/>
                <w:sz w:val="24"/>
                <w:szCs w:val="24"/>
              </w:rPr>
              <w:t>出纳</w:t>
            </w:r>
          </w:p>
        </w:tc>
      </w:tr>
    </w:tbl>
    <w:p>
      <w:pPr>
        <w:spacing w:line="560" w:lineRule="exact"/>
        <w:ind w:firstLine="640" w:firstLineChars="200"/>
        <w:rPr>
          <w:rFonts w:ascii="仿宋_GB2312" w:hAnsi="仿宋" w:eastAsia="仿宋_GB2312" w:cs="宋体"/>
          <w:sz w:val="32"/>
          <w:szCs w:val="32"/>
        </w:rPr>
      </w:pPr>
      <w:bookmarkStart w:id="7" w:name="_Toc26401558"/>
      <w:r>
        <w:rPr>
          <w:rFonts w:hint="eastAsia" w:ascii="仿宋_GB2312" w:hAnsi="仿宋" w:eastAsia="仿宋_GB2312" w:cs="宋体"/>
          <w:sz w:val="32"/>
          <w:szCs w:val="32"/>
        </w:rPr>
        <w:t>本次评价从绩效目标分析、项目管理评价分析、项目产出及效果分析等三个维度实施评价，主要针对项目的目标明确性、目标合理性和目标细化程度进行分析、项目资金使用及管理情况、项目组织情况、项目管理情况和项目经济性、效率性和效益性进行分析。</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本项目绩效评价工作共分五个步骤。　　</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第一阶段，前期准备。主要完成确定评价工作任务，绩效评价的实施方法以及编制绩效评价指标体系等工作。　　</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第二阶段，评价设计。主要完成形成评价实施方案、法官绩效工资项目支出的预评价等工作。　　</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第三阶段，评价实施。主要完成资料的收集、整理，现场分析与绩效评价，形成评估结论、经验教训和建议等工作。　　</w:t>
      </w:r>
    </w:p>
    <w:p>
      <w:pPr>
        <w:spacing w:line="560" w:lineRule="exact"/>
        <w:ind w:firstLine="640" w:firstLineChars="200"/>
        <w:rPr>
          <w:rFonts w:ascii="仿宋_GB2312" w:hAnsi="仿宋" w:eastAsia="仿宋_GB2312" w:cs="宋体"/>
          <w:sz w:val="32"/>
          <w:szCs w:val="32"/>
        </w:rPr>
      </w:pPr>
      <w:r>
        <w:rPr>
          <w:rFonts w:ascii="仿宋_GB2312" w:hAnsi="仿宋" w:eastAsia="仿宋_GB2312" w:cs="宋体"/>
          <w:sz w:val="32"/>
          <w:szCs w:val="32"/>
        </w:rPr>
        <w:t>数据分析及撰写报告</w:t>
      </w:r>
    </w:p>
    <w:p>
      <w:pPr>
        <w:spacing w:line="560" w:lineRule="exact"/>
        <w:ind w:firstLine="640" w:firstLineChars="200"/>
        <w:rPr>
          <w:rFonts w:ascii="仿宋_GB2312" w:hAnsi="仿宋" w:eastAsia="仿宋_GB2312" w:cs="宋体"/>
          <w:sz w:val="32"/>
          <w:szCs w:val="32"/>
        </w:rPr>
      </w:pPr>
      <w:r>
        <w:rPr>
          <w:rFonts w:ascii="仿宋_GB2312" w:hAnsi="仿宋" w:eastAsia="仿宋_GB2312" w:cs="宋体"/>
          <w:sz w:val="32"/>
          <w:szCs w:val="32"/>
        </w:rPr>
        <w:t>20</w:t>
      </w:r>
      <w:r>
        <w:rPr>
          <w:rFonts w:hint="eastAsia" w:ascii="仿宋_GB2312" w:hAnsi="仿宋" w:eastAsia="仿宋_GB2312" w:cs="宋体"/>
          <w:sz w:val="32"/>
          <w:szCs w:val="32"/>
        </w:rPr>
        <w:t>20年3月30日</w:t>
      </w:r>
      <w:r>
        <w:rPr>
          <w:rFonts w:ascii="仿宋_GB2312" w:hAnsi="仿宋" w:eastAsia="仿宋_GB2312" w:cs="宋体"/>
          <w:sz w:val="32"/>
          <w:szCs w:val="32"/>
        </w:rPr>
        <w:t>，项目组根据绩效评价的原理和规范，对采集的数据进行处理、分析和评分，并提炼结论撰写报告。</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第四阶段，报告结果。在完成绩效评价报告编制的基础上，与相关利益者沟通后形成绩效评价终稿的工作。　　</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第五阶段，将绩效评价的经验总结与管理建议推广到相关行业或部门</w:t>
      </w:r>
    </w:p>
    <w:p>
      <w:pPr>
        <w:spacing w:line="56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三、综合评价情况及评价结论</w:t>
      </w:r>
    </w:p>
    <w:p>
      <w:pPr>
        <w:spacing w:line="560" w:lineRule="exact"/>
        <w:ind w:firstLine="640" w:firstLineChars="200"/>
        <w:rPr>
          <w:rFonts w:ascii="仿宋" w:hAnsi="仿宋" w:eastAsia="仿宋" w:cs="仿宋"/>
          <w:sz w:val="32"/>
          <w:szCs w:val="32"/>
        </w:rPr>
      </w:pPr>
      <w:r>
        <w:rPr>
          <w:rFonts w:hint="eastAsia" w:ascii="仿宋_GB2312" w:hAnsi="仿宋" w:eastAsia="仿宋_GB2312" w:cs="宋体"/>
          <w:sz w:val="32"/>
          <w:szCs w:val="32"/>
        </w:rPr>
        <w:t>经评价组通过实地调研、资料分析等方式，采用成本效益分析法对项目的决策、管理、绩效进行的综合评价分析，项目得分为97分，评价结果为优。</w:t>
      </w:r>
    </w:p>
    <w:p>
      <w:pPr>
        <w:spacing w:line="56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四、绩效评价指标分析</w:t>
      </w:r>
      <w:bookmarkEnd w:id="7"/>
    </w:p>
    <w:p>
      <w:pPr>
        <w:spacing w:line="560" w:lineRule="exact"/>
        <w:ind w:firstLine="643" w:firstLineChars="200"/>
        <w:rPr>
          <w:rFonts w:ascii="仿宋_GB2312" w:eastAsia="仿宋_GB2312" w:cs="Times New Roman" w:hAnsiTheme="majorHAnsi"/>
          <w:b/>
          <w:bCs/>
          <w:sz w:val="32"/>
          <w:szCs w:val="32"/>
        </w:rPr>
      </w:pPr>
      <w:r>
        <w:rPr>
          <w:rFonts w:hint="eastAsia" w:ascii="仿宋_GB2312" w:eastAsia="仿宋_GB2312" w:cs="Times New Roman" w:hAnsiTheme="majorHAnsi"/>
          <w:b/>
          <w:bCs/>
          <w:sz w:val="32"/>
          <w:szCs w:val="32"/>
        </w:rPr>
        <w:t>（一）项目的决策情况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本项目的立项符合相关法规政策及部门职责，依据充分；项目按照规定的程序申请设立；审批文件、材料符合相关要求；项目前期经过必要的可行性研究、绩效评估、集体决策。</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根据文件要求设置了绩效目标，项目绩效目标基本合理，与实际工作内容相关；项目预期产出效益和效果符合正常的业绩水平；与预算确定的项目投资额或资金量相匹配。该项目前期已设置了明确、量化的绩效目标，但其部分绩效指标的设置过于笼统不够细化，经评价小组与叶城县绩效第三方进行咨询商议，将原有的绩效目标和绩效指标根据项目实际开展情况进一步细化，将绩效目标细分，精准设置绩效指标及准确指标值的表述，因此该项目绩效评价指标体系可明确反映项目目标。</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项目在资金投入方面，预算编制经过科学论证、有明确标准，资金额度与年度目标相适应，项目预算资金分配有测算依据，与项目实施地点实际相适应。</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（1）决策依据</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根据扶贫项目实施方案落实特色种植、设施农业建设，促进农民发展经济，以脱贫攻坚精准扶贫为要求，坚持统筹规划，量力而行，注重效益的原则，充分发挥基层组织作用，着力提升农民群众创业致富能力，认真抓好项目实施工作，提前做好项目启动实施前的各项准备，极爱昂衔接与配合，确保项目如期完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（2）决策程序</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根据相关通知，此项目由农民自己申请，村委会汇总上报乡镇，乡镇汇总上报行业部门，行业部门经过研究，决定实施户数，反馈乡镇，乡镇下发给各村委会，进行公示实施。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（3）目标设置</w:t>
      </w:r>
    </w:p>
    <w:p>
      <w:pPr>
        <w:spacing w:line="560" w:lineRule="exact"/>
        <w:ind w:firstLine="640" w:firstLineChars="200"/>
        <w:rPr>
          <w:rFonts w:ascii="仿宋_GB2312" w:hAnsi="仿宋" w:eastAsia="仿宋_GB2312" w:cs="宋体"/>
          <w:sz w:val="32"/>
          <w:szCs w:val="32"/>
        </w:rPr>
      </w:pPr>
      <w:r>
        <w:rPr>
          <w:rFonts w:hint="eastAsia" w:ascii="仿宋_GB2312" w:hAnsi="仿宋_GB2312" w:eastAsia="仿宋_GB2312" w:cs="仿宋_GB2312"/>
          <w:sz w:val="32"/>
          <w:szCs w:val="32"/>
        </w:rPr>
        <w:t>该项目前期项目单位已设置了明确、量化的绩效目标，但其部分绩效指标的设置过于笼统不够细化，经评价小组与叶城县绩效第三方进行咨询商议，将原有的绩效目标和绩效指标根据项目实际开展情况进一步细化，将绩效目标细分，精准设置绩效指标及准确指标值的表述，因此该项目绩效评价指标体系可明确反映项目目标，项目绩效评价指标体系分为 2 类指标，其中：共性指标数量为6 个，项目共性指标包括目标内容、决策依据、决策程序、预算管理、资金到位、财务管理、组织机构、制度建设、过程控制；个性指标包括该项目的数量指标、质量指标、时效指标、成本指标、社会效益指标、可持续影响指标以及满意度指标等，共计8个。</w:t>
      </w:r>
    </w:p>
    <w:p>
      <w:pPr>
        <w:spacing w:line="560" w:lineRule="exact"/>
        <w:ind w:firstLine="643" w:firstLineChars="200"/>
        <w:rPr>
          <w:rFonts w:ascii="仿宋_GB2312" w:eastAsia="仿宋_GB2312" w:cs="Times New Roman" w:hAnsiTheme="majorHAnsi"/>
          <w:b/>
          <w:bCs/>
          <w:sz w:val="32"/>
          <w:szCs w:val="32"/>
        </w:rPr>
      </w:pPr>
      <w:r>
        <w:rPr>
          <w:rFonts w:hint="eastAsia" w:ascii="仿宋_GB2312" w:eastAsia="仿宋_GB2312" w:cs="Times New Roman" w:hAnsiTheme="majorHAnsi"/>
          <w:b/>
          <w:bCs/>
          <w:sz w:val="32"/>
          <w:szCs w:val="32"/>
        </w:rPr>
        <w:t>（二）项目的过程情况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在资金管理方面，项目资金到位足额及时，本项目资金严格按照支付资金制度；资金支付由本单位分管领导、主管财务领导、县财政局、县扶贫办等各级部门审批审核；资金的支付有完整的审批程序和手续符合制度要求，符合项目预算批复或合同规定的用途；不存在截留、挤占、挪用、虚列支出等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在项目组织实施方面，我单位制定了财务和业务管理制度合法、合规、完整。项目实施遵守相关法律法规和相关管理规定。</w:t>
      </w:r>
    </w:p>
    <w:p>
      <w:pPr>
        <w:spacing w:line="560" w:lineRule="exact"/>
        <w:ind w:firstLine="643" w:firstLineChars="200"/>
        <w:rPr>
          <w:rFonts w:ascii="仿宋_GB2312" w:eastAsia="仿宋_GB2312" w:cs="Times New Roman" w:hAnsiTheme="majorHAnsi"/>
          <w:b/>
          <w:bCs/>
          <w:sz w:val="32"/>
          <w:szCs w:val="32"/>
        </w:rPr>
      </w:pPr>
      <w:r>
        <w:rPr>
          <w:rFonts w:hint="eastAsia" w:ascii="仿宋_GB2312" w:eastAsia="仿宋_GB2312" w:cs="Times New Roman" w:hAnsiTheme="majorHAnsi"/>
          <w:b/>
          <w:bCs/>
          <w:sz w:val="32"/>
          <w:szCs w:val="32"/>
        </w:rPr>
        <w:t>（三）项目产出情况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根据叶城县2019年脱贫攻坚项目推进专题会议纪要、《叶城县2019年涉农统筹整合资金实施方案》相关要求，对具备条件的贫困户进行庭院发展建设项目，其中发展特色种植业1.29万亩，新建大拱棚811座，小拱棚1509座带动1.6348万余户贫困户发展特色种植业。</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24"/>
        <w:gridCol w:w="1123"/>
        <w:gridCol w:w="3242"/>
        <w:gridCol w:w="1325"/>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trPr>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一级指标</w:t>
            </w:r>
          </w:p>
        </w:tc>
        <w:tc>
          <w:tcPr>
            <w:tcW w:w="673"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二级指标</w:t>
            </w:r>
          </w:p>
        </w:tc>
        <w:tc>
          <w:tcPr>
            <w:tcW w:w="1943"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三级指标</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年度指标值</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产出指标</w:t>
            </w:r>
          </w:p>
        </w:tc>
        <w:tc>
          <w:tcPr>
            <w:tcW w:w="673"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数量指标</w:t>
            </w: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蔬菜种植面积（株）</w:t>
            </w:r>
          </w:p>
        </w:tc>
        <w:tc>
          <w:tcPr>
            <w:tcW w:w="794" w:type="pct"/>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4104185</w:t>
            </w:r>
          </w:p>
        </w:tc>
        <w:tc>
          <w:tcPr>
            <w:tcW w:w="794" w:type="pct"/>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4104185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马铃薯种植(公斤）</w:t>
            </w:r>
          </w:p>
        </w:tc>
        <w:tc>
          <w:tcPr>
            <w:tcW w:w="794" w:type="pct"/>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157464</w:t>
            </w:r>
          </w:p>
        </w:tc>
        <w:tc>
          <w:tcPr>
            <w:tcW w:w="794" w:type="pct"/>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157464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红薯种植(公斤）</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399742</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399742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食用菌菌棒发放数量(个）</w:t>
            </w:r>
          </w:p>
        </w:tc>
        <w:tc>
          <w:tcPr>
            <w:tcW w:w="794" w:type="pct"/>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102880</w:t>
            </w:r>
          </w:p>
        </w:tc>
        <w:tc>
          <w:tcPr>
            <w:tcW w:w="794" w:type="pct"/>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102880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药用玫瑰种植(株）</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201800</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露地辣椒种植（袋）</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13978</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新建大拱棚座数（座）</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811</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新建小拱棚座数（座）</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1509</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受益农户（户）</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7000</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带动贫困户发展拱棚蔬菜产业（户）</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600</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质量指标</w:t>
            </w: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★种植作物成活率（≥**%）</w:t>
            </w:r>
          </w:p>
        </w:tc>
        <w:tc>
          <w:tcPr>
            <w:tcW w:w="794" w:type="pct"/>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85%</w:t>
            </w:r>
          </w:p>
        </w:tc>
        <w:tc>
          <w:tcPr>
            <w:tcW w:w="794" w:type="pct"/>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项目验收合格率（%）</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时效指标</w:t>
            </w: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种植及时率（%）</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收获及时率（%）</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拱棚建设开工及时率（%）</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拱棚建设完工及时率（%）</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成本指标</w:t>
            </w: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蔬菜种植成本（元/株）</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0.3</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马铃薯成本（元/公斤）</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红薯成本（元/公斤）</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5.96</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食用菌成本（元/个）</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5.89</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药用玫瑰成本（元/公斤</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辣椒种植成本（元/袋）</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57</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大拱棚每座补助标准（元座）</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5000</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79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小拱棚每座补助标准（元/座）</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2500</w:t>
            </w:r>
          </w:p>
        </w:tc>
        <w:tc>
          <w:tcPr>
            <w:tcW w:w="79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2500</w:t>
            </w:r>
          </w:p>
        </w:tc>
      </w:tr>
    </w:tbl>
    <w:p>
      <w:pPr>
        <w:spacing w:line="560" w:lineRule="exact"/>
        <w:rPr>
          <w:rFonts w:ascii="仿宋_GB2312" w:eastAsia="仿宋_GB2312" w:cs="Times New Roman" w:hAnsiTheme="majorHAnsi"/>
          <w:b/>
          <w:bCs/>
          <w:sz w:val="32"/>
          <w:szCs w:val="32"/>
        </w:rPr>
      </w:pPr>
      <w:r>
        <w:rPr>
          <w:rFonts w:hint="eastAsia" w:ascii="仿宋_GB2312" w:eastAsia="仿宋_GB2312" w:cs="Times New Roman" w:hAnsiTheme="majorHAnsi"/>
          <w:b/>
          <w:bCs/>
          <w:sz w:val="32"/>
          <w:szCs w:val="32"/>
        </w:rPr>
        <w:t>（四）项目效益情况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项目实施后建档立卡贫困户受益数达到7000，彻底转变农民生活方式，提高农民生活质量，促进文明住行的重要抓手。经问卷调查，项目受益群众满意度为90%，达到了预期目标。</w:t>
      </w:r>
    </w:p>
    <w:tbl>
      <w:tblPr>
        <w:tblStyle w:val="8"/>
        <w:tblW w:w="4998" w:type="pct"/>
        <w:tblInd w:w="0" w:type="dxa"/>
        <w:tblLayout w:type="autofit"/>
        <w:tblCellMar>
          <w:top w:w="0" w:type="dxa"/>
          <w:left w:w="0" w:type="dxa"/>
          <w:bottom w:w="0" w:type="dxa"/>
          <w:right w:w="0" w:type="dxa"/>
        </w:tblCellMar>
      </w:tblPr>
      <w:tblGrid>
        <w:gridCol w:w="1324"/>
        <w:gridCol w:w="1123"/>
        <w:gridCol w:w="3242"/>
        <w:gridCol w:w="1325"/>
        <w:gridCol w:w="1325"/>
      </w:tblGrid>
      <w:tr>
        <w:tblPrEx>
          <w:tblCellMar>
            <w:top w:w="0" w:type="dxa"/>
            <w:left w:w="0" w:type="dxa"/>
            <w:bottom w:w="0" w:type="dxa"/>
            <w:right w:w="0" w:type="dxa"/>
          </w:tblCellMar>
        </w:tblPrEx>
        <w:trPr>
          <w:trHeight w:val="559" w:hRule="atLeast"/>
        </w:trPr>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一级指标</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二级指标</w:t>
            </w: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三级指标</w:t>
            </w:r>
          </w:p>
        </w:tc>
        <w:tc>
          <w:tcPr>
            <w:tcW w:w="794"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年度指标值</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实际完成值</w:t>
            </w:r>
          </w:p>
        </w:tc>
      </w:tr>
      <w:tr>
        <w:tblPrEx>
          <w:tblCellMar>
            <w:top w:w="0" w:type="dxa"/>
            <w:left w:w="0" w:type="dxa"/>
            <w:bottom w:w="0" w:type="dxa"/>
            <w:right w:w="0" w:type="dxa"/>
          </w:tblCellMar>
        </w:tblPrEx>
        <w:trPr>
          <w:trHeight w:val="465" w:hRule="atLeast"/>
        </w:trPr>
        <w:tc>
          <w:tcPr>
            <w:tcW w:w="794"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效益指标</w:t>
            </w:r>
          </w:p>
        </w:tc>
        <w:tc>
          <w:tcPr>
            <w:tcW w:w="673"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经济效益</w:t>
            </w: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蔬菜每亩效益（元/亩）</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2500</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2500</w:t>
            </w:r>
          </w:p>
        </w:tc>
      </w:tr>
      <w:tr>
        <w:tblPrEx>
          <w:tblCellMar>
            <w:top w:w="0" w:type="dxa"/>
            <w:left w:w="0" w:type="dxa"/>
            <w:bottom w:w="0" w:type="dxa"/>
            <w:right w:w="0" w:type="dxa"/>
          </w:tblCellMar>
        </w:tblPrEx>
        <w:trPr>
          <w:trHeight w:val="465" w:hRule="atLeast"/>
        </w:trPr>
        <w:tc>
          <w:tcPr>
            <w:tcW w:w="794"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马铃薯亩效益（元/亩）</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2000</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2000</w:t>
            </w:r>
          </w:p>
        </w:tc>
      </w:tr>
      <w:tr>
        <w:tblPrEx>
          <w:tblCellMar>
            <w:top w:w="0" w:type="dxa"/>
            <w:left w:w="0" w:type="dxa"/>
            <w:bottom w:w="0" w:type="dxa"/>
            <w:right w:w="0" w:type="dxa"/>
          </w:tblCellMar>
        </w:tblPrEx>
        <w:trPr>
          <w:trHeight w:val="465" w:hRule="atLeast"/>
        </w:trPr>
        <w:tc>
          <w:tcPr>
            <w:tcW w:w="794"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红薯亩效益（元/亩）</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2200</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2200</w:t>
            </w:r>
          </w:p>
        </w:tc>
      </w:tr>
      <w:tr>
        <w:tblPrEx>
          <w:tblCellMar>
            <w:top w:w="0" w:type="dxa"/>
            <w:left w:w="0" w:type="dxa"/>
            <w:bottom w:w="0" w:type="dxa"/>
            <w:right w:w="0" w:type="dxa"/>
          </w:tblCellMar>
        </w:tblPrEx>
        <w:trPr>
          <w:trHeight w:val="465" w:hRule="atLeast"/>
        </w:trPr>
        <w:tc>
          <w:tcPr>
            <w:tcW w:w="794"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食用菌菌棒效益（元/个）</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5.5</w:t>
            </w:r>
          </w:p>
        </w:tc>
      </w:tr>
      <w:tr>
        <w:tblPrEx>
          <w:tblCellMar>
            <w:top w:w="0" w:type="dxa"/>
            <w:left w:w="0" w:type="dxa"/>
            <w:bottom w:w="0" w:type="dxa"/>
            <w:right w:w="0" w:type="dxa"/>
          </w:tblCellMar>
        </w:tblPrEx>
        <w:trPr>
          <w:trHeight w:val="465" w:hRule="atLeast"/>
        </w:trPr>
        <w:tc>
          <w:tcPr>
            <w:tcW w:w="794"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药用玫瑰亩效益（元/亩）</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1000</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1000</w:t>
            </w:r>
          </w:p>
        </w:tc>
      </w:tr>
      <w:tr>
        <w:tblPrEx>
          <w:tblCellMar>
            <w:top w:w="0" w:type="dxa"/>
            <w:left w:w="0" w:type="dxa"/>
            <w:bottom w:w="0" w:type="dxa"/>
            <w:right w:w="0" w:type="dxa"/>
          </w:tblCellMar>
        </w:tblPrEx>
        <w:trPr>
          <w:trHeight w:val="465" w:hRule="atLeast"/>
        </w:trPr>
        <w:tc>
          <w:tcPr>
            <w:tcW w:w="794"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露地辣椒亩效益（元/亩）</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2000</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1800</w:t>
            </w:r>
          </w:p>
        </w:tc>
      </w:tr>
      <w:tr>
        <w:tblPrEx>
          <w:tblCellMar>
            <w:top w:w="0" w:type="dxa"/>
            <w:left w:w="0" w:type="dxa"/>
            <w:bottom w:w="0" w:type="dxa"/>
            <w:right w:w="0" w:type="dxa"/>
          </w:tblCellMar>
        </w:tblPrEx>
        <w:trPr>
          <w:trHeight w:val="465" w:hRule="atLeast"/>
        </w:trPr>
        <w:tc>
          <w:tcPr>
            <w:tcW w:w="794"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每座棚年增收（元/座）</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1000</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1000</w:t>
            </w:r>
          </w:p>
        </w:tc>
      </w:tr>
      <w:tr>
        <w:tblPrEx>
          <w:tblCellMar>
            <w:top w:w="0" w:type="dxa"/>
            <w:left w:w="0" w:type="dxa"/>
            <w:bottom w:w="0" w:type="dxa"/>
            <w:right w:w="0" w:type="dxa"/>
          </w:tblCellMar>
        </w:tblPrEx>
        <w:trPr>
          <w:trHeight w:val="465" w:hRule="atLeast"/>
        </w:trPr>
        <w:tc>
          <w:tcPr>
            <w:tcW w:w="794"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社会效益指标</w:t>
            </w: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带动贫困户发展拱棚蔬菜产业（户）</w:t>
            </w:r>
          </w:p>
        </w:tc>
        <w:tc>
          <w:tcPr>
            <w:tcW w:w="794"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600</w:t>
            </w:r>
          </w:p>
        </w:tc>
        <w:tc>
          <w:tcPr>
            <w:tcW w:w="794"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600</w:t>
            </w:r>
          </w:p>
        </w:tc>
      </w:tr>
      <w:tr>
        <w:tblPrEx>
          <w:tblCellMar>
            <w:top w:w="0" w:type="dxa"/>
            <w:left w:w="0" w:type="dxa"/>
            <w:bottom w:w="0" w:type="dxa"/>
            <w:right w:w="0" w:type="dxa"/>
          </w:tblCellMar>
        </w:tblPrEx>
        <w:trPr>
          <w:trHeight w:val="465" w:hRule="atLeast"/>
        </w:trPr>
        <w:tc>
          <w:tcPr>
            <w:tcW w:w="794"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特色种植产业带动（户）农户脱贫致富（）</w:t>
            </w:r>
          </w:p>
        </w:tc>
        <w:tc>
          <w:tcPr>
            <w:tcW w:w="794"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7000</w:t>
            </w:r>
          </w:p>
        </w:tc>
        <w:tc>
          <w:tcPr>
            <w:tcW w:w="794"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7000</w:t>
            </w:r>
          </w:p>
        </w:tc>
      </w:tr>
      <w:tr>
        <w:tblPrEx>
          <w:tblCellMar>
            <w:top w:w="0" w:type="dxa"/>
            <w:left w:w="0" w:type="dxa"/>
            <w:bottom w:w="0" w:type="dxa"/>
            <w:right w:w="0" w:type="dxa"/>
          </w:tblCellMar>
        </w:tblPrEx>
        <w:trPr>
          <w:trHeight w:val="465" w:hRule="atLeast"/>
        </w:trPr>
        <w:tc>
          <w:tcPr>
            <w:tcW w:w="794"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生态效益指标</w:t>
            </w: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改善生态</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有效改善</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70%</w:t>
            </w:r>
          </w:p>
        </w:tc>
      </w:tr>
      <w:tr>
        <w:tblPrEx>
          <w:tblCellMar>
            <w:top w:w="0" w:type="dxa"/>
            <w:left w:w="0" w:type="dxa"/>
            <w:bottom w:w="0" w:type="dxa"/>
            <w:right w:w="0" w:type="dxa"/>
          </w:tblCellMar>
        </w:tblPrEx>
        <w:trPr>
          <w:trHeight w:val="465" w:hRule="atLeast"/>
        </w:trPr>
        <w:tc>
          <w:tcPr>
            <w:tcW w:w="794"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可持续影响指标</w:t>
            </w: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特色种植可持续影响（年）</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r>
      <w:tr>
        <w:tblPrEx>
          <w:tblCellMar>
            <w:top w:w="0" w:type="dxa"/>
            <w:left w:w="0" w:type="dxa"/>
            <w:bottom w:w="0" w:type="dxa"/>
            <w:right w:w="0" w:type="dxa"/>
          </w:tblCellMar>
        </w:tblPrEx>
        <w:trPr>
          <w:trHeight w:val="465" w:hRule="atLeast"/>
        </w:trPr>
        <w:tc>
          <w:tcPr>
            <w:tcW w:w="794"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设施设备使用年限（年）</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w:t>
            </w:r>
          </w:p>
        </w:tc>
      </w:tr>
      <w:tr>
        <w:tblPrEx>
          <w:tblCellMar>
            <w:top w:w="0" w:type="dxa"/>
            <w:left w:w="0" w:type="dxa"/>
            <w:bottom w:w="0" w:type="dxa"/>
            <w:right w:w="0" w:type="dxa"/>
          </w:tblCellMar>
        </w:tblPrEx>
        <w:trPr>
          <w:trHeight w:val="465" w:hRule="atLeast"/>
        </w:trPr>
        <w:tc>
          <w:tcPr>
            <w:tcW w:w="794"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满意度指标</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服务对象满意度指标</w:t>
            </w:r>
          </w:p>
        </w:tc>
        <w:tc>
          <w:tcPr>
            <w:tcW w:w="19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受益建档立卡贫困口满意度（≥**%）</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≥90%</w:t>
            </w:r>
          </w:p>
        </w:tc>
        <w:tc>
          <w:tcPr>
            <w:tcW w:w="7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90%</w:t>
            </w:r>
          </w:p>
        </w:tc>
      </w:tr>
    </w:tbl>
    <w:p>
      <w:pPr>
        <w:spacing w:line="560" w:lineRule="exact"/>
        <w:ind w:firstLine="640" w:firstLineChars="200"/>
        <w:rPr>
          <w:rFonts w:ascii="仿宋_GB2312" w:hAnsi="仿宋" w:eastAsia="仿宋_GB2312" w:cs="宋体"/>
          <w:sz w:val="32"/>
          <w:szCs w:val="32"/>
        </w:rPr>
      </w:pPr>
    </w:p>
    <w:p>
      <w:pPr>
        <w:spacing w:line="56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五、主要经验及做法、存在的问题及原因分析</w:t>
      </w:r>
    </w:p>
    <w:p>
      <w:pPr>
        <w:spacing w:line="560" w:lineRule="exact"/>
        <w:ind w:firstLine="643" w:firstLineChars="200"/>
        <w:rPr>
          <w:rFonts w:ascii="仿宋_GB2312" w:hAnsi="仿宋" w:eastAsia="仿宋_GB2312" w:cs="宋体"/>
          <w:sz w:val="32"/>
          <w:szCs w:val="32"/>
        </w:rPr>
      </w:pPr>
      <w:r>
        <w:rPr>
          <w:rFonts w:hint="eastAsia" w:ascii="仿宋_GB2312" w:eastAsia="仿宋_GB2312" w:cs="Times New Roman" w:hAnsiTheme="majorHAnsi"/>
          <w:b/>
          <w:bCs/>
          <w:sz w:val="32"/>
          <w:szCs w:val="32"/>
        </w:rPr>
        <w:t>（一）主要经验及做法</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实施效果较好的原因主要是管理制度完善、责任落实到位，跟踪考核机制完善且运行有效，资金使用、管理、保障到位，严格执行扶贫资金管理办法和县财政资金管理制度，能按照实施方案执行招投标管理办法。在项目招投标过程中，厉行节约，该项目实施可以进一步带动农民创收，拓宽就业渠道，提高富余劳动力就业增收问题，提升农民种植技术，不断提高我县蔬菜产业开发水平。</w:t>
      </w:r>
    </w:p>
    <w:p>
      <w:pPr>
        <w:spacing w:line="560" w:lineRule="exact"/>
        <w:ind w:firstLine="643" w:firstLineChars="200"/>
        <w:rPr>
          <w:rFonts w:ascii="仿宋_GB2312" w:eastAsia="仿宋_GB2312" w:cs="Times New Roman" w:hAnsiTheme="majorHAnsi"/>
          <w:b/>
          <w:bCs/>
          <w:sz w:val="32"/>
          <w:szCs w:val="32"/>
        </w:rPr>
      </w:pPr>
      <w:r>
        <w:rPr>
          <w:rFonts w:hint="eastAsia" w:ascii="仿宋_GB2312" w:eastAsia="仿宋_GB2312" w:cs="Times New Roman" w:hAnsiTheme="majorHAnsi"/>
          <w:b/>
          <w:bCs/>
          <w:sz w:val="32"/>
          <w:szCs w:val="32"/>
        </w:rPr>
        <w:t>（二）存在的问题及原因分析</w:t>
      </w:r>
    </w:p>
    <w:p>
      <w:pPr>
        <w:spacing w:line="560" w:lineRule="exact"/>
        <w:rPr>
          <w:rFonts w:ascii="方正楷体简体" w:hAnsi="方正楷体简体" w:eastAsia="方正楷体简体" w:cs="方正楷体简体"/>
          <w:sz w:val="32"/>
          <w:szCs w:val="32"/>
        </w:rPr>
      </w:pPr>
      <w:r>
        <w:rPr>
          <w:rFonts w:hint="eastAsia" w:ascii="仿宋_GB2312" w:hAnsi="仿宋" w:eastAsia="仿宋_GB2312" w:cs="Times New Roman"/>
          <w:sz w:val="32"/>
          <w:szCs w:val="32"/>
        </w:rPr>
        <w:t>该项目在全县各个乡镇实施，地点分散，在实施管理方面存在一定难度</w:t>
      </w:r>
      <w:r>
        <w:rPr>
          <w:rFonts w:hint="eastAsia" w:ascii="仿宋_GB2312" w:hAnsi="仿宋" w:eastAsia="仿宋_GB2312" w:cs="宋体"/>
          <w:sz w:val="32"/>
          <w:szCs w:val="32"/>
        </w:rPr>
        <w:t>。</w:t>
      </w:r>
    </w:p>
    <w:p>
      <w:pPr>
        <w:spacing w:line="56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六、有关建议</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Times New Roman"/>
          <w:sz w:val="32"/>
          <w:szCs w:val="32"/>
        </w:rPr>
        <w:t>年初做好资金计划，按照项目进度及时拨付资金，使资金使用效益最大化，减少不必要的浪费，节约成本</w:t>
      </w:r>
      <w:r>
        <w:rPr>
          <w:rFonts w:hint="eastAsia" w:ascii="仿宋_GB2312" w:hAnsi="仿宋" w:eastAsia="仿宋_GB2312" w:cs="宋体"/>
          <w:sz w:val="32"/>
          <w:szCs w:val="32"/>
        </w:rPr>
        <w:t>。</w:t>
      </w:r>
    </w:p>
    <w:p>
      <w:pPr>
        <w:spacing w:line="56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七、其他需要说明的问题</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无其他说明问题。</w:t>
      </w:r>
    </w:p>
    <w:p/>
    <w:p>
      <w:pPr>
        <w:pStyle w:val="7"/>
      </w:pPr>
    </w:p>
    <w:p>
      <w:pPr>
        <w:pStyle w:val="7"/>
      </w:pP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附件1：喀什地区叶城县园艺工作站特色种植项目支出绩效目标申报表</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附件2：喀什地区叶城县园艺工作站特色种植项目支出绩效自评表</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附件3：喀什地区叶城县园艺工作站特色种植项目支出绩效评价指标体系</w:t>
      </w:r>
    </w:p>
    <w:p>
      <w:pPr>
        <w:spacing w:line="560" w:lineRule="exact"/>
        <w:ind w:firstLine="640" w:firstLineChars="200"/>
      </w:pPr>
      <w:r>
        <w:rPr>
          <w:rFonts w:hint="eastAsia" w:ascii="仿宋_GB2312" w:hAnsi="仿宋" w:eastAsia="仿宋_GB2312" w:cs="宋体"/>
          <w:sz w:val="32"/>
          <w:szCs w:val="32"/>
        </w:rPr>
        <w:t>附件4：喀什地区部门支出绩效评价评分表</w:t>
      </w:r>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F610ECA"/>
    <w:rsid w:val="00113278"/>
    <w:rsid w:val="00125A5B"/>
    <w:rsid w:val="002C1025"/>
    <w:rsid w:val="00332119"/>
    <w:rsid w:val="00551A0A"/>
    <w:rsid w:val="00644AE3"/>
    <w:rsid w:val="0066558B"/>
    <w:rsid w:val="006B1E90"/>
    <w:rsid w:val="006F20FC"/>
    <w:rsid w:val="007E579D"/>
    <w:rsid w:val="00816015"/>
    <w:rsid w:val="00A53DA1"/>
    <w:rsid w:val="00B659ED"/>
    <w:rsid w:val="00B73F6D"/>
    <w:rsid w:val="00C477B1"/>
    <w:rsid w:val="00DA6C07"/>
    <w:rsid w:val="00DB5D0C"/>
    <w:rsid w:val="00EA3F28"/>
    <w:rsid w:val="0494552B"/>
    <w:rsid w:val="110C7489"/>
    <w:rsid w:val="11E71F67"/>
    <w:rsid w:val="1306213F"/>
    <w:rsid w:val="15165554"/>
    <w:rsid w:val="156067A3"/>
    <w:rsid w:val="1733511C"/>
    <w:rsid w:val="234021D1"/>
    <w:rsid w:val="24AC1F22"/>
    <w:rsid w:val="2F381E2F"/>
    <w:rsid w:val="353A7C7E"/>
    <w:rsid w:val="37A46D1D"/>
    <w:rsid w:val="408176C2"/>
    <w:rsid w:val="457F0051"/>
    <w:rsid w:val="51DB6043"/>
    <w:rsid w:val="5ADD30F8"/>
    <w:rsid w:val="6089540D"/>
    <w:rsid w:val="6217316B"/>
    <w:rsid w:val="64BB2EBD"/>
    <w:rsid w:val="6D4F4C14"/>
    <w:rsid w:val="6E580056"/>
    <w:rsid w:val="6F2765DB"/>
    <w:rsid w:val="6F610ECA"/>
    <w:rsid w:val="74441907"/>
    <w:rsid w:val="7502641C"/>
    <w:rsid w:val="7B434D81"/>
    <w:rsid w:val="7C8E65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4"/>
    <w:qFormat/>
    <w:uiPriority w:val="0"/>
    <w:pPr>
      <w:spacing w:line="560" w:lineRule="exact"/>
      <w:ind w:left="0" w:leftChars="0" w:firstLine="420" w:firstLineChars="200"/>
    </w:pPr>
    <w:rPr>
      <w:rFonts w:eastAsia="宋体"/>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99"/>
    <w:rPr>
      <w:rFonts w:cs="Times New Roman"/>
      <w:b/>
      <w:bCs/>
    </w:rPr>
  </w:style>
  <w:style w:type="paragraph" w:customStyle="1" w:styleId="12">
    <w:name w:val="Char"/>
    <w:basedOn w:val="1"/>
    <w:qFormat/>
    <w:uiPriority w:val="0"/>
    <w:pPr>
      <w:widowControl/>
      <w:spacing w:after="160" w:line="240" w:lineRule="exact"/>
      <w:jc w:val="left"/>
    </w:pPr>
    <w:rPr>
      <w:rFonts w:ascii="Times New Roman" w:hAnsi="Times New Roman" w:eastAsia="宋体" w:cs="Times New Roman"/>
      <w:szCs w:val="22"/>
    </w:rPr>
  </w:style>
  <w:style w:type="paragraph" w:customStyle="1" w:styleId="13">
    <w:name w:val="标题1"/>
    <w:basedOn w:val="2"/>
    <w:qFormat/>
    <w:uiPriority w:val="0"/>
    <w:pPr>
      <w:spacing w:before="120" w:after="120" w:line="500" w:lineRule="exact"/>
      <w:ind w:firstLine="200" w:firstLineChars="200"/>
    </w:pPr>
    <w:rPr>
      <w:rFonts w:cs="Times New Roman"/>
      <w:sz w:val="32"/>
      <w:szCs w:val="32"/>
    </w:rPr>
  </w:style>
  <w:style w:type="paragraph" w:customStyle="1" w:styleId="14">
    <w:name w:val="闻政正文"/>
    <w:basedOn w:val="1"/>
    <w:qFormat/>
    <w:uiPriority w:val="0"/>
    <w:pPr>
      <w:spacing w:line="500" w:lineRule="exact"/>
      <w:ind w:firstLine="560" w:firstLineChars="200"/>
    </w:pPr>
    <w:rPr>
      <w:rFonts w:ascii="Times New Roman" w:hAnsi="Times New Roman" w:eastAsia="仿宋_GB2312" w:cs="Times New Roman"/>
      <w:sz w:val="28"/>
      <w:szCs w:val="28"/>
    </w:rPr>
  </w:style>
  <w:style w:type="paragraph" w:customStyle="1" w:styleId="15">
    <w:name w:val="p0"/>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6">
    <w:name w:val="页眉 Char"/>
    <w:basedOn w:val="10"/>
    <w:link w:val="6"/>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1218</Words>
  <Characters>6949</Characters>
  <Lines>57</Lines>
  <Paragraphs>16</Paragraphs>
  <TotalTime>2</TotalTime>
  <ScaleCrop>false</ScaleCrop>
  <LinksUpToDate>false</LinksUpToDate>
  <CharactersWithSpaces>8151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2020-04-22T17:28:00Z</dcterms:created>
  <dc:creator>王志文</dc:creator>
  <cp:lastModifiedBy>Administrator</cp:lastModifiedBy>
  <dcterms:modified xsi:type="dcterms:W3CDTF">2023-12-14T04:07:33Z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