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016" w:rsidRDefault="001C6016" w:rsidP="00C84424">
      <w:pPr>
        <w:spacing w:beforeLines="50"/>
        <w:jc w:val="center"/>
        <w:rPr>
          <w:rFonts w:ascii="方正小标宋简体" w:eastAsia="方正小标宋简体"/>
          <w:sz w:val="44"/>
          <w:szCs w:val="44"/>
        </w:rPr>
      </w:pPr>
    </w:p>
    <w:p w:rsidR="001C6016" w:rsidRDefault="001C6016" w:rsidP="00C84424">
      <w:pPr>
        <w:spacing w:beforeLines="50"/>
        <w:jc w:val="center"/>
        <w:rPr>
          <w:rFonts w:ascii="方正小标宋简体" w:eastAsia="方正小标宋简体"/>
          <w:sz w:val="44"/>
          <w:szCs w:val="44"/>
        </w:rPr>
      </w:pPr>
    </w:p>
    <w:p w:rsidR="001C6016" w:rsidRDefault="001C6016" w:rsidP="00C84424">
      <w:pPr>
        <w:spacing w:beforeLines="50"/>
        <w:jc w:val="center"/>
        <w:rPr>
          <w:rFonts w:ascii="方正小标宋简体" w:eastAsia="方正小标宋简体"/>
          <w:sz w:val="44"/>
          <w:szCs w:val="44"/>
        </w:rPr>
      </w:pPr>
    </w:p>
    <w:p w:rsidR="001C6016" w:rsidRDefault="00973302" w:rsidP="00C84424">
      <w:pPr>
        <w:spacing w:beforeLines="50"/>
        <w:jc w:val="center"/>
        <w:rPr>
          <w:rFonts w:ascii="方正小标宋简体" w:eastAsia="方正小标宋简体"/>
          <w:sz w:val="44"/>
          <w:szCs w:val="44"/>
        </w:rPr>
      </w:pPr>
      <w:r>
        <w:rPr>
          <w:rFonts w:ascii="方正小标宋简体" w:eastAsia="方正小标宋简体" w:hint="eastAsia"/>
          <w:sz w:val="44"/>
          <w:szCs w:val="44"/>
        </w:rPr>
        <w:t>喀什地区叶城县扶贫办配套项目支出绩效评价报告</w:t>
      </w:r>
    </w:p>
    <w:p w:rsidR="001C6016" w:rsidRDefault="001C6016" w:rsidP="00C84424">
      <w:pPr>
        <w:spacing w:beforeLines="50"/>
        <w:jc w:val="center"/>
        <w:rPr>
          <w:rFonts w:ascii="方正小标宋简体" w:eastAsia="方正小标宋简体"/>
          <w:sz w:val="52"/>
          <w:szCs w:val="52"/>
        </w:rPr>
      </w:pPr>
    </w:p>
    <w:p w:rsidR="001C6016" w:rsidRDefault="001C6016" w:rsidP="00C84424">
      <w:pPr>
        <w:spacing w:beforeLines="50"/>
        <w:jc w:val="center"/>
        <w:rPr>
          <w:rFonts w:ascii="方正小标宋简体" w:eastAsia="方正小标宋简体"/>
          <w:sz w:val="52"/>
          <w:szCs w:val="52"/>
        </w:rPr>
      </w:pPr>
    </w:p>
    <w:p w:rsidR="001C6016" w:rsidRDefault="001C6016" w:rsidP="00C84424">
      <w:pPr>
        <w:spacing w:beforeLines="50"/>
        <w:jc w:val="center"/>
        <w:rPr>
          <w:rFonts w:ascii="方正小标宋简体" w:eastAsia="方正小标宋简体"/>
          <w:sz w:val="52"/>
          <w:szCs w:val="52"/>
        </w:rPr>
      </w:pPr>
    </w:p>
    <w:p w:rsidR="001C6016" w:rsidRDefault="001C6016" w:rsidP="00C84424">
      <w:pPr>
        <w:spacing w:beforeLines="50"/>
        <w:jc w:val="center"/>
        <w:rPr>
          <w:rFonts w:ascii="方正小标宋简体" w:eastAsia="方正小标宋简体"/>
          <w:sz w:val="52"/>
          <w:szCs w:val="52"/>
        </w:rPr>
      </w:pPr>
    </w:p>
    <w:p w:rsidR="001C6016" w:rsidRDefault="00973302">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项目名称：配套项目</w:t>
      </w:r>
    </w:p>
    <w:p w:rsidR="001C6016" w:rsidRDefault="00973302">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w:t>
      </w:r>
      <w:r>
        <w:rPr>
          <w:rFonts w:ascii="仿宋_GB2312" w:eastAsia="仿宋_GB2312" w:hAnsi="仿宋_GB2312" w:cs="仿宋_GB2312" w:hint="eastAsia"/>
          <w:kern w:val="0"/>
          <w:sz w:val="36"/>
          <w:szCs w:val="36"/>
          <w:lang w:val="zh-TW"/>
        </w:rPr>
        <w:t>叶城县农机局</w:t>
      </w:r>
    </w:p>
    <w:p w:rsidR="001C6016" w:rsidRDefault="00973302">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w:t>
      </w:r>
      <w:r>
        <w:rPr>
          <w:rFonts w:ascii="仿宋_GB2312" w:eastAsia="仿宋_GB2312" w:hAnsi="仿宋_GB2312" w:cs="仿宋_GB2312" w:hint="eastAsia"/>
          <w:kern w:val="0"/>
          <w:sz w:val="36"/>
          <w:szCs w:val="36"/>
          <w:lang w:val="zh-TW"/>
        </w:rPr>
        <w:t>叶城县</w:t>
      </w:r>
      <w:r>
        <w:rPr>
          <w:rFonts w:ascii="仿宋_GB2312" w:eastAsia="仿宋_GB2312" w:hAnsi="仿宋_GB2312" w:cs="仿宋_GB2312" w:hint="eastAsia"/>
          <w:kern w:val="0"/>
          <w:sz w:val="36"/>
          <w:szCs w:val="36"/>
        </w:rPr>
        <w:t>扶贫办</w:t>
      </w:r>
    </w:p>
    <w:p w:rsidR="001C6016" w:rsidRDefault="001C6016">
      <w:pPr>
        <w:autoSpaceDE w:val="0"/>
        <w:autoSpaceDN w:val="0"/>
        <w:spacing w:line="540" w:lineRule="exact"/>
        <w:ind w:firstLineChars="200" w:firstLine="712"/>
        <w:rPr>
          <w:rFonts w:ascii="仿宋_GB2312" w:eastAsia="仿宋_GB2312" w:hAnsi="仿宋" w:cs="Times New Roman"/>
          <w:spacing w:val="-2"/>
          <w:sz w:val="36"/>
          <w:szCs w:val="36"/>
        </w:rPr>
      </w:pPr>
    </w:p>
    <w:p w:rsidR="001C6016" w:rsidRDefault="001C6016">
      <w:pPr>
        <w:autoSpaceDE w:val="0"/>
        <w:autoSpaceDN w:val="0"/>
        <w:spacing w:line="540" w:lineRule="exact"/>
        <w:ind w:firstLineChars="200" w:firstLine="712"/>
        <w:rPr>
          <w:rFonts w:ascii="仿宋_GB2312" w:eastAsia="仿宋_GB2312" w:hAnsi="仿宋" w:cs="Times New Roman"/>
          <w:spacing w:val="-2"/>
          <w:sz w:val="36"/>
          <w:szCs w:val="36"/>
        </w:rPr>
      </w:pPr>
    </w:p>
    <w:p w:rsidR="001C6016" w:rsidRDefault="001C6016">
      <w:pPr>
        <w:autoSpaceDE w:val="0"/>
        <w:autoSpaceDN w:val="0"/>
        <w:spacing w:line="540" w:lineRule="exact"/>
        <w:ind w:firstLineChars="600" w:firstLine="2136"/>
        <w:rPr>
          <w:rFonts w:ascii="仿宋_GB2312" w:eastAsia="仿宋_GB2312" w:hAnsi="仿宋" w:cs="Times New Roman"/>
          <w:spacing w:val="-2"/>
          <w:sz w:val="36"/>
          <w:szCs w:val="36"/>
        </w:rPr>
      </w:pPr>
    </w:p>
    <w:p w:rsidR="001C6016" w:rsidRDefault="00973302">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1C6016" w:rsidRDefault="001C6016" w:rsidP="00C84424">
      <w:pPr>
        <w:spacing w:beforeLines="50" w:line="0" w:lineRule="atLeast"/>
        <w:jc w:val="left"/>
        <w:rPr>
          <w:sz w:val="28"/>
          <w:szCs w:val="28"/>
        </w:rPr>
      </w:pPr>
    </w:p>
    <w:p w:rsidR="001C6016" w:rsidRDefault="001C6016" w:rsidP="00C84424">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1C6016" w:rsidRDefault="001C6016" w:rsidP="00C84424">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1C6016" w:rsidRDefault="001C6016" w:rsidP="00C84424">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1C6016" w:rsidRDefault="00973302">
      <w:pPr>
        <w:pStyle w:val="12"/>
        <w:numPr>
          <w:ilvl w:val="0"/>
          <w:numId w:val="2"/>
        </w:numPr>
        <w:ind w:firstLineChars="0"/>
      </w:pPr>
      <w:r>
        <w:rPr>
          <w:rFonts w:hint="eastAsia"/>
        </w:rPr>
        <w:t>基本情况</w:t>
      </w:r>
    </w:p>
    <w:p w:rsidR="001C6016" w:rsidRDefault="00973302">
      <w:pPr>
        <w:pStyle w:val="2"/>
        <w:ind w:left="0" w:firstLineChars="200" w:firstLine="643"/>
      </w:pPr>
      <w:bookmarkStart w:id="0" w:name="_Toc26401549"/>
      <w:r>
        <w:rPr>
          <w:rFonts w:hint="eastAsia"/>
        </w:rPr>
        <w:t>项目概况</w:t>
      </w:r>
      <w:bookmarkEnd w:id="0"/>
    </w:p>
    <w:p w:rsidR="001C6016" w:rsidRDefault="00973302">
      <w:pPr>
        <w:pStyle w:val="11"/>
        <w:numPr>
          <w:ilvl w:val="0"/>
          <w:numId w:val="3"/>
        </w:numPr>
        <w:spacing w:line="560" w:lineRule="exact"/>
        <w:ind w:left="0" w:firstLine="64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1C6016" w:rsidRDefault="00973302">
      <w:pPr>
        <w:pStyle w:val="11"/>
        <w:spacing w:line="560" w:lineRule="exact"/>
        <w:ind w:firstLine="640"/>
        <w:rPr>
          <w:rFonts w:ascii="仿宋_GB2312" w:eastAsia="仿宋_GB2312" w:hAnsi="仿宋" w:cs="宋体"/>
          <w:sz w:val="32"/>
          <w:szCs w:val="32"/>
        </w:rPr>
      </w:pPr>
      <w:r>
        <w:rPr>
          <w:rFonts w:ascii="仿宋_GB2312" w:eastAsia="仿宋_GB2312" w:hAnsi="仿宋" w:cs="宋体" w:hint="eastAsia"/>
          <w:sz w:val="32"/>
          <w:szCs w:val="32"/>
        </w:rPr>
        <w:t>本项目根据新财农(2018)94号、喀地财农［2018］53号、新财农［2018］48号、喀地财农［2018］28号、新财农［2017］127号、喀地财农［2018］1号、新财建［2017］461号、喀地财建［2018］9号、新财建［2018］76号、喀地财建［2018］26号、新财行［2018］78号、喀地财行［2018］34号、新财农(2017)73号、喀地财农(2018)48号、新财农(2018)79号、喀地财农(2018)47号、新财扶［2018］16号、喀地财扶［2018］27号、新财扶［2017］47号、喀地财扶［2017］30号文件，改善和促进农民增收理念及积极性，叶城县2019年配套项目总投资751.77万元，到位资金751.77万元，其中财政资金751.77万元，其他资金0万元，该项目为2018年实施项目，本年度支付项目质保金。</w:t>
      </w:r>
    </w:p>
    <w:p w:rsidR="001C6016" w:rsidRDefault="00973302" w:rsidP="00122B85">
      <w:pPr>
        <w:pStyle w:val="11"/>
        <w:spacing w:line="560" w:lineRule="exact"/>
        <w:ind w:leftChars="200" w:left="420" w:firstLineChars="0" w:firstLine="0"/>
        <w:rPr>
          <w:rFonts w:ascii="仿宋_GB2312" w:eastAsia="仿宋_GB2312" w:hAnsi="仿宋" w:cs="宋体"/>
          <w:sz w:val="32"/>
          <w:szCs w:val="32"/>
        </w:rPr>
      </w:pPr>
      <w:r>
        <w:rPr>
          <w:rFonts w:ascii="仿宋_GB2312" w:eastAsia="仿宋_GB2312" w:hAnsi="仿宋" w:cs="宋体" w:hint="eastAsia"/>
          <w:sz w:val="32"/>
          <w:szCs w:val="32"/>
        </w:rPr>
        <w:t>2.项目主要内容及实施情况</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 项目的主要内容为：本项目的主管部门为扶贫办,实施单位为农机局。购置完善21个配套设备，改善和促进农民增收理念及积极性。就业的贫困人口人均年收入10000元，提高群众收入，增加群众生活幸福感</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3.项目的实施情况：本项目自2018年4月28日经文件批复，经扶贫开发领导小组会议，确定了该项目，明确了责任分工：由扶贫办完成项目初步设计，并由农机局编制了实</w:t>
      </w:r>
      <w:r>
        <w:rPr>
          <w:rFonts w:ascii="仿宋_GB2312" w:eastAsia="仿宋_GB2312" w:hAnsi="仿宋" w:cs="宋体" w:hint="eastAsia"/>
          <w:sz w:val="32"/>
          <w:szCs w:val="32"/>
        </w:rPr>
        <w:lastRenderedPageBreak/>
        <w:t>施方案，项目采用公开招标方式确定施工单位为喀什华厦、新疆雪域高原、新疆佳诚有限公司，并签订了项目合同，监理方为新疆天力、新疆佳诚、新疆路智兴、新疆泽强有限公司并签订了监理合同。项目进行了验收并合格，项目已竣工决算并移交使用。叶城县2019年配套项目总投资751.77万元，到位资金751.77万元，其中财政资金751.77万元，其他资金0万元，该项目为2018年实施项目，本年度支付项目质保金</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实际支付资金751.77万元，预算执行率100%，资金该项目资金用于支付项目质保金，购置完善21个配套设备，改善和促进农民增收理念及积极性。就业的贫困人口人均年收入10000元，提高群众收入，增加群众生活幸福感。</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根据县财经领导小组项目资金管理办法的要求，叶城县扶贫办严格按照项目资金规定的专项资金支持的项目条件和范围要求，严格按照有关规定使用管理项目资金。</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根据《喀什地区财政扶贫资金管理办法（试行）》的制度，包括会计人员集中核算工作管理制度、财务收支审批制度、财务稽核制度、财务牵制制度、会计主管岗位职责等制度规定，资金的拨付有完整的审批程序和手续，不存在截留、挤占、挪用等情况。</w:t>
      </w:r>
    </w:p>
    <w:p w:rsidR="001C6016" w:rsidRDefault="00973302">
      <w:pPr>
        <w:pStyle w:val="12"/>
        <w:numPr>
          <w:ilvl w:val="0"/>
          <w:numId w:val="2"/>
        </w:numPr>
        <w:spacing w:before="0" w:after="0" w:line="560" w:lineRule="exact"/>
        <w:ind w:left="0" w:firstLine="643"/>
      </w:pPr>
      <w:bookmarkStart w:id="1" w:name="_Toc26401552"/>
      <w:r>
        <w:rPr>
          <w:rFonts w:hint="eastAsia"/>
        </w:rPr>
        <w:t>评价工作简述</w:t>
      </w:r>
      <w:bookmarkEnd w:id="1"/>
    </w:p>
    <w:p w:rsidR="001C6016" w:rsidRDefault="00973302">
      <w:pPr>
        <w:pStyle w:val="2"/>
        <w:numPr>
          <w:ilvl w:val="0"/>
          <w:numId w:val="4"/>
        </w:numPr>
        <w:spacing w:before="0" w:after="0" w:line="560" w:lineRule="exact"/>
        <w:ind w:left="0" w:firstLineChars="200" w:firstLine="643"/>
      </w:pPr>
      <w:bookmarkStart w:id="2" w:name="_Toc26401553"/>
      <w:r>
        <w:rPr>
          <w:rFonts w:hint="eastAsia"/>
        </w:rPr>
        <w:t>评价目的</w:t>
      </w:r>
      <w:bookmarkEnd w:id="2"/>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本次绩效评价遵循财政部《项目支出绩效评价管理办法》（财预〔2020〕10号）和自治区财政厅《自治区财政支</w:t>
      </w:r>
      <w:r>
        <w:rPr>
          <w:rFonts w:ascii="仿宋_GB2312" w:eastAsia="仿宋_GB2312" w:hAnsi="仿宋" w:cs="宋体" w:hint="eastAsia"/>
          <w:sz w:val="32"/>
          <w:szCs w:val="32"/>
        </w:rPr>
        <w:lastRenderedPageBreak/>
        <w:t>出绩效评价管理暂行办法》（新财预〔2018〕189号）等相关政策文件与规定，旨在评价配套项目实施前期、过程及效果，评价财政预算资金使用的效率及效益。购置完善21个配套设备，改善和促进农民增收、就业，提高群众收入，增加群众生活幸福感。</w:t>
      </w:r>
    </w:p>
    <w:p w:rsidR="001C6016" w:rsidRDefault="00973302">
      <w:pPr>
        <w:pStyle w:val="2"/>
        <w:numPr>
          <w:ilvl w:val="0"/>
          <w:numId w:val="4"/>
        </w:numPr>
        <w:spacing w:before="0" w:after="0" w:line="560" w:lineRule="exact"/>
        <w:ind w:left="0" w:firstLineChars="200" w:firstLine="643"/>
      </w:pPr>
      <w:r>
        <w:rPr>
          <w:rFonts w:hint="eastAsia"/>
        </w:rPr>
        <w:t>本次绩效评价的对象及范围</w:t>
      </w:r>
      <w:bookmarkStart w:id="3" w:name="_Toc26401554"/>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本次评价对象为配套项目资金，评价范围包括专项资金的安排、组织及使用效益。</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1.资金使用范围：</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叶城县扶贫办根据《喀什地区扶贫资金管理办法》进行支付，按照项目实施进度进行资金、报账等拨付手续。</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2.项目实施及管理情况：</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项目经立项后。由叶城县扶贫办组织，农机局负责具体实施，制定实施方案，实施过程均按照扶贫资金管理办法和实施方案执行。</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本项目严格遵守相关法律法规和业务管理规定，对项目各项资料整理并及时归档。不定期对项目进行督导检查，对检查过程中发现的问题及时督促整改。</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在建设中还应加强项目财务收支管理，节约财务支出，建立严格的财务管理制度。对工作过程中产生的问题，落实责任追究制度，采用公平公正公开的原则，积极整改并接受大众社会监督。确保扶贫资金支出有据、有效，项目完成高质量。</w:t>
      </w:r>
    </w:p>
    <w:p w:rsidR="001C6016" w:rsidRDefault="00973302">
      <w:pPr>
        <w:spacing w:line="560" w:lineRule="exact"/>
        <w:ind w:firstLineChars="200" w:firstLine="643"/>
        <w:rPr>
          <w:rFonts w:ascii="仿宋_GB2312" w:eastAsia="仿宋_GB2312" w:hAnsi="仿宋" w:cs="宋体"/>
          <w:b/>
          <w:bCs/>
          <w:sz w:val="32"/>
          <w:szCs w:val="32"/>
        </w:rPr>
      </w:pPr>
      <w:r>
        <w:rPr>
          <w:rFonts w:ascii="仿宋_GB2312" w:eastAsia="仿宋_GB2312" w:hAnsi="仿宋" w:cs="宋体" w:hint="eastAsia"/>
          <w:b/>
          <w:bCs/>
          <w:sz w:val="32"/>
          <w:szCs w:val="32"/>
        </w:rPr>
        <w:t>（三）绩效评价原则</w:t>
      </w:r>
      <w:bookmarkEnd w:id="3"/>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本次绩效评价遵循的原则包括：</w:t>
      </w:r>
    </w:p>
    <w:p w:rsidR="001C6016" w:rsidRDefault="00973302">
      <w:pPr>
        <w:pStyle w:val="2"/>
        <w:keepNext w:val="0"/>
        <w:keepLines w:val="0"/>
        <w:numPr>
          <w:ilvl w:val="1"/>
          <w:numId w:val="5"/>
        </w:numPr>
        <w:spacing w:before="0" w:after="0" w:line="560" w:lineRule="exact"/>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1C6016" w:rsidRDefault="00973302">
      <w:pPr>
        <w:pStyle w:val="2"/>
        <w:keepNext w:val="0"/>
        <w:keepLines w:val="0"/>
        <w:numPr>
          <w:ilvl w:val="1"/>
          <w:numId w:val="5"/>
        </w:numPr>
        <w:spacing w:before="0" w:after="0" w:line="560" w:lineRule="exact"/>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1C6016" w:rsidRDefault="00973302">
      <w:pPr>
        <w:pStyle w:val="2"/>
        <w:keepNext w:val="0"/>
        <w:keepLines w:val="0"/>
        <w:numPr>
          <w:ilvl w:val="1"/>
          <w:numId w:val="5"/>
        </w:numPr>
        <w:spacing w:before="0" w:after="0" w:line="560" w:lineRule="exact"/>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1C6016" w:rsidRDefault="00973302">
      <w:pPr>
        <w:pStyle w:val="2"/>
        <w:keepNext w:val="0"/>
        <w:keepLines w:val="0"/>
        <w:numPr>
          <w:ilvl w:val="1"/>
          <w:numId w:val="5"/>
        </w:numPr>
        <w:spacing w:before="0" w:after="0" w:line="560" w:lineRule="exact"/>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根据以上原则,绩效评价应遵循如下要求:</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（1）在数据采集时,采取客观数据,主管部门审查、社会中介组织复查,与问卷调查相结合的形式,以保证各项指标的真实性。</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(2)保证评价结果的真实性、公正性,提高评价报告的公信力。</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(3)绩教评价报告应当简明扼要,除了对绩效评价的过程、结果描述外,还应总结经验,指出问题,并就共性问题提出可操作性改进建议。</w:t>
      </w:r>
    </w:p>
    <w:p w:rsidR="001C6016" w:rsidRDefault="00973302">
      <w:pPr>
        <w:spacing w:line="560" w:lineRule="exact"/>
        <w:ind w:firstLineChars="200" w:firstLine="643"/>
        <w:rPr>
          <w:rFonts w:ascii="仿宋_GB2312" w:eastAsia="仿宋_GB2312" w:hAnsi="仿宋" w:cs="宋体"/>
          <w:b/>
          <w:bCs/>
          <w:sz w:val="32"/>
          <w:szCs w:val="32"/>
        </w:rPr>
      </w:pPr>
      <w:r>
        <w:rPr>
          <w:rFonts w:ascii="仿宋_GB2312" w:eastAsia="仿宋_GB2312" w:hAnsi="仿宋" w:cs="宋体" w:hint="eastAsia"/>
          <w:b/>
          <w:bCs/>
          <w:sz w:val="32"/>
          <w:szCs w:val="32"/>
        </w:rPr>
        <w:t>（四）本项目绩效评价体系</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遵循“科学性、规范性、客观性和公正性”的绩效评价原则,根据财政部制定的《项目支出绩效评价共性指标体系</w:t>
      </w:r>
      <w:r>
        <w:rPr>
          <w:rFonts w:hAnsi="仿宋" w:cs="宋体" w:hint="eastAsia"/>
          <w:b w:val="0"/>
          <w:bCs w:val="0"/>
        </w:rPr>
        <w:lastRenderedPageBreak/>
        <w:t>框架》,结合配套项目特性、扶贫办单位实际情况,本项目按照财预﹝2020﹞10号文件制定评价指标体系。</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我单位选取共性指标：决策中一级指标1个，二级指标2个，三级指标2个，分别是立项程序规范性、预算编制科学性。</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 xml:space="preserve">过程中一级指标1个，二级指标2个，三级指标2个，分别是资金使用合规性、制度执行有效性。  </w:t>
      </w:r>
    </w:p>
    <w:p w:rsidR="001C6016" w:rsidRDefault="00973302">
      <w:pPr>
        <w:pStyle w:val="2"/>
        <w:keepNext w:val="0"/>
        <w:keepLines w:val="0"/>
        <w:numPr>
          <w:ilvl w:val="0"/>
          <w:numId w:val="0"/>
        </w:numPr>
        <w:spacing w:before="0" w:after="0" w:line="560" w:lineRule="exact"/>
        <w:ind w:firstLineChars="200" w:firstLine="643"/>
      </w:pPr>
      <w:bookmarkStart w:id="4" w:name="_Toc26401555"/>
      <w:r>
        <w:rPr>
          <w:rFonts w:hint="eastAsia"/>
        </w:rPr>
        <w:t xml:space="preserve"> (五）绩效评价方法</w:t>
      </w:r>
      <w:bookmarkEnd w:id="4"/>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本次绩效评价方法的选用坚持简便有效的原则采用效益分析法。</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根据项目可以带动贫困户就业增收，进行效益评价。</w:t>
      </w:r>
    </w:p>
    <w:p w:rsidR="001C6016" w:rsidRDefault="00973302">
      <w:pPr>
        <w:pStyle w:val="2"/>
        <w:keepNext w:val="0"/>
        <w:keepLines w:val="0"/>
        <w:numPr>
          <w:ilvl w:val="0"/>
          <w:numId w:val="0"/>
        </w:numPr>
        <w:spacing w:before="0" w:after="0" w:line="560" w:lineRule="exact"/>
        <w:ind w:firstLineChars="200" w:firstLine="643"/>
      </w:pPr>
      <w:r>
        <w:rPr>
          <w:rFonts w:hint="eastAsia"/>
        </w:rPr>
        <w:t>（六）评价标准</w:t>
      </w:r>
    </w:p>
    <w:p w:rsidR="001C6016" w:rsidRDefault="00973302">
      <w:pPr>
        <w:pStyle w:val="2"/>
        <w:keepNext w:val="0"/>
        <w:keepLines w:val="0"/>
        <w:numPr>
          <w:ilvl w:val="0"/>
          <w:numId w:val="0"/>
        </w:numPr>
        <w:spacing w:before="0" w:after="0" w:line="560" w:lineRule="exact"/>
        <w:ind w:firstLineChars="200" w:firstLine="640"/>
        <w:rPr>
          <w:rFonts w:hAnsi="仿宋" w:cs="宋体"/>
          <w:b w:val="0"/>
          <w:bCs w:val="0"/>
        </w:rPr>
      </w:pPr>
      <w:r>
        <w:rPr>
          <w:rFonts w:hAnsi="仿宋" w:cs="宋体" w:hint="eastAsia"/>
          <w:b w:val="0"/>
          <w:bCs w:val="0"/>
        </w:rPr>
        <w:t>该项目评价标准采用计划标准，项目计划预期目标带动就业贫困户就业增收10000元，实施该项目是贯彻落实好就业增收决策部署，全面完成脱贫攻坚任务，提高农民生活质量，促进文明住行的重要抓手。</w:t>
      </w:r>
    </w:p>
    <w:p w:rsidR="001C6016" w:rsidRDefault="00973302">
      <w:pPr>
        <w:pStyle w:val="2"/>
        <w:keepNext w:val="0"/>
        <w:keepLines w:val="0"/>
        <w:numPr>
          <w:ilvl w:val="0"/>
          <w:numId w:val="0"/>
        </w:numPr>
        <w:spacing w:before="0" w:after="0" w:line="560" w:lineRule="exact"/>
        <w:ind w:firstLineChars="200" w:firstLine="643"/>
      </w:pPr>
      <w:r>
        <w:rPr>
          <w:rFonts w:hint="eastAsia"/>
        </w:rPr>
        <w:t>（七）绩效评价工作过程</w:t>
      </w:r>
    </w:p>
    <w:p w:rsidR="001C6016" w:rsidRDefault="00973302">
      <w:pPr>
        <w:pStyle w:val="2"/>
        <w:keepNext w:val="0"/>
        <w:keepLines w:val="0"/>
        <w:numPr>
          <w:ilvl w:val="0"/>
          <w:numId w:val="0"/>
        </w:numPr>
        <w:spacing w:before="0" w:after="0" w:line="560" w:lineRule="exact"/>
        <w:ind w:firstLineChars="200" w:firstLine="640"/>
        <w:outlineLvl w:val="9"/>
        <w:rPr>
          <w:b w:val="0"/>
          <w:bCs w:val="0"/>
        </w:rPr>
      </w:pPr>
      <w:r>
        <w:rPr>
          <w:rFonts w:hint="eastAsia"/>
          <w:b w:val="0"/>
          <w:bCs w:val="0"/>
        </w:rPr>
        <w:t>1.本次评价成立了评价工作组，成员如下：</w:t>
      </w:r>
    </w:p>
    <w:tbl>
      <w:tblPr>
        <w:tblStyle w:val="a8"/>
        <w:tblW w:w="8296" w:type="dxa"/>
        <w:jc w:val="center"/>
        <w:tblLayout w:type="fixed"/>
        <w:tblLook w:val="04A0"/>
      </w:tblPr>
      <w:tblGrid>
        <w:gridCol w:w="2765"/>
        <w:gridCol w:w="2765"/>
        <w:gridCol w:w="2766"/>
      </w:tblGrid>
      <w:tr w:rsidR="001C6016">
        <w:trPr>
          <w:jc w:val="center"/>
        </w:trPr>
        <w:tc>
          <w:tcPr>
            <w:tcW w:w="2765"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sz w:val="20"/>
                <w:szCs w:val="20"/>
              </w:rPr>
            </w:pPr>
            <w:r>
              <w:rPr>
                <w:rFonts w:ascii="宋体" w:eastAsia="宋体" w:hAnsi="宋体" w:cs="宋体" w:hint="eastAsia"/>
                <w:sz w:val="20"/>
                <w:szCs w:val="20"/>
              </w:rPr>
              <w:t>评价人</w:t>
            </w:r>
          </w:p>
        </w:tc>
        <w:tc>
          <w:tcPr>
            <w:tcW w:w="2765"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sz w:val="20"/>
                <w:szCs w:val="20"/>
              </w:rPr>
            </w:pPr>
            <w:r>
              <w:rPr>
                <w:rFonts w:ascii="宋体" w:eastAsia="宋体" w:hAnsi="宋体" w:cs="宋体" w:hint="eastAsia"/>
                <w:sz w:val="20"/>
                <w:szCs w:val="20"/>
              </w:rPr>
              <w:t>职责</w:t>
            </w:r>
          </w:p>
        </w:tc>
        <w:tc>
          <w:tcPr>
            <w:tcW w:w="2766"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sz w:val="20"/>
                <w:szCs w:val="20"/>
              </w:rPr>
            </w:pPr>
            <w:r>
              <w:rPr>
                <w:rFonts w:ascii="宋体" w:eastAsia="宋体" w:hAnsi="宋体" w:cs="宋体" w:hint="eastAsia"/>
                <w:sz w:val="20"/>
                <w:szCs w:val="20"/>
              </w:rPr>
              <w:t>职称</w:t>
            </w:r>
          </w:p>
        </w:tc>
      </w:tr>
      <w:tr w:rsidR="001C6016">
        <w:trPr>
          <w:jc w:val="center"/>
        </w:trPr>
        <w:tc>
          <w:tcPr>
            <w:tcW w:w="2765"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马世江</w:t>
            </w:r>
          </w:p>
        </w:tc>
        <w:tc>
          <w:tcPr>
            <w:tcW w:w="2765"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评价组组长</w:t>
            </w:r>
          </w:p>
        </w:tc>
        <w:tc>
          <w:tcPr>
            <w:tcW w:w="2766"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局长</w:t>
            </w:r>
          </w:p>
        </w:tc>
      </w:tr>
      <w:tr w:rsidR="001C6016">
        <w:trPr>
          <w:jc w:val="center"/>
        </w:trPr>
        <w:tc>
          <w:tcPr>
            <w:tcW w:w="2765"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吉永亮</w:t>
            </w:r>
          </w:p>
        </w:tc>
        <w:tc>
          <w:tcPr>
            <w:tcW w:w="2765"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评价组成员</w:t>
            </w:r>
          </w:p>
        </w:tc>
        <w:tc>
          <w:tcPr>
            <w:tcW w:w="2766"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科员</w:t>
            </w:r>
          </w:p>
        </w:tc>
      </w:tr>
      <w:tr w:rsidR="001C6016">
        <w:trPr>
          <w:jc w:val="center"/>
        </w:trPr>
        <w:tc>
          <w:tcPr>
            <w:tcW w:w="2765"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王慧</w:t>
            </w:r>
          </w:p>
        </w:tc>
        <w:tc>
          <w:tcPr>
            <w:tcW w:w="2765"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评价组成员</w:t>
            </w:r>
          </w:p>
        </w:tc>
        <w:tc>
          <w:tcPr>
            <w:tcW w:w="2766" w:type="dxa"/>
            <w:vAlign w:val="center"/>
          </w:tcPr>
          <w:p w:rsidR="001C6016" w:rsidRDefault="00973302">
            <w:pPr>
              <w:pStyle w:val="2"/>
              <w:keepNext w:val="0"/>
              <w:keepLines w:val="0"/>
              <w:numPr>
                <w:ilvl w:val="0"/>
                <w:numId w:val="0"/>
              </w:numPr>
              <w:spacing w:line="240" w:lineRule="atLeast"/>
              <w:jc w:val="center"/>
              <w:rPr>
                <w:rFonts w:ascii="宋体" w:eastAsia="宋体" w:hAnsi="宋体" w:cs="宋体"/>
                <w:b w:val="0"/>
                <w:bCs w:val="0"/>
                <w:sz w:val="20"/>
                <w:szCs w:val="20"/>
              </w:rPr>
            </w:pPr>
            <w:r>
              <w:rPr>
                <w:rFonts w:ascii="宋体" w:eastAsia="宋体" w:hAnsi="宋体" w:cs="宋体" w:hint="eastAsia"/>
                <w:b w:val="0"/>
                <w:bCs w:val="0"/>
                <w:sz w:val="20"/>
                <w:szCs w:val="20"/>
              </w:rPr>
              <w:t>科员</w:t>
            </w:r>
          </w:p>
        </w:tc>
      </w:tr>
    </w:tbl>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本次评价从绩效目标分析、项目管理评价分析、项目产出及效果分析等三个维度实施评价，主要针对项目的目标明确</w:t>
      </w:r>
      <w:r>
        <w:rPr>
          <w:rFonts w:ascii="仿宋_GB2312" w:eastAsia="仿宋_GB2312" w:hAnsi="仿宋" w:hint="eastAsia"/>
          <w:spacing w:val="-4"/>
          <w:sz w:val="32"/>
          <w:szCs w:val="32"/>
        </w:rPr>
        <w:lastRenderedPageBreak/>
        <w:t>性、目标合理性和目标细化程度进行分析、项目资金使用及管理情况、项目组织情况、项目管理情况和项目经济性、效率性和效益性进行分析。</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 xml:space="preserve">2.本项目绩效评价工作共分五个步骤。　　</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 xml:space="preserve">第一阶段，前期准备。主要完成项目实施方案、立项、招标、项目设计等工作。　　</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 xml:space="preserve">第二阶段，项目实施、评审、审计等工作。　　</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 xml:space="preserve">第三阶段，评价实施。主要完成资料的收集、整理，现场分析与绩效评价，形成评估结论、经验教训和建议等工作。　　</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3.数据分析及撰写报告</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2020年3月30日，项目组根据绩效评价的原理和规范，对采集的数据进行处理、分析和评分，并提炼结论撰写报告。</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 xml:space="preserve">第四阶段，报告结果。在完成绩效评价报告编制的基础上，与相关利益者沟通后形成绩效评价终稿的工作。　　</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第五阶段，将绩效评价的经验总结与管理建议推广到相关行业或部门。</w:t>
      </w:r>
      <w:bookmarkStart w:id="5" w:name="_Toc26401558"/>
    </w:p>
    <w:p w:rsidR="001C6016" w:rsidRDefault="00973302">
      <w:pPr>
        <w:pStyle w:val="2"/>
        <w:keepNext w:val="0"/>
        <w:keepLines w:val="0"/>
        <w:numPr>
          <w:ilvl w:val="0"/>
          <w:numId w:val="0"/>
        </w:numPr>
        <w:spacing w:before="0" w:after="0" w:line="560" w:lineRule="exact"/>
        <w:ind w:firstLineChars="200" w:firstLine="643"/>
        <w:outlineLvl w:val="9"/>
        <w:rPr>
          <w:rFonts w:ascii="黑体" w:hAnsi="黑体"/>
        </w:rPr>
      </w:pPr>
      <w:r>
        <w:rPr>
          <w:rFonts w:ascii="黑体" w:hAnsi="黑体" w:hint="eastAsia"/>
        </w:rPr>
        <w:t>三、综合评价情况及评价结论</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经评价组通过实地调研、资料分析等方式，采用问卷调查法对项目的决策、管理、绩效进行的综合评价分析，项目得分为95分，评价结果为优，详见附件4。</w:t>
      </w:r>
    </w:p>
    <w:p w:rsidR="001C6016" w:rsidRDefault="00973302">
      <w:pPr>
        <w:pStyle w:val="12"/>
        <w:numPr>
          <w:ilvl w:val="0"/>
          <w:numId w:val="6"/>
        </w:numPr>
        <w:spacing w:before="0" w:after="0" w:line="560" w:lineRule="exact"/>
        <w:ind w:left="0" w:firstLine="643"/>
      </w:pPr>
      <w:r>
        <w:rPr>
          <w:rFonts w:hint="eastAsia"/>
        </w:rPr>
        <w:t>绩效评价指标分析</w:t>
      </w:r>
      <w:bookmarkEnd w:id="5"/>
    </w:p>
    <w:p w:rsidR="001C6016" w:rsidRDefault="00973302">
      <w:pPr>
        <w:pStyle w:val="11"/>
        <w:numPr>
          <w:ilvl w:val="0"/>
          <w:numId w:val="7"/>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1C6016" w:rsidRDefault="00973302">
      <w:pPr>
        <w:pStyle w:val="ab"/>
        <w:numPr>
          <w:ilvl w:val="0"/>
          <w:numId w:val="8"/>
        </w:numPr>
        <w:spacing w:line="560" w:lineRule="exact"/>
        <w:ind w:firstLine="640"/>
        <w:rPr>
          <w:rFonts w:ascii="仿宋_GB2312" w:hAnsi="仿宋" w:cs="宋体"/>
          <w:sz w:val="32"/>
          <w:szCs w:val="32"/>
        </w:rPr>
      </w:pPr>
      <w:r>
        <w:rPr>
          <w:rFonts w:ascii="仿宋_GB2312" w:hAnsi="仿宋" w:cs="宋体" w:hint="eastAsia"/>
          <w:sz w:val="32"/>
          <w:szCs w:val="32"/>
        </w:rPr>
        <w:t>决策依据</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本项目根据《叶城县涉农整合实施方案》等有关规定立项，</w:t>
      </w:r>
      <w:r>
        <w:rPr>
          <w:rFonts w:ascii="仿宋_GB2312" w:eastAsia="仿宋_GB2312" w:hAnsi="仿宋" w:hint="eastAsia"/>
          <w:spacing w:val="-4"/>
          <w:sz w:val="32"/>
          <w:szCs w:val="32"/>
        </w:rPr>
        <w:lastRenderedPageBreak/>
        <w:t>结合实际促进叶城县贫困户就业增收。项目设立与国家政策和部门职能相符。</w:t>
      </w:r>
    </w:p>
    <w:p w:rsidR="001C6016" w:rsidRDefault="00973302">
      <w:pPr>
        <w:numPr>
          <w:ilvl w:val="0"/>
          <w:numId w:val="8"/>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决策程序</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根据相关通知，此项目负责成员前期研读政策文件、了解类似项目投入使用情况等，并召开工作会议分析讨论，最后确定预算明细及金额，预算编制经过科学论证、有明确标准，资金额度与年度目标是否相适应，与地方实际标准相适应。最后对申报项目进行研讨、分析。故该项目预算前期编制进行了实地调查论证及充分研究，预算编制谨慎。</w:t>
      </w:r>
    </w:p>
    <w:p w:rsidR="001C6016" w:rsidRDefault="00973302">
      <w:pPr>
        <w:numPr>
          <w:ilvl w:val="0"/>
          <w:numId w:val="8"/>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目标设置</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该项目前期项目单位已设置了明确、量化的绩效目标，但其部分绩效指标的设置过于笼统不够细化，经评价小组与叶城县绩效第三方进行咨询商议，将原有的绩效目标和绩效指标根据项目实际开展情况进一步细化，将绩效目标细分，精准设置绩效指标及准确指标值的表述，因此该项目绩效评价指标体系可明确反映项目目标。</w:t>
      </w:r>
    </w:p>
    <w:p w:rsidR="001C6016" w:rsidRDefault="00973302">
      <w:pPr>
        <w:pStyle w:val="11"/>
        <w:numPr>
          <w:ilvl w:val="0"/>
          <w:numId w:val="7"/>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1C6016" w:rsidRDefault="00973302">
      <w:pPr>
        <w:numPr>
          <w:ilvl w:val="0"/>
          <w:numId w:val="9"/>
        </w:num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资金管理</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叶城县扶贫办根据《喀什地区扶贫资金管理办法》进行支付，资金按时到位，到位率100%。项目资金到位保证足额及时，及时支付，坚决保证资金拨付流程合理合规，有完整的审批程序和手续，不存在截留、挤占、挪用、虚列支出等情况。</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（2）组织实施</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1.叶</w:t>
      </w:r>
      <w:r>
        <w:rPr>
          <w:rFonts w:ascii="仿宋_GB2312" w:eastAsia="仿宋_GB2312" w:hAnsi="仿宋" w:hint="eastAsia"/>
          <w:spacing w:val="-4"/>
          <w:sz w:val="32"/>
          <w:szCs w:val="32"/>
        </w:rPr>
        <w:t>城县扶贫办在项目管理上总体情况较好。资金按照规</w:t>
      </w:r>
      <w:r>
        <w:rPr>
          <w:rFonts w:ascii="仿宋_GB2312" w:eastAsia="仿宋_GB2312" w:hAnsi="仿宋" w:hint="eastAsia"/>
          <w:spacing w:val="-4"/>
          <w:sz w:val="32"/>
          <w:szCs w:val="32"/>
        </w:rPr>
        <w:lastRenderedPageBreak/>
        <w:t>定制度及时支付到位。为保证资金的高效、合规使用。</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 xml:space="preserve"> 2.从</w:t>
      </w:r>
      <w:r>
        <w:rPr>
          <w:rFonts w:ascii="仿宋_GB2312" w:eastAsia="仿宋_GB2312" w:hAnsi="仿宋" w:hint="eastAsia"/>
          <w:spacing w:val="-4"/>
          <w:sz w:val="32"/>
          <w:szCs w:val="32"/>
        </w:rPr>
        <w:t>制度建设看：财务和业务管理制度合法、合规、完整。项目实施遵守相关法律法规和相关管理规定。</w:t>
      </w:r>
    </w:p>
    <w:p w:rsidR="001C6016" w:rsidRDefault="00973302">
      <w:pPr>
        <w:spacing w:line="560" w:lineRule="exact"/>
        <w:ind w:firstLineChars="200" w:firstLine="640"/>
        <w:rPr>
          <w:rFonts w:ascii="仿宋_GB2312" w:eastAsia="仿宋_GB2312" w:hAnsi="仿宋" w:cs="宋体"/>
          <w:b/>
          <w:bCs/>
          <w:sz w:val="32"/>
          <w:szCs w:val="32"/>
        </w:rPr>
      </w:pPr>
      <w:r>
        <w:rPr>
          <w:rFonts w:ascii="仿宋_GB2312" w:eastAsia="仿宋_GB2312" w:hAnsi="仿宋" w:cs="宋体" w:hint="eastAsia"/>
          <w:sz w:val="32"/>
          <w:szCs w:val="32"/>
        </w:rPr>
        <w:t>3.从</w:t>
      </w:r>
      <w:r>
        <w:rPr>
          <w:rFonts w:ascii="仿宋_GB2312" w:eastAsia="仿宋_GB2312" w:hAnsi="仿宋" w:hint="eastAsia"/>
          <w:spacing w:val="-4"/>
          <w:sz w:val="32"/>
          <w:szCs w:val="32"/>
        </w:rPr>
        <w:t>过程控制部分看：严格按照资金支出的管理办法，对审批过程和流程进行了统一和规范，确保项目高质量完成。</w:t>
      </w:r>
    </w:p>
    <w:p w:rsidR="001C6016" w:rsidRDefault="00973302">
      <w:pPr>
        <w:pStyle w:val="11"/>
        <w:numPr>
          <w:ilvl w:val="0"/>
          <w:numId w:val="7"/>
        </w:numPr>
        <w:spacing w:line="56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新建、完善核桃加工厂21座已全部完工，质量验收合格率达到100%，资金拨付及时率达到100%。该项目产出指标如下：</w:t>
      </w:r>
    </w:p>
    <w:tbl>
      <w:tblPr>
        <w:tblW w:w="7200" w:type="dxa"/>
        <w:tblLayout w:type="fixed"/>
        <w:tblCellMar>
          <w:left w:w="0" w:type="dxa"/>
          <w:right w:w="0" w:type="dxa"/>
        </w:tblCellMar>
        <w:tblLook w:val="04A0"/>
      </w:tblPr>
      <w:tblGrid>
        <w:gridCol w:w="1080"/>
        <w:gridCol w:w="915"/>
        <w:gridCol w:w="2880"/>
        <w:gridCol w:w="1215"/>
        <w:gridCol w:w="1110"/>
      </w:tblGrid>
      <w:tr w:rsidR="001C6016">
        <w:trPr>
          <w:trHeight w:val="499"/>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121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1C6016">
        <w:trPr>
          <w:trHeight w:val="499"/>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产出指标</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数量指标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新建、完善核桃加工厂（座）</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21</w:t>
            </w:r>
          </w:p>
        </w:tc>
      </w:tr>
      <w:tr w:rsidR="001C6016">
        <w:trPr>
          <w:trHeight w:val="4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center"/>
              <w:rPr>
                <w:rFonts w:ascii="宋体" w:eastAsia="宋体" w:hAnsi="宋体" w:cs="宋体"/>
                <w:color w:val="000000"/>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质量验收合格率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1C6016">
        <w:trPr>
          <w:trHeight w:val="4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center"/>
              <w:rPr>
                <w:rFonts w:ascii="宋体" w:eastAsia="宋体" w:hAnsi="宋体" w:cs="宋体"/>
                <w:color w:val="000000"/>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时效指标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资金拨付及时率</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r>
      <w:tr w:rsidR="001C6016">
        <w:trPr>
          <w:trHeight w:val="4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center"/>
              <w:rPr>
                <w:rFonts w:ascii="宋体" w:eastAsia="宋体" w:hAnsi="宋体" w:cs="宋体"/>
                <w:color w:val="000000"/>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成本指标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每座核桃加工厂投资（万元）</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35.79</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35.79</w:t>
            </w:r>
          </w:p>
        </w:tc>
      </w:tr>
    </w:tbl>
    <w:p w:rsidR="001C6016" w:rsidRDefault="001C6016">
      <w:pPr>
        <w:adjustRightInd w:val="0"/>
        <w:snapToGrid w:val="0"/>
        <w:spacing w:line="560" w:lineRule="exact"/>
        <w:ind w:firstLineChars="200" w:firstLine="624"/>
        <w:rPr>
          <w:rFonts w:ascii="仿宋_GB2312" w:eastAsia="仿宋_GB2312" w:hAnsi="仿宋"/>
          <w:spacing w:val="-4"/>
          <w:sz w:val="32"/>
          <w:szCs w:val="32"/>
        </w:rPr>
      </w:pPr>
    </w:p>
    <w:p w:rsidR="001C6016" w:rsidRDefault="00973302">
      <w:pPr>
        <w:pStyle w:val="11"/>
        <w:numPr>
          <w:ilvl w:val="0"/>
          <w:numId w:val="7"/>
        </w:numPr>
        <w:spacing w:line="560" w:lineRule="exact"/>
        <w:ind w:left="0" w:firstLine="643"/>
        <w:rPr>
          <w:rFonts w:ascii="仿宋_GB2312" w:eastAsia="仿宋_GB2312" w:hAnsi="仿宋"/>
          <w:b/>
          <w:bCs/>
          <w:spacing w:val="-4"/>
          <w:sz w:val="32"/>
          <w:szCs w:val="32"/>
        </w:rPr>
      </w:pPr>
      <w:r>
        <w:rPr>
          <w:rFonts w:ascii="仿宋_GB2312" w:eastAsia="仿宋_GB2312" w:hAnsi="仿宋" w:cs="宋体" w:hint="eastAsia"/>
          <w:b/>
          <w:bCs/>
          <w:sz w:val="32"/>
          <w:szCs w:val="32"/>
        </w:rPr>
        <w:t>项目效益情况</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项目实施后建档立卡贫困户受益人数达到69624人，带动增加贫困人口全年总收入728.19万元。彻底改善人居，转变农民生活方式，提高农民生活质量，促进文明住行的重要抓手。是解决新农村建设“只见新房，不见新村”问题的根据途径。经问卷调查，项目受益群众满意度为90%，达到了预期目标。</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每个增加就业45人、人均年收入增加10000元，预计可持续使用15年，并且经问卷调查，项目受益群众满意度达到95%，均达到了预期目标。</w:t>
      </w:r>
    </w:p>
    <w:tbl>
      <w:tblPr>
        <w:tblW w:w="7200" w:type="dxa"/>
        <w:tblLayout w:type="fixed"/>
        <w:tblCellMar>
          <w:left w:w="0" w:type="dxa"/>
          <w:right w:w="0" w:type="dxa"/>
        </w:tblCellMar>
        <w:tblLook w:val="04A0"/>
      </w:tblPr>
      <w:tblGrid>
        <w:gridCol w:w="1080"/>
        <w:gridCol w:w="915"/>
        <w:gridCol w:w="2880"/>
        <w:gridCol w:w="1215"/>
        <w:gridCol w:w="1110"/>
      </w:tblGrid>
      <w:tr w:rsidR="001C6016">
        <w:trPr>
          <w:trHeight w:val="499"/>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一级指标</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121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年度指标值</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r>
      <w:tr w:rsidR="001C6016">
        <w:trPr>
          <w:trHeight w:val="499"/>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效益指标</w:t>
            </w:r>
          </w:p>
        </w:tc>
        <w:tc>
          <w:tcPr>
            <w:tcW w:w="91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经济效益指标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就业的贫困人口人均年收入（元）</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10000</w:t>
            </w:r>
          </w:p>
        </w:tc>
      </w:tr>
      <w:tr w:rsidR="001C6016">
        <w:trPr>
          <w:trHeight w:val="4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center"/>
              <w:rPr>
                <w:rFonts w:ascii="宋体" w:eastAsia="宋体" w:hAnsi="宋体" w:cs="宋体"/>
                <w:color w:val="000000"/>
                <w:sz w:val="18"/>
                <w:szCs w:val="18"/>
              </w:rPr>
            </w:pPr>
          </w:p>
        </w:tc>
        <w:tc>
          <w:tcPr>
            <w:tcW w:w="91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社会效益指标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每个增加就业人数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45</w:t>
            </w:r>
          </w:p>
        </w:tc>
      </w:tr>
      <w:tr w:rsidR="001C6016">
        <w:trPr>
          <w:trHeight w:val="4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center"/>
              <w:rPr>
                <w:rFonts w:ascii="宋体" w:eastAsia="宋体" w:hAnsi="宋体" w:cs="宋体"/>
                <w:color w:val="000000"/>
                <w:sz w:val="18"/>
                <w:szCs w:val="18"/>
              </w:rPr>
            </w:pPr>
          </w:p>
        </w:tc>
        <w:tc>
          <w:tcPr>
            <w:tcW w:w="91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生态效益指标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left"/>
              <w:rPr>
                <w:rFonts w:ascii="宋体" w:eastAsia="宋体" w:hAnsi="宋体" w:cs="宋体"/>
                <w:color w:val="000000"/>
                <w:sz w:val="18"/>
                <w:szCs w:val="18"/>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center"/>
              <w:rPr>
                <w:rFonts w:ascii="宋体" w:eastAsia="宋体" w:hAnsi="宋体" w:cs="宋体"/>
                <w:color w:val="000000"/>
                <w:sz w:val="18"/>
                <w:szCs w:val="18"/>
              </w:rPr>
            </w:pP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center"/>
              <w:rPr>
                <w:rFonts w:ascii="宋体" w:eastAsia="宋体" w:hAnsi="宋体" w:cs="宋体"/>
                <w:color w:val="000000"/>
                <w:sz w:val="18"/>
                <w:szCs w:val="18"/>
              </w:rPr>
            </w:pPr>
          </w:p>
        </w:tc>
      </w:tr>
      <w:tr w:rsidR="001C6016">
        <w:trPr>
          <w:trHeight w:val="499"/>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1C6016">
            <w:pPr>
              <w:jc w:val="center"/>
              <w:rPr>
                <w:rFonts w:ascii="宋体" w:eastAsia="宋体" w:hAnsi="宋体" w:cs="宋体"/>
                <w:color w:val="000000"/>
                <w:sz w:val="18"/>
                <w:szCs w:val="18"/>
              </w:rPr>
            </w:pP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可持续影响指标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可使用年限（年）</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r>
      <w:tr w:rsidR="001C6016">
        <w:trPr>
          <w:trHeight w:val="499"/>
        </w:trPr>
        <w:tc>
          <w:tcPr>
            <w:tcW w:w="10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满意度指标</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服务对象满意度指标</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受益贫困户对满意度</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bookmarkStart w:id="6" w:name="_GoBack"/>
            <w:bookmarkEnd w:id="6"/>
            <w:r>
              <w:rPr>
                <w:rFonts w:ascii="宋体" w:eastAsia="宋体" w:hAnsi="宋体" w:cs="宋体" w:hint="eastAsia"/>
                <w:color w:val="000000"/>
                <w:kern w:val="0"/>
                <w:sz w:val="18"/>
                <w:szCs w:val="18"/>
              </w:rPr>
              <w:t>95%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C6016" w:rsidRDefault="0097330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90%</w:t>
            </w:r>
          </w:p>
        </w:tc>
      </w:tr>
    </w:tbl>
    <w:p w:rsidR="001C6016" w:rsidRDefault="001C6016">
      <w:pPr>
        <w:adjustRightInd w:val="0"/>
        <w:snapToGrid w:val="0"/>
        <w:spacing w:line="560" w:lineRule="exact"/>
        <w:rPr>
          <w:rFonts w:ascii="仿宋_GB2312" w:eastAsia="仿宋_GB2312" w:hAnsi="仿宋"/>
          <w:spacing w:val="-4"/>
          <w:sz w:val="32"/>
          <w:szCs w:val="32"/>
        </w:rPr>
      </w:pPr>
    </w:p>
    <w:p w:rsidR="001C6016" w:rsidRDefault="00973302">
      <w:pPr>
        <w:pStyle w:val="12"/>
        <w:spacing w:before="0" w:after="0" w:line="560" w:lineRule="exact"/>
        <w:ind w:firstLine="643"/>
      </w:pPr>
      <w:r>
        <w:rPr>
          <w:rFonts w:ascii="黑体" w:hAnsi="黑体" w:hint="eastAsia"/>
        </w:rPr>
        <w:t>五、主要经验及做法、存在的问题及原因分析</w:t>
      </w:r>
    </w:p>
    <w:p w:rsidR="001C6016" w:rsidRDefault="00973302">
      <w:pPr>
        <w:pStyle w:val="2"/>
        <w:numPr>
          <w:ilvl w:val="0"/>
          <w:numId w:val="10"/>
        </w:numPr>
        <w:spacing w:before="0" w:after="0" w:line="560" w:lineRule="exact"/>
        <w:ind w:left="0" w:firstLineChars="200" w:firstLine="643"/>
      </w:pPr>
      <w:r>
        <w:rPr>
          <w:rFonts w:hint="eastAsia"/>
        </w:rPr>
        <w:t>主要经验及做法</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一是严格项目建设管理。自治区财政厅下拨项目资金后，我单位严格按照实施方案要求尽快实施项目，项目物资按照补助的原则实施，安排专人跟踪服务指导项目落实。</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二是加强项目监督管理。要依据确定的实施方案尽快开展项目实施，项目资金不得用于修建道路、楼堂馆所等。县扶贫办、财政部门要定期对项目实施情况进行监督检查，跟踪问效，并定期上报项目实施情况。</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三是强化项目绩效管理。要确保项目建成后成效、有亮点，能起到引领示范作用，要注重梳理总结，提出一些好经验、好做法，形成一种新的发展模式便于今后推广。同时，要组织做好项目绩效考核工作。</w:t>
      </w:r>
    </w:p>
    <w:p w:rsidR="001C6016" w:rsidRDefault="00973302">
      <w:pPr>
        <w:pStyle w:val="2"/>
        <w:numPr>
          <w:ilvl w:val="0"/>
          <w:numId w:val="10"/>
        </w:numPr>
        <w:spacing w:before="0" w:after="0" w:line="560" w:lineRule="exact"/>
        <w:ind w:left="0" w:firstLineChars="200" w:firstLine="643"/>
        <w:rPr>
          <w:rFonts w:hAnsi="仿宋"/>
          <w:spacing w:val="-4"/>
        </w:rPr>
      </w:pPr>
      <w:r>
        <w:rPr>
          <w:rFonts w:hint="eastAsia"/>
        </w:rPr>
        <w:t>存在的问题及原因分析</w:t>
      </w:r>
    </w:p>
    <w:p w:rsidR="001C6016" w:rsidRDefault="00973302">
      <w:pPr>
        <w:adjustRightInd w:val="0"/>
        <w:snapToGrid w:val="0"/>
        <w:spacing w:line="560" w:lineRule="exact"/>
        <w:ind w:firstLineChars="200" w:firstLine="624"/>
        <w:rPr>
          <w:rFonts w:ascii="仿宋_GB2312" w:eastAsia="仿宋_GB2312" w:hAnsi="仿宋"/>
          <w:bCs/>
          <w:spacing w:val="-4"/>
          <w:sz w:val="32"/>
          <w:szCs w:val="32"/>
        </w:rPr>
      </w:pPr>
      <w:r>
        <w:rPr>
          <w:rFonts w:ascii="仿宋_GB2312" w:eastAsia="仿宋_GB2312" w:hAnsi="仿宋" w:hint="eastAsia"/>
          <w:spacing w:val="-4"/>
          <w:sz w:val="32"/>
          <w:szCs w:val="32"/>
        </w:rPr>
        <w:t xml:space="preserve"> 通过预算绩效管理，发现了工作中存在的不足，资金使用因项目实施点多、面广、间隔时间长等原因，导致了资金滞缓，影响了项目的进度，造成了部分资金的浪费。</w:t>
      </w:r>
    </w:p>
    <w:p w:rsidR="001C6016" w:rsidRDefault="00973302">
      <w:pPr>
        <w:pStyle w:val="12"/>
        <w:spacing w:before="0" w:after="0" w:line="560" w:lineRule="exact"/>
        <w:ind w:firstLine="643"/>
        <w:rPr>
          <w:rFonts w:ascii="仿宋_GB2312" w:eastAsia="仿宋_GB2312" w:hAnsi="仿宋"/>
          <w:spacing w:val="-4"/>
        </w:rPr>
      </w:pPr>
      <w:r>
        <w:rPr>
          <w:rFonts w:ascii="黑体" w:hAnsi="黑体" w:hint="eastAsia"/>
        </w:rPr>
        <w:lastRenderedPageBreak/>
        <w:t>六、有关建议</w:t>
      </w:r>
    </w:p>
    <w:p w:rsidR="001C6016" w:rsidRDefault="00973302">
      <w:pPr>
        <w:adjustRightInd w:val="0"/>
        <w:snapToGrid w:val="0"/>
        <w:spacing w:line="560" w:lineRule="exact"/>
        <w:ind w:firstLineChars="200" w:firstLine="624"/>
        <w:rPr>
          <w:rFonts w:ascii="仿宋_GB2312" w:eastAsia="仿宋_GB2312" w:hAnsi="仿宋"/>
          <w:spacing w:val="-4"/>
          <w:sz w:val="32"/>
          <w:szCs w:val="32"/>
        </w:rPr>
      </w:pPr>
      <w:r>
        <w:rPr>
          <w:rFonts w:ascii="仿宋_GB2312" w:eastAsia="仿宋_GB2312" w:hAnsi="仿宋" w:hint="eastAsia"/>
          <w:spacing w:val="-4"/>
          <w:sz w:val="32"/>
          <w:szCs w:val="32"/>
        </w:rPr>
        <w:t xml:space="preserve"> 按照项目进度及时拨付资金，使资金使用效益最大化，减少不必要的浪费，节约成本。</w:t>
      </w:r>
    </w:p>
    <w:p w:rsidR="001C6016" w:rsidRDefault="00973302">
      <w:pPr>
        <w:pStyle w:val="12"/>
        <w:spacing w:before="0" w:after="0" w:line="560" w:lineRule="exact"/>
        <w:ind w:firstLine="643"/>
        <w:rPr>
          <w:rFonts w:ascii="黑体" w:hAnsi="黑体"/>
        </w:rPr>
      </w:pPr>
      <w:r>
        <w:rPr>
          <w:rFonts w:ascii="黑体" w:hAnsi="黑体" w:hint="eastAsia"/>
        </w:rPr>
        <w:t>七、其他需要说明的问题</w:t>
      </w:r>
    </w:p>
    <w:p w:rsidR="001C6016" w:rsidRDefault="00973302">
      <w:pPr>
        <w:adjustRightInd w:val="0"/>
        <w:snapToGrid w:val="0"/>
        <w:spacing w:line="560" w:lineRule="exact"/>
        <w:ind w:firstLineChars="200" w:firstLine="624"/>
        <w:rPr>
          <w:rFonts w:ascii="仿宋_GB2312" w:eastAsia="仿宋_GB2312" w:hAnsi="仿宋" w:cs="宋体"/>
          <w:sz w:val="32"/>
          <w:szCs w:val="32"/>
        </w:rPr>
      </w:pPr>
      <w:r>
        <w:rPr>
          <w:rFonts w:ascii="仿宋_GB2312" w:eastAsia="仿宋_GB2312" w:hAnsi="仿宋" w:hint="eastAsia"/>
          <w:spacing w:val="-4"/>
          <w:sz w:val="32"/>
          <w:szCs w:val="32"/>
        </w:rPr>
        <w:t>无其他说明内容。</w:t>
      </w:r>
    </w:p>
    <w:p w:rsidR="001C6016" w:rsidRDefault="001C6016">
      <w:pPr>
        <w:spacing w:line="560" w:lineRule="exact"/>
        <w:ind w:firstLineChars="200" w:firstLine="640"/>
        <w:rPr>
          <w:rFonts w:ascii="仿宋_GB2312" w:eastAsia="仿宋_GB2312" w:hAnsi="仿宋" w:cs="宋体"/>
          <w:sz w:val="32"/>
          <w:szCs w:val="32"/>
        </w:rPr>
      </w:pPr>
    </w:p>
    <w:p w:rsidR="001C6016" w:rsidRDefault="001C6016">
      <w:pPr>
        <w:spacing w:line="560" w:lineRule="exact"/>
        <w:ind w:firstLineChars="200" w:firstLine="640"/>
        <w:rPr>
          <w:rFonts w:ascii="仿宋_GB2312" w:eastAsia="仿宋_GB2312" w:hAnsi="仿宋" w:cs="宋体"/>
          <w:sz w:val="32"/>
          <w:szCs w:val="32"/>
        </w:rPr>
      </w:pP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附件1：喀什地区叶城县农机局配套项目支出绩效目标申报表</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附件2：喀什地区叶城县农机局配套项目支出绩效自评表</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附件3：喀什地区叶城县农机局配套项目支出绩效评价指标体系</w:t>
      </w:r>
    </w:p>
    <w:p w:rsidR="001C6016" w:rsidRDefault="00973302">
      <w:pPr>
        <w:spacing w:line="56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附件4：喀什地区部门支出绩效评价评分表</w:t>
      </w:r>
    </w:p>
    <w:sectPr w:rsidR="001C6016" w:rsidSect="001C6016">
      <w:footerReference w:type="default" r:id="rId9"/>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D23" w:rsidRDefault="00A07D23" w:rsidP="001C6016">
      <w:r>
        <w:separator/>
      </w:r>
    </w:p>
  </w:endnote>
  <w:endnote w:type="continuationSeparator" w:id="1">
    <w:p w:rsidR="00A07D23" w:rsidRDefault="00A07D23" w:rsidP="001C60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00000000" w:usb1="00000000"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016" w:rsidRDefault="001C6016">
    <w:pPr>
      <w:pStyle w:val="a5"/>
      <w:jc w:val="center"/>
    </w:pPr>
  </w:p>
  <w:p w:rsidR="001C6016" w:rsidRDefault="001C601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D23" w:rsidRDefault="00A07D23" w:rsidP="001C6016">
      <w:r>
        <w:separator/>
      </w:r>
    </w:p>
  </w:footnote>
  <w:footnote w:type="continuationSeparator" w:id="1">
    <w:p w:rsidR="00A07D23" w:rsidRDefault="00A07D23" w:rsidP="001C60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0F8EBA"/>
    <w:multiLevelType w:val="singleLevel"/>
    <w:tmpl w:val="9A0F8EBA"/>
    <w:lvl w:ilvl="0">
      <w:start w:val="1"/>
      <w:numFmt w:val="decimal"/>
      <w:suff w:val="nothing"/>
      <w:lvlText w:val="（%1）"/>
      <w:lvlJc w:val="left"/>
    </w:lvl>
  </w:abstractNum>
  <w:abstractNum w:abstractNumId="1">
    <w:nsid w:val="F5D7B307"/>
    <w:multiLevelType w:val="singleLevel"/>
    <w:tmpl w:val="F5D7B307"/>
    <w:lvl w:ilvl="0">
      <w:start w:val="1"/>
      <w:numFmt w:val="decimal"/>
      <w:suff w:val="nothing"/>
      <w:lvlText w:val="（%1）"/>
      <w:lvlJc w:val="left"/>
    </w:lvl>
  </w:abstractNum>
  <w:abstractNum w:abstractNumId="2">
    <w:nsid w:val="20AD4334"/>
    <w:multiLevelType w:val="multilevel"/>
    <w:tmpl w:val="20AD4334"/>
    <w:lvl w:ilvl="0">
      <w:start w:val="4"/>
      <w:numFmt w:val="japaneseCounting"/>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3">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4">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7">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8">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4"/>
  </w:num>
  <w:num w:numId="2">
    <w:abstractNumId w:val="8"/>
  </w:num>
  <w:num w:numId="3">
    <w:abstractNumId w:val="6"/>
  </w:num>
  <w:num w:numId="4">
    <w:abstractNumId w:val="5"/>
  </w:num>
  <w:num w:numId="5">
    <w:abstractNumId w:val="3"/>
  </w:num>
  <w:num w:numId="6">
    <w:abstractNumId w:val="2"/>
  </w:num>
  <w:num w:numId="7">
    <w:abstractNumId w:val="7"/>
  </w:num>
  <w:num w:numId="8">
    <w:abstractNumId w:val="0"/>
  </w:num>
  <w:num w:numId="9">
    <w:abstractNumId w:val="1"/>
  </w:num>
  <w:num w:numId="10">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0"/>
  <w:drawingGridHorizontalSpacing w:val="210"/>
  <w:drawingGridVerticalSpacing w:val="158"/>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75715"/>
    <w:rsid w:val="00001500"/>
    <w:rsid w:val="000155D1"/>
    <w:rsid w:val="00022413"/>
    <w:rsid w:val="00035177"/>
    <w:rsid w:val="00037F93"/>
    <w:rsid w:val="00042126"/>
    <w:rsid w:val="000B431E"/>
    <w:rsid w:val="000D1F16"/>
    <w:rsid w:val="000E0C7B"/>
    <w:rsid w:val="000F2007"/>
    <w:rsid w:val="00100A64"/>
    <w:rsid w:val="00100AA9"/>
    <w:rsid w:val="001143D6"/>
    <w:rsid w:val="00122B85"/>
    <w:rsid w:val="0012798F"/>
    <w:rsid w:val="00132553"/>
    <w:rsid w:val="00151AF1"/>
    <w:rsid w:val="00174F3A"/>
    <w:rsid w:val="0018169D"/>
    <w:rsid w:val="00193649"/>
    <w:rsid w:val="0019720C"/>
    <w:rsid w:val="001A1902"/>
    <w:rsid w:val="001A4FFA"/>
    <w:rsid w:val="001B5B44"/>
    <w:rsid w:val="001C6016"/>
    <w:rsid w:val="001D5FF2"/>
    <w:rsid w:val="001D6F2E"/>
    <w:rsid w:val="001F16D9"/>
    <w:rsid w:val="001F1FB3"/>
    <w:rsid w:val="00203FB6"/>
    <w:rsid w:val="00233ECE"/>
    <w:rsid w:val="002A1BF4"/>
    <w:rsid w:val="002B3A72"/>
    <w:rsid w:val="002C6231"/>
    <w:rsid w:val="002F5FF2"/>
    <w:rsid w:val="002F7CDC"/>
    <w:rsid w:val="00324E56"/>
    <w:rsid w:val="00331AF1"/>
    <w:rsid w:val="00345D67"/>
    <w:rsid w:val="003468D7"/>
    <w:rsid w:val="00363E52"/>
    <w:rsid w:val="0037242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C63D0"/>
    <w:rsid w:val="008D7BC7"/>
    <w:rsid w:val="0090104C"/>
    <w:rsid w:val="00973302"/>
    <w:rsid w:val="00982B10"/>
    <w:rsid w:val="009C0267"/>
    <w:rsid w:val="009E5354"/>
    <w:rsid w:val="00A07D23"/>
    <w:rsid w:val="00A10F1E"/>
    <w:rsid w:val="00A12A0C"/>
    <w:rsid w:val="00A365D5"/>
    <w:rsid w:val="00A41DB8"/>
    <w:rsid w:val="00A43094"/>
    <w:rsid w:val="00A53361"/>
    <w:rsid w:val="00A5786D"/>
    <w:rsid w:val="00A60191"/>
    <w:rsid w:val="00A81609"/>
    <w:rsid w:val="00A85237"/>
    <w:rsid w:val="00AB07C5"/>
    <w:rsid w:val="00AB50AC"/>
    <w:rsid w:val="00AE1FDF"/>
    <w:rsid w:val="00AE3042"/>
    <w:rsid w:val="00B03B29"/>
    <w:rsid w:val="00B10991"/>
    <w:rsid w:val="00B16C8F"/>
    <w:rsid w:val="00B32FA4"/>
    <w:rsid w:val="00B36F46"/>
    <w:rsid w:val="00B456F6"/>
    <w:rsid w:val="00B47B13"/>
    <w:rsid w:val="00B53BE4"/>
    <w:rsid w:val="00B6063F"/>
    <w:rsid w:val="00B9042A"/>
    <w:rsid w:val="00BA0855"/>
    <w:rsid w:val="00BA65AD"/>
    <w:rsid w:val="00BC7696"/>
    <w:rsid w:val="00C2671D"/>
    <w:rsid w:val="00C563AA"/>
    <w:rsid w:val="00C67A95"/>
    <w:rsid w:val="00C71FF0"/>
    <w:rsid w:val="00C77259"/>
    <w:rsid w:val="00C84424"/>
    <w:rsid w:val="00C97E2D"/>
    <w:rsid w:val="00D043D7"/>
    <w:rsid w:val="00D117FB"/>
    <w:rsid w:val="00D23C2E"/>
    <w:rsid w:val="00D47610"/>
    <w:rsid w:val="00D61EC8"/>
    <w:rsid w:val="00D93516"/>
    <w:rsid w:val="00DA7F4C"/>
    <w:rsid w:val="00DC5F94"/>
    <w:rsid w:val="00DE152F"/>
    <w:rsid w:val="00DE293B"/>
    <w:rsid w:val="00E05626"/>
    <w:rsid w:val="00E25B2F"/>
    <w:rsid w:val="00E373A5"/>
    <w:rsid w:val="00E66A4D"/>
    <w:rsid w:val="00E72B1C"/>
    <w:rsid w:val="00E96169"/>
    <w:rsid w:val="00F04B7B"/>
    <w:rsid w:val="00F0780F"/>
    <w:rsid w:val="00F16D54"/>
    <w:rsid w:val="00F6015C"/>
    <w:rsid w:val="00F75715"/>
    <w:rsid w:val="00F80250"/>
    <w:rsid w:val="00FB2E2F"/>
    <w:rsid w:val="00FD300A"/>
    <w:rsid w:val="00FF137F"/>
    <w:rsid w:val="00FF6959"/>
    <w:rsid w:val="00FF6C14"/>
    <w:rsid w:val="01BE6316"/>
    <w:rsid w:val="053F5C69"/>
    <w:rsid w:val="07AE4845"/>
    <w:rsid w:val="17E8735B"/>
    <w:rsid w:val="217F35A7"/>
    <w:rsid w:val="24E73B1F"/>
    <w:rsid w:val="26F03C06"/>
    <w:rsid w:val="2A547683"/>
    <w:rsid w:val="306A4501"/>
    <w:rsid w:val="31C366C0"/>
    <w:rsid w:val="33CA34B6"/>
    <w:rsid w:val="3BC01B4C"/>
    <w:rsid w:val="41AB111C"/>
    <w:rsid w:val="46C16BC4"/>
    <w:rsid w:val="509F44DE"/>
    <w:rsid w:val="55945462"/>
    <w:rsid w:val="57964064"/>
    <w:rsid w:val="5A781A20"/>
    <w:rsid w:val="667765BF"/>
    <w:rsid w:val="68AC0EA3"/>
    <w:rsid w:val="6A5A3351"/>
    <w:rsid w:val="6F046C9E"/>
    <w:rsid w:val="76CF7FCF"/>
    <w:rsid w:val="7775238E"/>
    <w:rsid w:val="7A8638D9"/>
    <w:rsid w:val="7EE411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016"/>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1C6016"/>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1C601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1C601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rsid w:val="001C6016"/>
    <w:pPr>
      <w:jc w:val="left"/>
    </w:pPr>
  </w:style>
  <w:style w:type="paragraph" w:styleId="30">
    <w:name w:val="toc 3"/>
    <w:basedOn w:val="a"/>
    <w:next w:val="a"/>
    <w:uiPriority w:val="39"/>
    <w:unhideWhenUsed/>
    <w:qFormat/>
    <w:rsid w:val="001C6016"/>
    <w:rPr>
      <w:rFonts w:eastAsia="仿宋_GB2312"/>
      <w:sz w:val="28"/>
    </w:rPr>
  </w:style>
  <w:style w:type="paragraph" w:styleId="a4">
    <w:name w:val="Balloon Text"/>
    <w:basedOn w:val="a"/>
    <w:link w:val="Char"/>
    <w:uiPriority w:val="99"/>
    <w:unhideWhenUsed/>
    <w:qFormat/>
    <w:rsid w:val="001C6016"/>
    <w:rPr>
      <w:sz w:val="18"/>
      <w:szCs w:val="18"/>
    </w:rPr>
  </w:style>
  <w:style w:type="paragraph" w:styleId="a5">
    <w:name w:val="footer"/>
    <w:basedOn w:val="a"/>
    <w:link w:val="Char0"/>
    <w:uiPriority w:val="99"/>
    <w:unhideWhenUsed/>
    <w:qFormat/>
    <w:rsid w:val="001C6016"/>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1C6016"/>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1C6016"/>
    <w:rPr>
      <w:rFonts w:eastAsia="仿宋_GB2312"/>
      <w:sz w:val="28"/>
    </w:rPr>
  </w:style>
  <w:style w:type="paragraph" w:styleId="21">
    <w:name w:val="toc 2"/>
    <w:basedOn w:val="a"/>
    <w:next w:val="a"/>
    <w:uiPriority w:val="39"/>
    <w:unhideWhenUsed/>
    <w:qFormat/>
    <w:rsid w:val="001C6016"/>
    <w:rPr>
      <w:rFonts w:eastAsia="仿宋_GB2312"/>
      <w:sz w:val="28"/>
    </w:rPr>
  </w:style>
  <w:style w:type="paragraph" w:styleId="a7">
    <w:name w:val="Normal (Web)"/>
    <w:basedOn w:val="a"/>
    <w:uiPriority w:val="99"/>
    <w:unhideWhenUsed/>
    <w:qFormat/>
    <w:rsid w:val="001C6016"/>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39"/>
    <w:qFormat/>
    <w:rsid w:val="001C60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1C6016"/>
    <w:rPr>
      <w:rFonts w:cs="Times New Roman"/>
      <w:b/>
      <w:bCs/>
    </w:rPr>
  </w:style>
  <w:style w:type="character" w:styleId="aa">
    <w:name w:val="Hyperlink"/>
    <w:basedOn w:val="a0"/>
    <w:uiPriority w:val="99"/>
    <w:unhideWhenUsed/>
    <w:qFormat/>
    <w:rsid w:val="001C6016"/>
    <w:rPr>
      <w:color w:val="0563C1" w:themeColor="hyperlink"/>
      <w:u w:val="single"/>
    </w:rPr>
  </w:style>
  <w:style w:type="character" w:customStyle="1" w:styleId="1Char">
    <w:name w:val="标题 1 Char"/>
    <w:basedOn w:val="a0"/>
    <w:link w:val="1"/>
    <w:uiPriority w:val="9"/>
    <w:qFormat/>
    <w:rsid w:val="001C6016"/>
    <w:rPr>
      <w:rFonts w:ascii="Times New Roman" w:eastAsia="黑体" w:hAnsi="Times New Roman" w:cs="Arial"/>
      <w:b/>
      <w:bCs/>
      <w:kern w:val="44"/>
      <w:sz w:val="28"/>
      <w:szCs w:val="44"/>
    </w:rPr>
  </w:style>
  <w:style w:type="paragraph" w:customStyle="1" w:styleId="11">
    <w:name w:val="列出段落1"/>
    <w:basedOn w:val="a"/>
    <w:uiPriority w:val="34"/>
    <w:qFormat/>
    <w:rsid w:val="001C6016"/>
    <w:pPr>
      <w:ind w:firstLineChars="200" w:firstLine="420"/>
    </w:pPr>
  </w:style>
  <w:style w:type="character" w:customStyle="1" w:styleId="Char1">
    <w:name w:val="页眉 Char"/>
    <w:basedOn w:val="a0"/>
    <w:link w:val="a6"/>
    <w:uiPriority w:val="99"/>
    <w:qFormat/>
    <w:rsid w:val="001C6016"/>
    <w:rPr>
      <w:sz w:val="18"/>
      <w:szCs w:val="18"/>
    </w:rPr>
  </w:style>
  <w:style w:type="character" w:customStyle="1" w:styleId="Char0">
    <w:name w:val="页脚 Char"/>
    <w:basedOn w:val="a0"/>
    <w:link w:val="a5"/>
    <w:uiPriority w:val="99"/>
    <w:qFormat/>
    <w:rsid w:val="001C6016"/>
    <w:rPr>
      <w:sz w:val="18"/>
      <w:szCs w:val="18"/>
    </w:rPr>
  </w:style>
  <w:style w:type="character" w:customStyle="1" w:styleId="Char">
    <w:name w:val="批注框文本 Char"/>
    <w:basedOn w:val="a0"/>
    <w:link w:val="a4"/>
    <w:uiPriority w:val="99"/>
    <w:semiHidden/>
    <w:qFormat/>
    <w:rsid w:val="001C6016"/>
    <w:rPr>
      <w:sz w:val="18"/>
      <w:szCs w:val="18"/>
    </w:rPr>
  </w:style>
  <w:style w:type="paragraph" w:customStyle="1" w:styleId="12">
    <w:name w:val="标题1"/>
    <w:basedOn w:val="1"/>
    <w:qFormat/>
    <w:rsid w:val="001C6016"/>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1C6016"/>
    <w:rPr>
      <w:rFonts w:asciiTheme="majorHAnsi" w:eastAsiaTheme="majorEastAsia" w:hAnsiTheme="majorHAnsi" w:cstheme="majorBidi"/>
      <w:b/>
      <w:bCs/>
      <w:sz w:val="32"/>
      <w:szCs w:val="32"/>
    </w:rPr>
  </w:style>
  <w:style w:type="paragraph" w:customStyle="1" w:styleId="2">
    <w:name w:val="标题2"/>
    <w:basedOn w:val="20"/>
    <w:qFormat/>
    <w:rsid w:val="001C6016"/>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1C6016"/>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sid w:val="001C6016"/>
    <w:rPr>
      <w:rFonts w:ascii="Times New Roman" w:eastAsia="仿宋_GB2312" w:hAnsi="Times New Roman" w:cs="Times New Roman"/>
      <w:sz w:val="28"/>
      <w:szCs w:val="28"/>
    </w:rPr>
  </w:style>
  <w:style w:type="paragraph" w:customStyle="1" w:styleId="ab">
    <w:name w:val="闻政正文"/>
    <w:basedOn w:val="a"/>
    <w:link w:val="Char2"/>
    <w:qFormat/>
    <w:rsid w:val="001C6016"/>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sid w:val="001C6016"/>
    <w:rPr>
      <w:rFonts w:ascii="Times New Roman" w:eastAsia="仿宋_GB2312" w:hAnsi="Times New Roman" w:cs="Times New Roman"/>
      <w:b/>
      <w:sz w:val="24"/>
      <w:szCs w:val="28"/>
    </w:rPr>
  </w:style>
  <w:style w:type="paragraph" w:customStyle="1" w:styleId="ac">
    <w:name w:val="闻政表"/>
    <w:basedOn w:val="a"/>
    <w:link w:val="Char3"/>
    <w:qFormat/>
    <w:rsid w:val="001C6016"/>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rsid w:val="001C6016"/>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1C6016"/>
    <w:rPr>
      <w:rFonts w:ascii="黑体" w:eastAsia="黑体" w:hAnsi="黑体" w:cs="Times New Roman"/>
      <w:bCs/>
      <w:sz w:val="32"/>
      <w:szCs w:val="32"/>
    </w:rPr>
  </w:style>
  <w:style w:type="paragraph" w:customStyle="1" w:styleId="31">
    <w:name w:val="闻政标题3"/>
    <w:basedOn w:val="3"/>
    <w:link w:val="3Char0"/>
    <w:uiPriority w:val="99"/>
    <w:qFormat/>
    <w:rsid w:val="001C6016"/>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1C6016"/>
    <w:rPr>
      <w:b/>
      <w:bCs/>
      <w:sz w:val="32"/>
      <w:szCs w:val="32"/>
    </w:rPr>
  </w:style>
  <w:style w:type="paragraph" w:customStyle="1" w:styleId="Bodytext1">
    <w:name w:val="Body text|1"/>
    <w:basedOn w:val="a"/>
    <w:link w:val="Bodytext10"/>
    <w:qFormat/>
    <w:rsid w:val="001C6016"/>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1C6016"/>
    <w:rPr>
      <w:rFonts w:ascii="MingLiU" w:eastAsia="MingLiU" w:hAnsi="MingLiU" w:cs="MingLiU"/>
      <w:sz w:val="20"/>
      <w:szCs w:val="2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A8B863B-C7BD-431A-8D96-F12AC8EE701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730</Words>
  <Characters>4166</Characters>
  <Application>Microsoft Office Word</Application>
  <DocSecurity>0</DocSecurity>
  <Lines>34</Lines>
  <Paragraphs>9</Paragraphs>
  <ScaleCrop>false</ScaleCrop>
  <Company>Sky123.Org</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PC</cp:lastModifiedBy>
  <cp:revision>96</cp:revision>
  <dcterms:created xsi:type="dcterms:W3CDTF">2019-11-22T05:12:00Z</dcterms:created>
  <dcterms:modified xsi:type="dcterms:W3CDTF">2020-09-24T09:34:00Z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