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ind w:firstLine="643"/>
        <w:jc w:val="center"/>
        <w:textAlignment w:val="auto"/>
        <w:outlineLvl w:val="0"/>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叶城县特色产业基地田间工程建设项目支出自评总结报告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auto"/>
          <w:kern w:val="2"/>
          <w:sz w:val="32"/>
          <w:szCs w:val="32"/>
          <w:highlight w:val="none"/>
          <w:lang w:val="en-US" w:eastAsia="zh-CN" w:bidi="ar-SA"/>
        </w:rPr>
      </w:pP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项目名称：叶城县特色产业基地田间工程建设项目</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实施单位：叶城县核桃产业化发展中心</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主管部门：叶城县核桃产业化发展中心</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项目负责人：高华江</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2023年1月11日</w:t>
      </w:r>
    </w:p>
    <w:p>
      <w:pPr>
        <w:pStyle w:val="8"/>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color w:val="auto"/>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叶城县核桃产业化发展中心2022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下达预算及项目情况。</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特色产业基地田间工程建设项目，项目总投资为5409.22万元，通过该项目的实施，项目区综合生产能力明显增强，改善项目区灌溉用水难的问题和绿洲外围生态林灌溉问题，真正达到节水增效、发展生产、社会稳定、人民安居乐业的目的。</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项目绩效目标设定情况。</w:t>
      </w:r>
    </w:p>
    <w:p>
      <w:pPr>
        <w:pStyle w:val="17"/>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叶城县洛克乡：土地平整，换填土、节水灌溉、田间道路及附属配套设施4915 亩。</w:t>
      </w:r>
    </w:p>
    <w:p>
      <w:pPr>
        <w:pStyle w:val="17"/>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叶城县萨依巴格乡：土地平整，换填土、节水灌溉、田间道路及附属配套设施2000亩。</w:t>
      </w:r>
    </w:p>
    <w:p>
      <w:pPr>
        <w:pStyle w:val="17"/>
        <w:keepNext w:val="0"/>
        <w:keepLines w:val="0"/>
        <w:pageBreakBefore w:val="0"/>
        <w:widowControl w:val="0"/>
        <w:kinsoku/>
        <w:wordWrap/>
        <w:overflowPunct/>
        <w:topLinePunct w:val="0"/>
        <w:autoSpaceDE/>
        <w:autoSpaceDN/>
        <w:bidi w:val="0"/>
        <w:adjustRightInd/>
        <w:snapToGrid/>
        <w:spacing w:line="560" w:lineRule="exact"/>
        <w:ind w:firstLine="641"/>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通过项目的实施，便于6915亩特色产业基地灌区灌溉水水利用系数提高，减少了水量的损失，提高了水资源利用率。节约水量可改善灌区水资源状况，缓解现有灌溉面积旱情，提高灌区灌溉保证率。</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7"/>
        <w:pageBreakBefore w:val="0"/>
        <w:kinsoku/>
        <w:wordWrap/>
        <w:topLinePunct w:val="0"/>
        <w:autoSpaceDE/>
        <w:autoSpaceDN/>
        <w:bidi w:val="0"/>
        <w:spacing w:line="560" w:lineRule="exact"/>
        <w:ind w:firstLine="640"/>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提升农业节水在经济社会发展和生态保护中的重要地位，是推动经济增长方式转变、建设节约型社会的关键所在。工程实施后，项目区综合生产能力明显增强，改善项目区灌溉用水难的问题和绿洲外围生态林灌溉问题，真正达到节水增效、发展生产、社会稳定、人民安居乐业的目的。</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叶城县洛克乡：土地平整，换填土、节水灌溉、田间道路及附属配套设施4915 亩。</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叶城县萨依巴格乡：土地平整，换填土、节水灌溉、田间道路及附属配套设施2000亩。</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叶党农领字【2022】1号共安排下达资金5409.22万元，为衔接、债券资金，最终确定项目资金总数为5409.22万元。</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截至2022年12月31日，实际支出5338.20万元，预算执行率98.7%。</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高标准农田建设面积共计8613.42亩，与预期目标一致，指标标杆分值为10分，根据评分标准，该指标不扣分。得10分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洛克乡土地平整，换填土、节水灌溉、田间道路及附属配套设施总面积4915亩，与预期目标一致，指标标杆分值为5分，根据评分标准，该指标不扣分。得5分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萨依巴格乡土地平整，换填土、节水灌溉、田间道路及附属配套设施总面积2000亩，与预期目标一致，指标标杆分值为5分，根据评分标准，该指标不扣分。得5分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项目验收合格率100%，与预期目标一致，指标标杆分值为5分,根据评分标准，该指标不扣分，得5分。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项目完工时间2022年12月，与预期目标指标一致，指标标杆分值为5分,根据评分标准，该指标不扣分，得5分。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项目完成及时率100%，与预期目标一致，指标标杆分值为5分，根据评分标准，该指标不扣分，得5分。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洛克乡土地平整，换填土、节水灌溉、田间道路及附属配套设施均每亩成本0.77万元，项目经费都能控制绩效目标范围内，指标标杆分值为10分，根据评分标准，该指标不扣分，得10分。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萨依巴格乡土地平整，换填土、节水灌溉、田间道路及附属配套设施均每亩成本0.81万元，实际萨依巴格乡土地平整，换填土、节水灌溉、田间道路及附属配套设施均每亩成本小于等于0.77万元，原因：还未审计完成。措施：加快审计工作，指标标杆分值为10分，根据评分标准，该指标扣0.49分，得9.51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合计得分19.51分。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带动增加脱贫户和边缘易致贫户就业人数1500人，与预期指标一致，指标标杆分值为5分，根据评分标准，该指标不扣分，得5分。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保持农村地区的社会稳定，效果显著，与预期指标一致，指标标杆分值为5分，根据评分标准，该指标不扣分，得5分。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带动增加受益脱贫户人口全年总收入823.64万元，与预期指标一致，指标标杆分值为5分，根据评分标准，该指标不扣分，得5分。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合计得分5分。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对于“生态效益指标”：</w:t>
      </w:r>
    </w:p>
    <w:p>
      <w:pPr>
        <w:pStyle w:val="4"/>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提高农田产量，有效提升，与预期指标一致，指标标杆分值为10分，根据评分标准，该指标不扣分，得10分。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对于“满意度指标：受益巩固脱贫人员满意度95%，与预期目标一致，根据评分标准，该指标不扣分,得10分。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7"/>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叶城县特色产业基地田间工程建设项目预算5409.22万元，到位5409.22万元，实际支出5338.20万元，预算执行率为98.7%，项目绩效指标总体完成率为99.62%，无偏差。</w:t>
      </w:r>
    </w:p>
    <w:p>
      <w:pPr>
        <w:pStyle w:val="18"/>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叶城县特色产业基地田间工程建设项目</w:t>
      </w:r>
      <w:r>
        <w:rPr>
          <w:rFonts w:hint="default" w:ascii="仿宋_GB2312" w:hAnsi="黑体" w:eastAsia="仿宋_GB2312" w:cstheme="minorBidi"/>
          <w:color w:val="auto"/>
          <w:kern w:val="2"/>
          <w:sz w:val="32"/>
          <w:szCs w:val="32"/>
          <w:highlight w:val="none"/>
          <w:lang w:val="en-US" w:eastAsia="zh-CN" w:bidi="ar-SA"/>
        </w:rPr>
        <w:t>已完成土地平整，换填土、节水灌溉、田间道路及附属配套设施</w:t>
      </w:r>
      <w:r>
        <w:rPr>
          <w:rFonts w:hint="eastAsia" w:ascii="仿宋_GB2312" w:hAnsi="黑体" w:eastAsia="仿宋_GB2312" w:cstheme="minorBidi"/>
          <w:color w:val="auto"/>
          <w:kern w:val="2"/>
          <w:sz w:val="32"/>
          <w:szCs w:val="32"/>
          <w:highlight w:val="none"/>
          <w:lang w:val="en-US" w:eastAsia="zh-CN" w:bidi="ar-SA"/>
        </w:rPr>
        <w:t>6</w:t>
      </w:r>
      <w:r>
        <w:rPr>
          <w:rFonts w:hint="default" w:ascii="仿宋_GB2312" w:hAnsi="黑体" w:eastAsia="仿宋_GB2312" w:cstheme="minorBidi"/>
          <w:color w:val="auto"/>
          <w:kern w:val="2"/>
          <w:sz w:val="32"/>
          <w:szCs w:val="32"/>
          <w:highlight w:val="none"/>
          <w:lang w:val="en-US" w:eastAsia="zh-CN" w:bidi="ar-SA"/>
        </w:rPr>
        <w:t>915 亩</w:t>
      </w:r>
      <w:r>
        <w:rPr>
          <w:rFonts w:hint="eastAsia" w:ascii="仿宋_GB2312" w:hAnsi="黑体" w:eastAsia="仿宋_GB2312" w:cstheme="minorBidi"/>
          <w:color w:val="auto"/>
          <w:kern w:val="2"/>
          <w:sz w:val="32"/>
          <w:szCs w:val="32"/>
          <w:highlight w:val="none"/>
          <w:lang w:val="en-US" w:eastAsia="zh-CN" w:bidi="ar-SA"/>
        </w:rPr>
        <w:t>，推动了林果业产生提高果品的产量和质量效益。该项目最终评分99.38分，绩效评级为“优”。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lang w:val="en-US" w:eastAsia="zh-CN"/>
        </w:rPr>
        <w:t>六、</w:t>
      </w:r>
      <w:r>
        <w:rPr>
          <w:rFonts w:hint="eastAsia" w:ascii="仿宋_GB2312" w:hAnsi="黑体" w:eastAsia="仿宋_GB2312"/>
          <w:b/>
          <w:color w:val="auto"/>
          <w:sz w:val="32"/>
          <w:szCs w:val="32"/>
          <w:highlight w:val="none"/>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08EC01DC"/>
    <w:rsid w:val="12A245A9"/>
    <w:rsid w:val="14653122"/>
    <w:rsid w:val="17F82735"/>
    <w:rsid w:val="187A025D"/>
    <w:rsid w:val="1937751C"/>
    <w:rsid w:val="1ABF7AF2"/>
    <w:rsid w:val="1B4D6D35"/>
    <w:rsid w:val="22E936F1"/>
    <w:rsid w:val="29EC0C5C"/>
    <w:rsid w:val="2B1E4C6A"/>
    <w:rsid w:val="2D5F13D7"/>
    <w:rsid w:val="2E51749D"/>
    <w:rsid w:val="307F25FE"/>
    <w:rsid w:val="31A02A0C"/>
    <w:rsid w:val="31AE0AA6"/>
    <w:rsid w:val="386D751C"/>
    <w:rsid w:val="3A667D78"/>
    <w:rsid w:val="41871287"/>
    <w:rsid w:val="54575230"/>
    <w:rsid w:val="5CEF0BA5"/>
    <w:rsid w:val="614F4951"/>
    <w:rsid w:val="647906B5"/>
    <w:rsid w:val="651A36AB"/>
    <w:rsid w:val="7D4B4217"/>
    <w:rsid w:val="7E984E50"/>
    <w:rsid w:val="CEFFC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2025-02-13T08:15:17Z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