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叶城县示范村乡村建设项目支出自评总结报告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Style w:val="6"/>
        <w:rPr>
          <w:rFonts w:hint="eastAsia"/>
          <w:color w:val="auto"/>
          <w:highlight w:val="none"/>
        </w:rPr>
      </w:pPr>
    </w:p>
    <w:p>
      <w:pPr>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Style w:val="2"/>
        <w:rPr>
          <w:rFonts w:hint="eastAsia" w:ascii="Times New Roman" w:hAnsi="Times New Roman" w:eastAsia="方正仿宋_GBK" w:cs="方正仿宋_GBK"/>
          <w:color w:val="auto"/>
          <w:kern w:val="0"/>
          <w:sz w:val="32"/>
          <w:szCs w:val="32"/>
          <w:highlight w:val="none"/>
          <w:lang w:bidi="en-US"/>
        </w:rPr>
      </w:pPr>
    </w:p>
    <w:p>
      <w:pPr>
        <w:pStyle w:val="2"/>
        <w:rPr>
          <w:rFonts w:hint="eastAsia" w:ascii="Times New Roman" w:hAnsi="Times New Roman" w:eastAsia="方正仿宋_GBK" w:cs="方正仿宋_GBK"/>
          <w:color w:val="auto"/>
          <w:kern w:val="0"/>
          <w:sz w:val="32"/>
          <w:szCs w:val="32"/>
          <w:highlight w:val="none"/>
          <w:lang w:bidi="en-US"/>
        </w:rPr>
      </w:pPr>
    </w:p>
    <w:p>
      <w:pPr>
        <w:pStyle w:val="2"/>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highlight w:val="none"/>
          <w:lang w:val="en-US" w:eastAsia="zh-CN" w:bidi="ar-SA"/>
        </w:rPr>
      </w:pPr>
    </w:p>
    <w:p>
      <w:pPr>
        <w:pageBreakBefore w:val="0"/>
        <w:kinsoku/>
        <w:wordWrap/>
        <w:topLinePunct w:val="0"/>
        <w:autoSpaceDE/>
        <w:autoSpaceDN/>
        <w:bidi w:val="0"/>
        <w:spacing w:line="570" w:lineRule="exact"/>
        <w:ind w:firstLine="1411" w:firstLineChars="441"/>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项目名称：叶城县示范村乡村建设项目</w:t>
      </w:r>
    </w:p>
    <w:p>
      <w:pPr>
        <w:pageBreakBefore w:val="0"/>
        <w:kinsoku/>
        <w:wordWrap/>
        <w:topLinePunct w:val="0"/>
        <w:autoSpaceDE/>
        <w:autoSpaceDN/>
        <w:bidi w:val="0"/>
        <w:spacing w:line="570" w:lineRule="exact"/>
        <w:ind w:firstLine="1411" w:firstLineChars="441"/>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项目单位：叶城县乡村振兴局</w:t>
      </w:r>
    </w:p>
    <w:p>
      <w:pPr>
        <w:pageBreakBefore w:val="0"/>
        <w:kinsoku/>
        <w:wordWrap/>
        <w:topLinePunct w:val="0"/>
        <w:autoSpaceDE/>
        <w:autoSpaceDN/>
        <w:bidi w:val="0"/>
        <w:spacing w:line="570" w:lineRule="exact"/>
        <w:ind w:firstLine="1411" w:firstLineChars="441"/>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主管部门：叶城县乡村振兴局</w:t>
      </w:r>
    </w:p>
    <w:p>
      <w:pPr>
        <w:pageBreakBefore w:val="0"/>
        <w:kinsoku/>
        <w:wordWrap/>
        <w:topLinePunct w:val="0"/>
        <w:autoSpaceDE/>
        <w:autoSpaceDN/>
        <w:bidi w:val="0"/>
        <w:spacing w:line="570" w:lineRule="exact"/>
        <w:ind w:firstLine="1411" w:firstLineChars="441"/>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项目负责人：毕永亮</w:t>
      </w:r>
    </w:p>
    <w:p>
      <w:pPr>
        <w:pageBreakBefore w:val="0"/>
        <w:kinsoku/>
        <w:wordWrap/>
        <w:topLinePunct w:val="0"/>
        <w:autoSpaceDE/>
        <w:autoSpaceDN/>
        <w:bidi w:val="0"/>
        <w:spacing w:line="570" w:lineRule="exact"/>
        <w:ind w:firstLine="1411" w:firstLineChars="441"/>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填报时间：2023年 1月 14日</w:t>
      </w: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Style w:val="6"/>
        <w:rPr>
          <w:rFonts w:hint="eastAsia"/>
          <w:color w:val="auto"/>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both"/>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叶城县乡村振兴局2022年财政衔接推进乡村振兴补助资金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下达预算及项目情况。</w:t>
      </w:r>
    </w:p>
    <w:p>
      <w:pPr>
        <w:pStyle w:val="21"/>
        <w:keepNext w:val="0"/>
        <w:keepLines w:val="0"/>
        <w:pageBreakBefore w:val="0"/>
        <w:widowControl w:val="0"/>
        <w:kinsoku/>
        <w:wordWrap/>
        <w:overflowPunct/>
        <w:topLinePunct w:val="0"/>
        <w:autoSpaceDE/>
        <w:autoSpaceDN/>
        <w:bidi w:val="0"/>
        <w:adjustRightInd/>
        <w:snapToGrid/>
        <w:spacing w:line="570" w:lineRule="exact"/>
        <w:ind w:firstLine="56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示范村乡村建设项目，项目总投资为3920.59万元，项目建设本身可改善叶城县乡镇、村就业环境，为项目区提高大量就业岗位，为乡镇经济发展提供有利条件。</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rPr>
        <w:t>财政</w:t>
      </w:r>
      <w:r>
        <w:rPr>
          <w:rFonts w:hint="eastAsia" w:ascii="仿宋_GB2312" w:hAnsi="黑体" w:eastAsia="仿宋_GB2312"/>
          <w:b/>
          <w:bCs/>
          <w:color w:val="auto"/>
          <w:sz w:val="32"/>
          <w:szCs w:val="32"/>
          <w:highlight w:val="none"/>
          <w:lang w:eastAsia="zh-CN"/>
        </w:rPr>
        <w:t>衔接推进乡村振兴补助资金</w:t>
      </w:r>
      <w:r>
        <w:rPr>
          <w:rFonts w:hint="eastAsia" w:ascii="仿宋_GB2312" w:hAnsi="黑体" w:eastAsia="仿宋_GB2312"/>
          <w:b/>
          <w:bCs/>
          <w:color w:val="auto"/>
          <w:sz w:val="32"/>
          <w:szCs w:val="32"/>
          <w:highlight w:val="none"/>
        </w:rPr>
        <w:t>项目绩效目标设定情况。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总投资3920.59万元；用于10个村兴边富民整村推进建设，其中：1）萨依巴格乡17村总投资393万元，用于建设厂房1座及配套附属用房、新建商铺20套。2）洛克乡5村总投资400万元，用于新建农牧民技能孵化产业园2000平方米厂房及设施配套，新建小型面粉加工厂一座及配套，新建1座卫生公厕等。3）金果镇总投资749万元，用于综合性园区建设1座，村仓储物流就业园区2个库房、新建水冲式厕所2座以及附属配套设施及乡村道路提升改造及零星化实施建设等。4）加依提勒克乡12村总投资392万元，用于建设产业发展及巩固提升乡村基础设施配套。5）依提木孔镇总投资400万元，用于15建设村零星硬化7750平方米，安装护栏，建设1.5公里污水处理管网、配套检查井及破拆路面修复等，建设冷藏库2座共1200立方米及附属设施配套。6）吐古其乡总投资386.59万元，用于12村新建涂料加工厂（乡村车间）一座及配套建设其他附属设施设备等。7）铁提乡总投资800万元，用于4村新建标准厂房2栋厂房共2400平方米。8）夏合甫乡总投资400万元，用于16村村容村貌巩固提升建设。项目建设本身可改善叶城县乡镇、村就业环境，为项目区提高大量就业岗位，为乡镇经济发展提供有利条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9"/>
        <w:keepNext w:val="0"/>
        <w:keepLines w:val="0"/>
        <w:pageBreakBefore w:val="0"/>
        <w:widowControl w:val="0"/>
        <w:kinsoku/>
        <w:wordWrap/>
        <w:overflowPunct/>
        <w:topLinePunct w:val="0"/>
        <w:autoSpaceDE/>
        <w:autoSpaceDN/>
        <w:bidi w:val="0"/>
        <w:adjustRightInd/>
        <w:snapToGrid/>
        <w:spacing w:line="560" w:lineRule="exact"/>
        <w:ind w:firstLine="643"/>
        <w:textAlignment w:val="auto"/>
        <w:outlineLvl w:val="2"/>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17882"/>
      <w:bookmarkStart w:id="1" w:name="_Toc31464"/>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叶城县【2020】16号共安排下达资金3920.59万元，为巩固拓展脱贫攻坚成果同乡村振兴有效衔接资金，最终确定项目资金总数为3920.59万元。</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截至2022年12月31日，实际支出3858.94万元，预算执行率98.4%。</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本项目支出符合《喀什地区财政巩固拓展脱贫攻坚成果同乡村振兴有效金管理办法（试行）》</w:t>
      </w:r>
      <w:bookmarkStart w:id="6" w:name="_GoBack"/>
      <w:bookmarkEnd w:id="6"/>
      <w:r>
        <w:rPr>
          <w:rFonts w:hint="eastAsia" w:ascii="仿宋_GB2312" w:hAnsi="黑体" w:eastAsia="仿宋_GB2312" w:cstheme="minorBidi"/>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pageBreakBefore w:val="0"/>
        <w:numPr>
          <w:ilvl w:val="0"/>
          <w:numId w:val="1"/>
        </w:numPr>
        <w:kinsoku/>
        <w:wordWrap/>
        <w:topLinePunct w:val="0"/>
        <w:autoSpaceDE/>
        <w:autoSpaceDN/>
        <w:bidi w:val="0"/>
        <w:spacing w:line="570" w:lineRule="exact"/>
        <w:ind w:firstLine="643"/>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对于“产出数量”</w:t>
      </w:r>
    </w:p>
    <w:p>
      <w:pPr>
        <w:keepNext w:val="0"/>
        <w:keepLines w:val="0"/>
        <w:widowControl/>
        <w:suppressLineNumbers w:val="0"/>
        <w:spacing w:before="0" w:beforeAutospacing="0" w:after="0" w:afterAutospacing="0" w:line="220" w:lineRule="atLeast"/>
        <w:ind w:left="0" w:right="0" w:firstLine="640" w:firstLineChars="20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兴边富民整村推进数量10个，与预期目标一致，指标标杆分值为1分，根据评分标准，该指标不扣分，得1分。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建设1座厂房，与预期目标一致，指标标杆分值为1分，根据评分标准，该指标不扣分，得1分。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新建20套商铺，与预期目标一致，指标标杆分值为1分，根据评分标准，该指标不扣分，得1分。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新建农牧民技能孵化产业园及设施配套建设面积2000平方米，与预期目标一致，指标标杆分值为1分，根据评分标准，该指标不扣分，得1分。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新建1座小型面粉加工厂及配套，与预期目标一致，指标标杆分值为1分，根据评分标准，该指标不扣分，得1分。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新建1座卫生公厕，与预期目标一致，指标标杆分值为1分，根据评分标准，该指标不扣分，得1分。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建设1座综合性园区，与预期目标一致，指标标杆分值为2分，根据评分标准，该指标不扣分，得2分。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村仓储物流园库房配套取暖设施面积建设1200平方米，与预期目标一致，指标标杆分值为2分，根据评分标准，该指标不扣分，得2分。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新建水冲式厕所2座以及水、电等附属配套设施</w:t>
      </w:r>
      <w:r>
        <w:rPr>
          <w:rFonts w:hint="eastAsia" w:ascii="仿宋_GB2312" w:hAnsi="黑体" w:eastAsia="仿宋_GB2312" w:cstheme="minorBidi"/>
          <w:color w:val="auto"/>
          <w:kern w:val="2"/>
          <w:sz w:val="32"/>
          <w:szCs w:val="32"/>
          <w:highlight w:val="none"/>
          <w:lang w:val="en-US" w:eastAsia="zh-CN" w:bidi="ar-SA"/>
        </w:rPr>
        <w:tab/>
      </w:r>
      <w:r>
        <w:rPr>
          <w:rFonts w:hint="eastAsia" w:ascii="仿宋_GB2312" w:hAnsi="黑体" w:eastAsia="仿宋_GB2312" w:cstheme="minorBidi"/>
          <w:color w:val="auto"/>
          <w:kern w:val="2"/>
          <w:sz w:val="32"/>
          <w:szCs w:val="32"/>
          <w:highlight w:val="none"/>
          <w:lang w:val="en-US" w:eastAsia="zh-CN" w:bidi="ar-SA"/>
        </w:rPr>
        <w:t>，与预期目标一致，指标标杆分值为2分，根据评分标准，该指标不扣分，得2分。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加依提勒克乡12村提升乡村基础设施配套建设1套，与预期目标一致，指标标杆分值为2分，根据评分标准，该指标不扣分，得2分。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道路提升改造及零星化实施建设数量1座，与预期目标一致，指标标杆分值为2分，根据评分标准，该指标不扣分，得2分。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建设冷藏库2座及附属设施，与预期目标一致，指标标杆分值为2分，根据评分标准，该指标不扣分，得2分。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新建涂料加工厂1座及配套建设其他附属设施设备，与预期目标一致，指标标杆分值为2分，根据评分标准，该指标不扣分，得2分。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新建标准厂房面积2400平方米</w:t>
      </w:r>
      <w:r>
        <w:rPr>
          <w:rFonts w:hint="eastAsia" w:ascii="仿宋_GB2312" w:hAnsi="黑体" w:eastAsia="仿宋_GB2312" w:cstheme="minorBidi"/>
          <w:color w:val="auto"/>
          <w:kern w:val="2"/>
          <w:sz w:val="32"/>
          <w:szCs w:val="32"/>
          <w:highlight w:val="none"/>
          <w:lang w:val="en-US" w:eastAsia="zh-CN" w:bidi="ar-SA"/>
        </w:rPr>
        <w:tab/>
      </w:r>
      <w:r>
        <w:rPr>
          <w:rFonts w:hint="eastAsia" w:ascii="仿宋_GB2312" w:hAnsi="黑体" w:eastAsia="仿宋_GB2312" w:cstheme="minorBidi"/>
          <w:color w:val="auto"/>
          <w:kern w:val="2"/>
          <w:sz w:val="32"/>
          <w:szCs w:val="32"/>
          <w:highlight w:val="none"/>
          <w:lang w:val="en-US" w:eastAsia="zh-CN" w:bidi="ar-SA"/>
        </w:rPr>
        <w:t>，与预期目标一致，指标标杆分值为2分，根据评分标准，该指标不扣分，得2分。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夏合甫乡16村村容村貌巩固提升建设1套，与预期目标一致，指标标杆分值为2分，根据评分标准，该指标不扣分，得2分。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合计得24分。</w:t>
      </w:r>
    </w:p>
    <w:p>
      <w:pPr>
        <w:pageBreakBefore w:val="0"/>
        <w:numPr>
          <w:ilvl w:val="0"/>
          <w:numId w:val="1"/>
        </w:numPr>
        <w:kinsoku/>
        <w:wordWrap/>
        <w:topLinePunct w:val="0"/>
        <w:autoSpaceDE/>
        <w:autoSpaceDN/>
        <w:bidi w:val="0"/>
        <w:spacing w:line="570" w:lineRule="exact"/>
        <w:ind w:firstLine="643"/>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对于“产出质量”：</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检验检疫合格率100%，与预期目标一致，指标标杆分值为2分，根据评分标准，该指标不扣分，得2分。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项目（工程）验收合格率100%，与预期目标一致，指标标杆分值为2分，根据评分标准，该指标不扣分，得2分。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合计得4分。</w:t>
      </w:r>
    </w:p>
    <w:p>
      <w:pPr>
        <w:pStyle w:val="9"/>
        <w:pageBreakBefore w:val="0"/>
        <w:numPr>
          <w:ilvl w:val="0"/>
          <w:numId w:val="1"/>
        </w:numPr>
        <w:kinsoku/>
        <w:wordWrap/>
        <w:topLinePunct w:val="0"/>
        <w:autoSpaceDE/>
        <w:autoSpaceDN/>
        <w:bidi w:val="0"/>
        <w:spacing w:before="0" w:after="0" w:line="570" w:lineRule="exact"/>
        <w:ind w:firstLine="643"/>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对于“产出时效”：</w:t>
      </w:r>
    </w:p>
    <w:p>
      <w:pPr>
        <w:pStyle w:val="9"/>
        <w:pageBreakBefore w:val="0"/>
        <w:kinsoku/>
        <w:wordWrap/>
        <w:topLinePunct w:val="0"/>
        <w:autoSpaceDE/>
        <w:autoSpaceDN/>
        <w:bidi w:val="0"/>
        <w:spacing w:before="0" w:after="0" w:line="570" w:lineRule="exact"/>
        <w:ind w:firstLine="64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项目开工时间2022年6月，与预期目标指标一致，指标标杆分值为2分，根据评分标准，该指标不扣分，得2分。</w:t>
      </w:r>
    </w:p>
    <w:p>
      <w:pPr>
        <w:pStyle w:val="9"/>
        <w:pageBreakBefore w:val="0"/>
        <w:kinsoku/>
        <w:wordWrap/>
        <w:topLinePunct w:val="0"/>
        <w:autoSpaceDE/>
        <w:autoSpaceDN/>
        <w:bidi w:val="0"/>
        <w:spacing w:before="0" w:after="0" w:line="570" w:lineRule="exact"/>
        <w:ind w:firstLine="64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项目完工时间2022年10月，与预期目标指标一致，指标标杆分值为2分，根据评分标准，该指标不扣分，得2分。</w:t>
      </w:r>
    </w:p>
    <w:p>
      <w:pPr>
        <w:pStyle w:val="9"/>
        <w:pageBreakBefore w:val="0"/>
        <w:kinsoku/>
        <w:wordWrap/>
        <w:topLinePunct w:val="0"/>
        <w:autoSpaceDE/>
        <w:autoSpaceDN/>
        <w:bidi w:val="0"/>
        <w:spacing w:before="0" w:after="0" w:line="570" w:lineRule="exact"/>
        <w:ind w:left="0" w:leftChars="0" w:firstLine="640" w:firstLineChars="20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项目完工及时率及时率100%，与预期目标一致，指标标杆分值为2分，根据评分标准，该指标不扣分，得2分。</w:t>
      </w:r>
    </w:p>
    <w:p>
      <w:pPr>
        <w:pStyle w:val="9"/>
        <w:pageBreakBefore w:val="0"/>
        <w:kinsoku/>
        <w:wordWrap/>
        <w:topLinePunct w:val="0"/>
        <w:autoSpaceDE/>
        <w:autoSpaceDN/>
        <w:bidi w:val="0"/>
        <w:spacing w:before="0" w:after="0" w:line="570" w:lineRule="exact"/>
        <w:ind w:firstLine="64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合计得6分。</w:t>
      </w:r>
    </w:p>
    <w:p>
      <w:pPr>
        <w:pageBreakBefore w:val="0"/>
        <w:kinsoku/>
        <w:wordWrap/>
        <w:topLinePunct w:val="0"/>
        <w:autoSpaceDE/>
        <w:autoSpaceDN/>
        <w:bidi w:val="0"/>
        <w:spacing w:line="570" w:lineRule="exact"/>
        <w:ind w:firstLine="643"/>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叶城县萨依巴格乡17村建设成本393万元，项目经费都能控制绩效目标范围内，</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叶城县洛克乡5村建设成本400万元，项目经费都能控制绩效目标范围内，</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叶城县金果镇10村和11村建设成本749万元，实际叶城县金果镇10村和11村建设成本733.75万元，偏差原因：因支付材料准备较晚，整改措施：尽快整理好支付材料，尽快支付，</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根据评分标准，该指标扣0.03分，得1.96分。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叶城县加依提勒克乡12村建设成本392万元，项目经费都能控制绩效目标范围内，</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叶城县依提木孔镇依提木孔镇15村建设成本400万元，实际叶城县依提木孔镇依提木孔镇15村建设成本365.28万元，偏差原因：因支付材料准备较晚，整改措施：尽快整理好支付材料，尽快支付，</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根据评分标准，该指标扣0.17分，得1.83分。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叶城县吐古其乡12村建设成本成本386.59万元，项目经费都能控制绩效目标范围内，</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根据评分标准，该指标不扣分，得2分。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叶城县铁提乡4村及8村建设成本800万元，实际叶城县铁提乡4村及8村建设成本789.23万元，偏差原因：因支付材料准备较晚，整改措施：尽快整理好支付材料，尽快支付，</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根据评分标准，该指标扣0.03分，得1.97分。</w:t>
      </w:r>
    </w:p>
    <w:p>
      <w:pPr>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叶城县夏合甫乡16村建设成本400万元，实际叶城县夏合甫乡16村建设成本399.09万元，偏差原因：因支付材料准备较晚，整改措施：尽快整理好支付材料，尽快支付，</w:t>
      </w:r>
      <w:r>
        <w:rPr>
          <w:rFonts w:hint="eastAsia" w:ascii="仿宋_GB2312" w:hAnsi="黑体" w:eastAsia="仿宋_GB2312" w:cstheme="minorBidi"/>
          <w:b w:val="0"/>
          <w:bCs/>
          <w:color w:val="auto"/>
          <w:kern w:val="2"/>
          <w:sz w:val="32"/>
          <w:szCs w:val="32"/>
          <w:highlight w:val="none"/>
          <w:lang w:val="en-US" w:eastAsia="zh-CN" w:bidi="ar-SA"/>
        </w:rPr>
        <w:t>指标标杆分值为2分，</w:t>
      </w:r>
      <w:r>
        <w:rPr>
          <w:rFonts w:hint="eastAsia" w:ascii="仿宋_GB2312" w:hAnsi="黑体" w:eastAsia="仿宋_GB2312" w:cstheme="minorBidi"/>
          <w:color w:val="auto"/>
          <w:kern w:val="2"/>
          <w:sz w:val="32"/>
          <w:szCs w:val="32"/>
          <w:highlight w:val="none"/>
          <w:lang w:val="en-US" w:eastAsia="zh-CN" w:bidi="ar-SA"/>
        </w:rPr>
        <w:t>根据评分标准，该指标扣0.01分，得1.99分。</w:t>
      </w:r>
    </w:p>
    <w:p>
      <w:pPr>
        <w:pStyle w:val="9"/>
        <w:pageBreakBefore w:val="0"/>
        <w:kinsoku/>
        <w:wordWrap/>
        <w:topLinePunct w:val="0"/>
        <w:autoSpaceDE/>
        <w:autoSpaceDN/>
        <w:bidi w:val="0"/>
        <w:spacing w:before="0" w:after="0" w:line="570" w:lineRule="exact"/>
        <w:ind w:firstLine="640"/>
        <w:jc w:val="both"/>
        <w:rPr>
          <w:rFonts w:hint="eastAsia" w:ascii="仿宋_GB2312" w:hAnsi="黑体" w:eastAsia="仿宋_GB2312" w:cstheme="minorBidi"/>
          <w:b w:val="0"/>
          <w:bCs/>
          <w:color w:val="auto"/>
          <w:kern w:val="2"/>
          <w:sz w:val="32"/>
          <w:szCs w:val="32"/>
          <w:highlight w:val="none"/>
          <w:lang w:val="en-US" w:eastAsia="zh-CN" w:bidi="ar-SA"/>
        </w:rPr>
      </w:pPr>
      <w:r>
        <w:rPr>
          <w:rFonts w:hint="eastAsia" w:ascii="仿宋_GB2312" w:hAnsi="黑体" w:eastAsia="仿宋_GB2312" w:cstheme="minorBidi"/>
          <w:b w:val="0"/>
          <w:bCs/>
          <w:color w:val="auto"/>
          <w:kern w:val="2"/>
          <w:sz w:val="32"/>
          <w:szCs w:val="32"/>
          <w:highlight w:val="none"/>
          <w:lang w:val="en-US" w:eastAsia="zh-CN" w:bidi="ar-SA"/>
        </w:rPr>
        <w:t>合计得15.75分。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提高人居环境美化率为100%，与预期指标一致，指标标杆分值为4分，根据评分标准，该指标不扣分，得4分。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带动脱贫户和边缘易致贫户1519户，与预期指标一致，指标标杆分值为4分，根据评分标准，该指标不扣分，得4分。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带动受益脱贫户和边缘易致贫6949人，与预期指标一致，指标标杆分值为4分，根据评分标准，该指标不扣分，得4分。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带动增加受益脱贫户人口全年总收入达0.12万元，与预期指标一致，指标标杆分值为3分，根据评分标准，该指标不扣分，得3分。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合计得分3分。</w:t>
      </w:r>
    </w:p>
    <w:p>
      <w:pPr>
        <w:pStyle w:val="2"/>
        <w:keepNext w:val="0"/>
        <w:keepLines w:val="0"/>
        <w:pageBreakBefore w:val="0"/>
        <w:widowControl w:val="0"/>
        <w:numPr>
          <w:ilvl w:val="0"/>
          <w:numId w:val="2"/>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场区基础设施建设使用年限为10年，与预期指标一致，指标标杆分值为3分，根据评分标准，该指标不扣分，得3分。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明显改善我县畜牧养殖业发展，与预期指标一致，指标标杆分值为3分，根据评分标准，该指标不扣分，得3分。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生活污水处理率为100%，与预期指标一致，指标标杆分值为3分，根据评分标准，该指标不扣分，得3分。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乡村道路持续使用年限为8年，与预期指标一致，指标标杆分值为3分，根据评分标准，该指标不扣分，得3分。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对于“满意度指标”：受益村民满意度95%，与预期目标一致，根据评分标准，该指标不扣分,得10分。</w:t>
      </w:r>
    </w:p>
    <w:p>
      <w:pPr>
        <w:pStyle w:val="18"/>
        <w:ind w:left="0" w:leftChars="0" w:firstLine="640" w:firstLineChars="200"/>
        <w:rPr>
          <w:rFonts w:hint="default"/>
          <w:color w:val="auto"/>
          <w:highlight w:val="none"/>
          <w:lang w:val="en-US" w:eastAsia="zh-CN"/>
        </w:rPr>
      </w:pPr>
      <w:r>
        <w:rPr>
          <w:rFonts w:hint="eastAsia" w:ascii="仿宋_GB2312" w:hAnsi="黑体"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9"/>
        <w:pageBreakBefore w:val="0"/>
        <w:kinsoku/>
        <w:wordWrap/>
        <w:topLinePunct w:val="0"/>
        <w:autoSpaceDE/>
        <w:autoSpaceDN/>
        <w:bidi w:val="0"/>
        <w:spacing w:line="57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示范村乡村建设项目预算3920.59万元，到位3920.59万元，实际支出3858.94万元，预算执行率为98.4%，项目绩效指标总体完成率为99.7%，偏差率为1.3，偏差原因：偏差原因：因支付材料准备较晚，整改措施：尽快整理好支付材料，尽快支付。</w:t>
      </w:r>
    </w:p>
    <w:p>
      <w:pPr>
        <w:pStyle w:val="20"/>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default" w:ascii="仿宋_GB2312" w:hAnsi="黑体" w:eastAsia="仿宋_GB2312" w:cstheme="minorBidi"/>
          <w:color w:val="auto"/>
          <w:kern w:val="2"/>
          <w:sz w:val="32"/>
          <w:szCs w:val="32"/>
          <w:highlight w:val="none"/>
          <w:lang w:val="en-US" w:eastAsia="zh-CN" w:bidi="ar-SA"/>
        </w:rPr>
        <w:t>叶城县示范村乡村建设项目</w:t>
      </w:r>
      <w:r>
        <w:rPr>
          <w:rFonts w:hint="eastAsia" w:ascii="仿宋_GB2312" w:hAnsi="黑体" w:eastAsia="仿宋_GB2312" w:cstheme="minorBidi"/>
          <w:color w:val="auto"/>
          <w:kern w:val="2"/>
          <w:sz w:val="32"/>
          <w:szCs w:val="32"/>
          <w:highlight w:val="none"/>
          <w:lang w:val="en-US" w:eastAsia="zh-CN" w:bidi="ar-SA"/>
        </w:rPr>
        <w:t>已显著</w:t>
      </w:r>
      <w:r>
        <w:rPr>
          <w:rFonts w:hint="default" w:ascii="仿宋_GB2312" w:hAnsi="黑体" w:eastAsia="仿宋_GB2312" w:cstheme="minorBidi"/>
          <w:color w:val="auto"/>
          <w:kern w:val="2"/>
          <w:sz w:val="32"/>
          <w:szCs w:val="32"/>
          <w:highlight w:val="none"/>
          <w:lang w:val="en-US" w:eastAsia="zh-CN" w:bidi="ar-SA"/>
        </w:rPr>
        <w:t>改善项目村村民生活环境，提高村民生活素质，进一步增强项目村农户幸福感和获得感</w:t>
      </w:r>
      <w:r>
        <w:rPr>
          <w:rFonts w:hint="eastAsia" w:ascii="仿宋_GB2312" w:hAnsi="黑体" w:eastAsia="仿宋_GB2312" w:cstheme="minorBidi"/>
          <w:color w:val="auto"/>
          <w:kern w:val="2"/>
          <w:sz w:val="32"/>
          <w:szCs w:val="32"/>
          <w:highlight w:val="none"/>
          <w:lang w:val="en-US" w:eastAsia="zh-CN" w:bidi="ar-SA"/>
        </w:rPr>
        <w:t>。推动了示范村乡村建设产生经济效益、社会效益和生态效益。该项目最终评分99.6分，绩效评级为“优”。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abstractNum w:abstractNumId="1">
    <w:nsid w:val="A8262736"/>
    <w:multiLevelType w:val="singleLevel"/>
    <w:tmpl w:val="A826273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861488"/>
    <w:rsid w:val="009E7C42"/>
    <w:rsid w:val="00F20A26"/>
    <w:rsid w:val="059A592B"/>
    <w:rsid w:val="08EC01DC"/>
    <w:rsid w:val="12A245A9"/>
    <w:rsid w:val="14653122"/>
    <w:rsid w:val="17F82735"/>
    <w:rsid w:val="180E2E92"/>
    <w:rsid w:val="187A025D"/>
    <w:rsid w:val="1937751C"/>
    <w:rsid w:val="19CC7701"/>
    <w:rsid w:val="1ABF7AF2"/>
    <w:rsid w:val="1B4D6D35"/>
    <w:rsid w:val="1BBD75F7"/>
    <w:rsid w:val="20183F4F"/>
    <w:rsid w:val="20C02ABC"/>
    <w:rsid w:val="22084AEF"/>
    <w:rsid w:val="22E936F1"/>
    <w:rsid w:val="24A3706C"/>
    <w:rsid w:val="29EC0C5C"/>
    <w:rsid w:val="2AA676A9"/>
    <w:rsid w:val="2B1E4C6A"/>
    <w:rsid w:val="2D5F13D7"/>
    <w:rsid w:val="2E51749D"/>
    <w:rsid w:val="31A02A0C"/>
    <w:rsid w:val="31AE0AA6"/>
    <w:rsid w:val="34D85CE0"/>
    <w:rsid w:val="386D751C"/>
    <w:rsid w:val="3A1C3A58"/>
    <w:rsid w:val="3A667D78"/>
    <w:rsid w:val="3B6D0EF3"/>
    <w:rsid w:val="3D860681"/>
    <w:rsid w:val="3EDE66B4"/>
    <w:rsid w:val="4040105E"/>
    <w:rsid w:val="41871287"/>
    <w:rsid w:val="418F093D"/>
    <w:rsid w:val="432C4713"/>
    <w:rsid w:val="45235E40"/>
    <w:rsid w:val="468C3FA5"/>
    <w:rsid w:val="4BA819CC"/>
    <w:rsid w:val="4E360DCA"/>
    <w:rsid w:val="54575230"/>
    <w:rsid w:val="54C978C3"/>
    <w:rsid w:val="55DA66E7"/>
    <w:rsid w:val="5CEF0BA5"/>
    <w:rsid w:val="5EAD4FF8"/>
    <w:rsid w:val="5F14632C"/>
    <w:rsid w:val="614F4951"/>
    <w:rsid w:val="647906B5"/>
    <w:rsid w:val="651A36AB"/>
    <w:rsid w:val="6576729F"/>
    <w:rsid w:val="68665F57"/>
    <w:rsid w:val="6AC53C59"/>
    <w:rsid w:val="6B246D54"/>
    <w:rsid w:val="7132728B"/>
    <w:rsid w:val="761975A1"/>
    <w:rsid w:val="79557554"/>
    <w:rsid w:val="7B580975"/>
    <w:rsid w:val="7E984E50"/>
    <w:rsid w:val="7F13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pPr>
  </w:style>
  <w:style w:type="paragraph" w:styleId="3">
    <w:name w:val="Body Text Indent"/>
    <w:basedOn w:val="1"/>
    <w:next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Body Text"/>
    <w:basedOn w:val="1"/>
    <w:qFormat/>
    <w:uiPriority w:val="0"/>
    <w:pPr>
      <w:spacing w:before="240" w:after="240" w:line="360" w:lineRule="auto"/>
      <w:jc w:val="center"/>
    </w:pPr>
    <w:rPr>
      <w:b/>
      <w:sz w:val="44"/>
    </w:rPr>
  </w:style>
  <w:style w:type="paragraph" w:styleId="10">
    <w:name w:val="Plain Text"/>
    <w:basedOn w:val="1"/>
    <w:unhideWhenUsed/>
    <w:qFormat/>
    <w:uiPriority w:val="99"/>
    <w:rPr>
      <w:rFonts w:ascii="宋体" w:hAnsi="Courier New"/>
    </w:rPr>
  </w:style>
  <w:style w:type="paragraph" w:styleId="11">
    <w:name w:val="Body Text Indent 2"/>
    <w:basedOn w:val="1"/>
    <w:qFormat/>
    <w:uiPriority w:val="0"/>
    <w:pPr>
      <w:ind w:firstLine="280"/>
    </w:pPr>
    <w:rPr>
      <w:rFonts w:ascii="仿宋_GB2312" w:hAnsi="仿宋_GB2312" w:eastAsia="仿宋_GB2312"/>
      <w:kern w:val="1"/>
      <w:sz w:val="28"/>
    </w:rPr>
  </w:style>
  <w:style w:type="paragraph" w:styleId="12">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6">
    <w:name w:val="Strong"/>
    <w:basedOn w:val="15"/>
    <w:qFormat/>
    <w:uiPriority w:val="0"/>
    <w:rPr>
      <w:b/>
      <w:bCs/>
    </w:rPr>
  </w:style>
  <w:style w:type="paragraph" w:customStyle="1" w:styleId="17">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8">
    <w:name w:val="1 正文"/>
    <w:basedOn w:val="1"/>
    <w:qFormat/>
    <w:uiPriority w:val="0"/>
    <w:pPr>
      <w:ind w:firstLine="200"/>
    </w:pPr>
    <w:rPr>
      <w:rFonts w:eastAsia="仿宋_GB2312" w:cs="Times New Roman"/>
      <w:szCs w:val="28"/>
    </w:rPr>
  </w:style>
  <w:style w:type="paragraph" w:customStyle="1" w:styleId="1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0">
    <w:name w:val="闻政-正文二级标题"/>
    <w:basedOn w:val="5"/>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