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黑体" w:hAnsi="黑体" w:eastAsia="黑体"/>
          <w:b/>
          <w:bCs/>
          <w:color w:val="auto"/>
          <w:sz w:val="36"/>
          <w:szCs w:val="36"/>
          <w:highlight w:val="none"/>
          <w:lang w:eastAsia="zh-CN"/>
        </w:rPr>
      </w:pPr>
      <w:r>
        <w:rPr>
          <w:rFonts w:hint="eastAsia" w:ascii="黑体" w:hAnsi="黑体" w:eastAsia="黑体"/>
          <w:b/>
          <w:bCs/>
          <w:color w:val="auto"/>
          <w:sz w:val="36"/>
          <w:szCs w:val="36"/>
          <w:highlight w:val="none"/>
          <w:lang w:eastAsia="zh-CN"/>
        </w:rPr>
        <w:t>叶城县示范村厕所革命项目支出绩效</w:t>
      </w:r>
      <w:r>
        <w:rPr>
          <w:rFonts w:hint="eastAsia" w:ascii="黑体" w:hAnsi="黑体" w:eastAsia="黑体"/>
          <w:b/>
          <w:bCs/>
          <w:color w:val="auto"/>
          <w:sz w:val="36"/>
          <w:szCs w:val="36"/>
          <w:highlight w:val="none"/>
          <w:lang w:val="en-US" w:eastAsia="zh-CN"/>
        </w:rPr>
        <w:t>自评总结</w:t>
      </w:r>
      <w:r>
        <w:rPr>
          <w:rFonts w:hint="eastAsia" w:ascii="黑体" w:hAnsi="黑体" w:eastAsia="黑体"/>
          <w:b/>
          <w:bCs/>
          <w:color w:val="auto"/>
          <w:sz w:val="36"/>
          <w:szCs w:val="36"/>
          <w:highlight w:val="none"/>
          <w:lang w:eastAsia="zh-CN"/>
        </w:rPr>
        <w:t>报告</w:t>
      </w: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方正仿宋_GBK" w:cs="方正仿宋_GBK"/>
          <w:b/>
          <w:color w:val="auto"/>
          <w:kern w:val="0"/>
          <w:sz w:val="32"/>
          <w:szCs w:val="32"/>
          <w:highlight w:val="none"/>
          <w:lang w:bidi="en-US"/>
        </w:rPr>
      </w:pP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方正仿宋_GBK" w:cs="方正仿宋_GBK"/>
          <w:b/>
          <w:color w:val="auto"/>
          <w:kern w:val="0"/>
          <w:sz w:val="32"/>
          <w:szCs w:val="32"/>
          <w:highlight w:val="none"/>
          <w:lang w:bidi="en-US"/>
        </w:rPr>
      </w:pPr>
    </w:p>
    <w:p>
      <w:pPr>
        <w:pStyle w:val="8"/>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方正仿宋_GBK" w:cs="方正仿宋_GBK"/>
          <w:b/>
          <w:color w:val="auto"/>
          <w:kern w:val="0"/>
          <w:sz w:val="32"/>
          <w:szCs w:val="32"/>
          <w:highlight w:val="none"/>
          <w:lang w:bidi="en-US"/>
        </w:rPr>
      </w:pPr>
    </w:p>
    <w:p>
      <w:pPr>
        <w:pageBreakBefore w:val="0"/>
        <w:widowControl w:val="0"/>
        <w:kinsoku/>
        <w:overflowPunct/>
        <w:topLinePunct w:val="0"/>
        <w:autoSpaceDN/>
        <w:bidi w:val="0"/>
        <w:adjustRightInd/>
        <w:snapToGrid/>
        <w:spacing w:line="560" w:lineRule="exact"/>
        <w:textAlignment w:val="auto"/>
        <w:rPr>
          <w:rFonts w:hint="eastAsia"/>
          <w:color w:val="auto"/>
          <w:highlight w:val="none"/>
        </w:rPr>
      </w:pPr>
    </w:p>
    <w:p>
      <w:pPr>
        <w:pStyle w:val="4"/>
        <w:pageBreakBefore w:val="0"/>
        <w:widowControl w:val="0"/>
        <w:kinsoku/>
        <w:overflowPunct/>
        <w:topLinePunct w:val="0"/>
        <w:autoSpaceDN/>
        <w:bidi w:val="0"/>
        <w:adjustRightInd/>
        <w:snapToGrid/>
        <w:spacing w:line="560" w:lineRule="exact"/>
        <w:textAlignment w:val="auto"/>
        <w:rPr>
          <w:rFonts w:hint="eastAsia" w:eastAsiaTheme="minorEastAsia"/>
          <w:color w:val="auto"/>
          <w:highlight w:val="none"/>
          <w:lang w:eastAsia="zh-CN"/>
        </w:rPr>
      </w:pPr>
    </w:p>
    <w:p>
      <w:pPr>
        <w:pStyle w:val="4"/>
        <w:pageBreakBefore w:val="0"/>
        <w:widowControl w:val="0"/>
        <w:kinsoku/>
        <w:overflowPunct/>
        <w:topLinePunct w:val="0"/>
        <w:autoSpaceDN/>
        <w:bidi w:val="0"/>
        <w:adjustRightInd/>
        <w:snapToGrid/>
        <w:spacing w:line="560" w:lineRule="exact"/>
        <w:textAlignment w:val="auto"/>
        <w:rPr>
          <w:rFonts w:hint="eastAsia" w:eastAsiaTheme="minorEastAsia"/>
          <w:color w:val="auto"/>
          <w:highlight w:val="none"/>
          <w:lang w:eastAsia="zh-CN"/>
        </w:rPr>
      </w:pPr>
    </w:p>
    <w:p>
      <w:pPr>
        <w:pStyle w:val="4"/>
        <w:pageBreakBefore w:val="0"/>
        <w:widowControl w:val="0"/>
        <w:kinsoku/>
        <w:overflowPunct/>
        <w:topLinePunct w:val="0"/>
        <w:autoSpaceDN/>
        <w:bidi w:val="0"/>
        <w:adjustRightInd/>
        <w:snapToGrid/>
        <w:spacing w:line="560" w:lineRule="exact"/>
        <w:textAlignment w:val="auto"/>
        <w:rPr>
          <w:rFonts w:hint="eastAsia" w:eastAsiaTheme="minorEastAsia"/>
          <w:color w:val="auto"/>
          <w:highlight w:val="none"/>
          <w:lang w:eastAsia="zh-CN"/>
        </w:rPr>
      </w:pPr>
    </w:p>
    <w:p>
      <w:pPr>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rPr>
      </w:pPr>
    </w:p>
    <w:p>
      <w:pPr>
        <w:pageBreakBefore w:val="0"/>
        <w:widowControl w:val="0"/>
        <w:kinsoku/>
        <w:wordWrap/>
        <w:overflowPunct/>
        <w:topLinePunct w:val="0"/>
        <w:autoSpaceDE/>
        <w:autoSpaceDN/>
        <w:bidi w:val="0"/>
        <w:adjustRightInd/>
        <w:snapToGrid/>
        <w:spacing w:line="560" w:lineRule="exact"/>
        <w:ind w:firstLine="0" w:firstLineChars="0"/>
        <w:jc w:val="both"/>
        <w:textAlignment w:val="auto"/>
        <w:rPr>
          <w:rFonts w:hint="eastAsia" w:ascii="Times New Roman" w:hAnsi="Times New Roman" w:eastAsia="方正仿宋_GBK" w:cs="方正仿宋_GBK"/>
          <w:color w:val="auto"/>
          <w:kern w:val="0"/>
          <w:sz w:val="32"/>
          <w:szCs w:val="32"/>
          <w:highlight w:val="none"/>
          <w:lang w:bidi="en-US"/>
        </w:rPr>
      </w:pP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项目名称：叶城县示范村厕所革命项目</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项目单位：叶城县乡村振兴局</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主管部门：叶城县乡村振兴局</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项目负责人：毕永亮</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填报时间：  2023年1月 15 日</w:t>
      </w:r>
    </w:p>
    <w:p>
      <w:pPr>
        <w:pStyle w:val="3"/>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黑体" w:eastAsia="仿宋_GB2312" w:cstheme="minorBidi"/>
          <w:color w:val="auto"/>
          <w:kern w:val="2"/>
          <w:sz w:val="32"/>
          <w:szCs w:val="32"/>
          <w:highlight w:val="none"/>
          <w:lang w:val="en-US" w:eastAsia="zh-CN" w:bidi="ar-SA"/>
        </w:rPr>
        <w:sectPr>
          <w:headerReference r:id="rId3" w:type="default"/>
          <w:footerReference r:id="rId4" w:type="default"/>
          <w:pgSz w:w="11906" w:h="16838"/>
          <w:pgMar w:top="1984" w:right="1531" w:bottom="1701" w:left="1531" w:header="851" w:footer="992" w:gutter="0"/>
          <w:pgNumType w:fmt="decimal" w:start="1"/>
          <w:cols w:space="720" w:num="1"/>
          <w:rtlGutter w:val="0"/>
          <w:docGrid w:type="lines" w:linePitch="386" w:charSpace="0"/>
        </w:sectPr>
      </w:pPr>
    </w:p>
    <w:p>
      <w:pPr>
        <w:pageBreakBefore w:val="0"/>
        <w:widowControl w:val="0"/>
        <w:kinsoku/>
        <w:overflowPunct/>
        <w:topLinePunct w:val="0"/>
        <w:autoSpaceDN/>
        <w:bidi w:val="0"/>
        <w:adjustRightInd/>
        <w:snapToGrid/>
        <w:spacing w:line="560" w:lineRule="exact"/>
        <w:ind w:firstLine="643" w:firstLineChars="200"/>
        <w:jc w:val="center"/>
        <w:textAlignment w:val="auto"/>
        <w:rPr>
          <w:rFonts w:ascii="黑体" w:hAnsi="黑体" w:eastAsia="黑体"/>
          <w:b/>
          <w:bCs/>
          <w:color w:val="auto"/>
          <w:sz w:val="32"/>
          <w:szCs w:val="32"/>
          <w:highlight w:val="none"/>
        </w:rPr>
      </w:pPr>
      <w:r>
        <w:rPr>
          <w:rFonts w:hint="eastAsia" w:ascii="黑体" w:hAnsi="黑体" w:eastAsia="黑体"/>
          <w:b/>
          <w:bCs/>
          <w:color w:val="auto"/>
          <w:sz w:val="32"/>
          <w:szCs w:val="32"/>
          <w:highlight w:val="none"/>
          <w:lang w:val="en-US" w:eastAsia="zh-CN"/>
        </w:rPr>
        <w:t>叶城县乡村振兴局2022</w:t>
      </w:r>
      <w:r>
        <w:rPr>
          <w:rFonts w:hint="eastAsia" w:ascii="黑体" w:hAnsi="黑体" w:eastAsia="黑体"/>
          <w:b/>
          <w:bCs/>
          <w:color w:val="auto"/>
          <w:sz w:val="32"/>
          <w:szCs w:val="32"/>
          <w:highlight w:val="none"/>
        </w:rPr>
        <w:t>年</w:t>
      </w:r>
      <w:r>
        <w:rPr>
          <w:rFonts w:hint="eastAsia" w:ascii="黑体" w:hAnsi="黑体" w:eastAsia="黑体"/>
          <w:b/>
          <w:bCs/>
          <w:color w:val="auto"/>
          <w:sz w:val="32"/>
          <w:szCs w:val="32"/>
          <w:highlight w:val="none"/>
          <w:lang w:eastAsia="zh-CN"/>
        </w:rPr>
        <w:t>财政衔接推进乡村振兴补助资金</w:t>
      </w:r>
      <w:r>
        <w:rPr>
          <w:rFonts w:hint="eastAsia" w:ascii="黑体" w:hAnsi="黑体" w:eastAsia="黑体"/>
          <w:b/>
          <w:bCs/>
          <w:color w:val="auto"/>
          <w:sz w:val="32"/>
          <w:szCs w:val="32"/>
          <w:highlight w:val="none"/>
        </w:rPr>
        <w:t>资金绩效自评总结报告</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一、绩效目标分解下达情况</w:t>
      </w:r>
    </w:p>
    <w:p>
      <w:pPr>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w:t>
      </w:r>
      <w:r>
        <w:rPr>
          <w:rFonts w:hint="eastAsia" w:ascii="仿宋_GB2312" w:hAnsi="黑体" w:eastAsia="仿宋_GB2312"/>
          <w:b/>
          <w:bCs/>
          <w:color w:val="auto"/>
          <w:sz w:val="32"/>
          <w:szCs w:val="32"/>
          <w:highlight w:val="none"/>
          <w:lang w:eastAsia="zh-CN"/>
        </w:rPr>
        <w:t>财政衔接推进乡村振兴补助资金</w:t>
      </w:r>
      <w:r>
        <w:rPr>
          <w:rFonts w:hint="eastAsia" w:ascii="仿宋_GB2312" w:hAnsi="黑体" w:eastAsia="仿宋_GB2312"/>
          <w:b/>
          <w:bCs/>
          <w:color w:val="auto"/>
          <w:sz w:val="32"/>
          <w:szCs w:val="32"/>
          <w:highlight w:val="none"/>
        </w:rPr>
        <w:t>资金下达预算及项目情况。</w:t>
      </w:r>
    </w:p>
    <w:p>
      <w:pPr>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根据《关于下达2022年自治区财政衔接推进乡村振兴补助资金预算的通知》（新财振〔2022〕18号），下达2022年自治区财政衔接推进乡村振兴补助资金，叶城县示范村厕所革命项目，项目总投资为1250万元，为广大农民群众提供干净、卫生、整洁的如厕环境,不断提升农民群众获得感,幸福感;将全年实施厕所改造5000户,每户补助资金2500元.其中：洛克乡1300户、柯克亚乡1000户、宗朗乡500户、萨依巴格乡500户、乌夏巴什镇500户、依力克其乡800户、江格勒斯乡400户。项目完工后，改善广大农民群众居住环境，使农民群众获得感、幸福感有效提升。</w:t>
      </w:r>
    </w:p>
    <w:p>
      <w:pPr>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b/>
          <w:bCs/>
          <w:color w:val="auto"/>
          <w:sz w:val="32"/>
          <w:szCs w:val="32"/>
          <w:highlight w:val="none"/>
          <w:lang w:val="en-US" w:eastAsia="zh-CN"/>
        </w:rPr>
        <w:t>2.</w:t>
      </w:r>
      <w:r>
        <w:rPr>
          <w:rFonts w:hint="eastAsia" w:ascii="仿宋_GB2312" w:hAnsi="黑体" w:eastAsia="仿宋_GB2312"/>
          <w:b/>
          <w:bCs/>
          <w:color w:val="auto"/>
          <w:sz w:val="32"/>
          <w:szCs w:val="32"/>
          <w:highlight w:val="none"/>
          <w:lang w:eastAsia="zh-CN"/>
        </w:rPr>
        <w:t>财政衔接推进乡村振兴补助资金</w:t>
      </w:r>
      <w:r>
        <w:rPr>
          <w:rFonts w:hint="eastAsia" w:ascii="仿宋_GB2312" w:hAnsi="黑体" w:eastAsia="仿宋_GB2312"/>
          <w:b/>
          <w:bCs/>
          <w:color w:val="auto"/>
          <w:sz w:val="32"/>
          <w:szCs w:val="32"/>
          <w:highlight w:val="none"/>
        </w:rPr>
        <w:t>资金项目绩效目标设定情况。</w:t>
      </w:r>
    </w:p>
    <w:p>
      <w:pPr>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预算金额为1250万元，为广大农民群众提供干净、卫生、整洁的如厕环境,不断提升农民群众获得感,幸福感;将全年实施厕所改造5000户,每户补助资金2500元.其中：洛克乡1300户、柯克亚乡1000户、宗朗乡500户、萨依巴格乡500户、乌夏巴什镇500户、依力克其乡800户、江格勒斯乡400户。项目完工后，改善广大农民群众居住环境，使农民群众获得感、幸福感有效提升。</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1.项目绩效总目标</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为广大农民群众提供干净、卫生、整洁的如厕环境,不断提升农民群众获得感,幸福感;将全年实施厕所改造5000户,每户补助资金2500元.其中：洛克乡1300户、柯克亚乡1000户、宗朗乡500户、萨依巴格乡500户、乌夏巴什镇500户、依力克其乡800户、江格勒斯乡400户。项目完工后，改善广大农民群众居住环境，使农民群众获得感、幸福感有效提升。</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2.阶段性目标</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为入户项目，2022年3月1日项目开工，2022年12月25日项目完成验收，完工，将全年实施厕所改造5000户,每户补助资金2500元.其中：洛克乡1300户、柯克亚乡1000户、宗朗乡500户、萨依巴格乡500户、乌夏巴什镇500户、依力克其乡800户、江格勒斯乡400户。</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二、绩效自评工作开展情况</w:t>
      </w:r>
    </w:p>
    <w:p>
      <w:pPr>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olor w:val="auto"/>
          <w:sz w:val="32"/>
          <w:szCs w:val="32"/>
          <w:highlight w:val="none"/>
        </w:rPr>
      </w:pPr>
      <w:r>
        <w:rPr>
          <w:rFonts w:hint="eastAsia" w:ascii="仿宋_GB2312" w:hAnsi="黑体" w:eastAsia="仿宋_GB2312"/>
          <w:color w:val="auto"/>
          <w:sz w:val="32"/>
          <w:szCs w:val="32"/>
          <w:highlight w:val="none"/>
        </w:rPr>
        <w:t>包括自评工作开展范围、对象、时间及方式等。</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 绩效评价范围</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本次评价范围涵盖项目总体绩效目标、各项绩效指标完成情况以及预算执行情况。覆盖项目预算资金支出的所有内容进行评价。包括项目决策、项目实施和项目成果验收流程等。</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 绩效评价对象</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3.绩效评价时间</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2023年1月3日-2023年1月30日</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4. 绩效评价方法</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本次绩效评价方法的选用坚持简便有效的原则采用综合分析法。</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5. 绩效评价标准</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绩效评价标准通常包括计划标准、行业标准、历史标准等，用于对绩效指标完成情况进行比较、分析、评价。本次评价主要采用了计划标准。</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0" w:name="_Toc31464"/>
      <w:bookmarkStart w:id="1" w:name="_Toc17882"/>
      <w:r>
        <w:rPr>
          <w:rFonts w:hint="eastAsia" w:ascii="仿宋_GB2312" w:hAnsi="黑体" w:eastAsia="仿宋_GB2312" w:cstheme="minorBidi"/>
          <w:color w:val="auto"/>
          <w:kern w:val="2"/>
          <w:sz w:val="32"/>
          <w:szCs w:val="32"/>
          <w:highlight w:val="none"/>
          <w:lang w:val="en-US" w:eastAsia="zh-CN" w:bidi="ar-SA"/>
        </w:rPr>
        <w:t>计划标准：指以预先制定的目标、计划、预算、定额等作为评价标准。</w:t>
      </w:r>
      <w:bookmarkEnd w:id="0"/>
      <w:bookmarkEnd w:id="1"/>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2" w:name="_Toc2318"/>
      <w:bookmarkStart w:id="3" w:name="_Toc5633"/>
      <w:r>
        <w:rPr>
          <w:rFonts w:hint="eastAsia" w:ascii="仿宋_GB2312" w:hAnsi="黑体" w:eastAsia="仿宋_GB2312" w:cstheme="minorBidi"/>
          <w:color w:val="auto"/>
          <w:kern w:val="2"/>
          <w:sz w:val="32"/>
          <w:szCs w:val="32"/>
          <w:highlight w:val="none"/>
          <w:lang w:val="en-US" w:eastAsia="zh-CN" w:bidi="ar-SA"/>
        </w:rPr>
        <w:t>行业标准：指参照国家公布的行业指标数据制定的评价标准。</w:t>
      </w:r>
      <w:bookmarkEnd w:id="2"/>
      <w:bookmarkEnd w:id="3"/>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4" w:name="_Toc430"/>
      <w:bookmarkStart w:id="5" w:name="_Toc16028"/>
      <w:r>
        <w:rPr>
          <w:rFonts w:hint="eastAsia" w:ascii="仿宋_GB2312" w:hAnsi="黑体" w:eastAsia="仿宋_GB2312" w:cstheme="minorBidi"/>
          <w:color w:val="auto"/>
          <w:kern w:val="2"/>
          <w:sz w:val="32"/>
          <w:szCs w:val="32"/>
          <w:highlight w:val="none"/>
          <w:lang w:val="en-US" w:eastAsia="zh-CN" w:bidi="ar-SA"/>
        </w:rPr>
        <w:t>历史标准：指参照历史数据制定的评价标准，为体现绩效改进的原则，在可实现的条件下应当确定相对较高的评价标准。</w:t>
      </w:r>
      <w:bookmarkEnd w:id="4"/>
      <w:bookmarkEnd w:id="5"/>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三、绩效目标自评完成情况分析</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(一）资金投入情况分析。</w:t>
      </w:r>
    </w:p>
    <w:p>
      <w:pPr>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1.项目资金到位情况分析。</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叶城县【2020】16号共安排下达资金1250万元，为巩固拓展脱贫攻坚成果同乡村振兴有效衔接资金，最终确定项目资金总数为1250万元。</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2.项目资金执行情况分析。</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截至2022年12月31日，实际支出1250万元，预算执行率100%。</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3.项目资金管理情况分析。</w:t>
      </w:r>
    </w:p>
    <w:p>
      <w:pPr>
        <w:pStyle w:val="17"/>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本项目支出符合《喀什地区财政巩固拓展脱贫攻坚成果同乡村振兴有效衔接资金管理办法（试行）》</w:t>
      </w:r>
      <w:bookmarkStart w:id="6" w:name="_GoBack"/>
      <w:bookmarkEnd w:id="6"/>
      <w:r>
        <w:rPr>
          <w:rFonts w:hint="eastAsia" w:ascii="仿宋_GB2312" w:hAnsi="黑体" w:eastAsia="仿宋_GB2312" w:cstheme="minorBidi"/>
          <w:color w:val="auto"/>
          <w:kern w:val="2"/>
          <w:sz w:val="32"/>
          <w:szCs w:val="32"/>
          <w:highlight w:val="none"/>
          <w:lang w:val="en-US" w:eastAsia="zh-CN" w:bidi="ar-SA"/>
        </w:rPr>
        <w:t>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(二）绩效目标完成情况分析。</w:t>
      </w:r>
    </w:p>
    <w:p>
      <w:pPr>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1.产出指标完成情况分析。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（1）对于“产出数量”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auto"/>
          <w:kern w:val="2"/>
          <w:sz w:val="32"/>
          <w:szCs w:val="32"/>
          <w:highlight w:val="none"/>
          <w:lang w:val="en-US" w:eastAsia="zh-CN" w:bidi="ar"/>
        </w:rPr>
      </w:pPr>
      <w:r>
        <w:rPr>
          <w:rFonts w:hint="eastAsia" w:ascii="仿宋_GB2312" w:hAnsi="宋体" w:eastAsia="仿宋_GB2312" w:cs="Times New Roman"/>
          <w:color w:val="auto"/>
          <w:kern w:val="2"/>
          <w:sz w:val="32"/>
          <w:szCs w:val="32"/>
          <w:highlight w:val="none"/>
          <w:lang w:val="en-US" w:eastAsia="zh-CN" w:bidi="ar"/>
        </w:rPr>
        <w:t>脱贫村人居环境整治个数7个，与预期目标一致，</w:t>
      </w:r>
      <w:r>
        <w:rPr>
          <w:rFonts w:hint="eastAsia" w:ascii="仿宋_GB2312" w:hAnsi="黑体" w:eastAsia="仿宋_GB2312" w:cstheme="minorBidi"/>
          <w:color w:val="auto"/>
          <w:kern w:val="2"/>
          <w:sz w:val="32"/>
          <w:szCs w:val="32"/>
          <w:highlight w:val="none"/>
          <w:lang w:val="en-US" w:eastAsia="zh-CN" w:bidi="ar-SA"/>
        </w:rPr>
        <w:t>指标标杆分值为6分，</w:t>
      </w:r>
      <w:r>
        <w:rPr>
          <w:rFonts w:hint="eastAsia" w:ascii="仿宋_GB2312" w:hAnsi="宋体" w:eastAsia="仿宋_GB2312" w:cs="Times New Roman"/>
          <w:color w:val="auto"/>
          <w:kern w:val="2"/>
          <w:sz w:val="32"/>
          <w:szCs w:val="32"/>
          <w:highlight w:val="none"/>
          <w:lang w:val="en-US" w:eastAsia="zh-CN" w:bidi="ar"/>
        </w:rPr>
        <w:t>根据评分标准，该指标不扣分，得6分。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auto"/>
          <w:kern w:val="2"/>
          <w:sz w:val="32"/>
          <w:szCs w:val="32"/>
          <w:highlight w:val="none"/>
          <w:lang w:val="en-US" w:eastAsia="zh-CN" w:bidi="ar"/>
        </w:rPr>
      </w:pPr>
      <w:r>
        <w:rPr>
          <w:rFonts w:hint="eastAsia" w:ascii="仿宋_GB2312" w:hAnsi="宋体" w:eastAsia="仿宋_GB2312" w:cs="Times New Roman"/>
          <w:color w:val="auto"/>
          <w:kern w:val="2"/>
          <w:sz w:val="32"/>
          <w:szCs w:val="32"/>
          <w:highlight w:val="none"/>
          <w:lang w:val="en-US" w:eastAsia="zh-CN" w:bidi="ar"/>
        </w:rPr>
        <w:t>厕所改造涉及乡镇数量7个，与预期目标一致，</w:t>
      </w:r>
      <w:r>
        <w:rPr>
          <w:rFonts w:hint="eastAsia" w:ascii="仿宋_GB2312" w:hAnsi="黑体" w:eastAsia="仿宋_GB2312" w:cstheme="minorBidi"/>
          <w:color w:val="auto"/>
          <w:kern w:val="2"/>
          <w:sz w:val="32"/>
          <w:szCs w:val="32"/>
          <w:highlight w:val="none"/>
          <w:lang w:val="en-US" w:eastAsia="zh-CN" w:bidi="ar-SA"/>
        </w:rPr>
        <w:t>指标标杆分值为6分，</w:t>
      </w:r>
      <w:r>
        <w:rPr>
          <w:rFonts w:hint="eastAsia" w:ascii="仿宋_GB2312" w:hAnsi="宋体" w:eastAsia="仿宋_GB2312" w:cs="Times New Roman"/>
          <w:color w:val="auto"/>
          <w:kern w:val="2"/>
          <w:sz w:val="32"/>
          <w:szCs w:val="32"/>
          <w:highlight w:val="none"/>
          <w:lang w:val="en-US" w:eastAsia="zh-CN" w:bidi="ar"/>
        </w:rPr>
        <w:t>根据评分标准，该指标不扣分，得6分。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auto"/>
          <w:kern w:val="2"/>
          <w:sz w:val="32"/>
          <w:szCs w:val="32"/>
          <w:highlight w:val="none"/>
          <w:lang w:val="en-US" w:eastAsia="zh-CN" w:bidi="ar"/>
        </w:rPr>
      </w:pPr>
      <w:r>
        <w:rPr>
          <w:rFonts w:hint="eastAsia" w:ascii="仿宋_GB2312" w:hAnsi="宋体" w:eastAsia="仿宋_GB2312" w:cs="Times New Roman"/>
          <w:color w:val="auto"/>
          <w:kern w:val="2"/>
          <w:sz w:val="32"/>
          <w:szCs w:val="32"/>
          <w:highlight w:val="none"/>
          <w:lang w:val="en-US" w:eastAsia="zh-CN" w:bidi="ar"/>
        </w:rPr>
        <w:t>厕所改造数量5000户，与预期目标一致，</w:t>
      </w:r>
      <w:r>
        <w:rPr>
          <w:rFonts w:hint="eastAsia" w:ascii="仿宋_GB2312" w:hAnsi="黑体" w:eastAsia="仿宋_GB2312" w:cstheme="minorBidi"/>
          <w:color w:val="auto"/>
          <w:kern w:val="2"/>
          <w:sz w:val="32"/>
          <w:szCs w:val="32"/>
          <w:highlight w:val="none"/>
          <w:lang w:val="en-US" w:eastAsia="zh-CN" w:bidi="ar-SA"/>
        </w:rPr>
        <w:t>指标标杆分值为6分，</w:t>
      </w:r>
      <w:r>
        <w:rPr>
          <w:rFonts w:hint="eastAsia" w:ascii="仿宋_GB2312" w:hAnsi="宋体" w:eastAsia="仿宋_GB2312" w:cs="Times New Roman"/>
          <w:color w:val="auto"/>
          <w:kern w:val="2"/>
          <w:sz w:val="32"/>
          <w:szCs w:val="32"/>
          <w:highlight w:val="none"/>
          <w:lang w:val="en-US" w:eastAsia="zh-CN" w:bidi="ar"/>
        </w:rPr>
        <w:t>根据评分标准，该指标不扣分，得6分。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auto"/>
          <w:kern w:val="2"/>
          <w:sz w:val="32"/>
          <w:szCs w:val="32"/>
          <w:highlight w:val="none"/>
          <w:lang w:val="en-US" w:eastAsia="zh-CN" w:bidi="ar"/>
        </w:rPr>
      </w:pPr>
      <w:r>
        <w:rPr>
          <w:rFonts w:hint="eastAsia" w:ascii="仿宋_GB2312" w:hAnsi="宋体" w:eastAsia="仿宋_GB2312" w:cs="Times New Roman"/>
          <w:color w:val="auto"/>
          <w:kern w:val="2"/>
          <w:sz w:val="32"/>
          <w:szCs w:val="32"/>
          <w:highlight w:val="none"/>
          <w:lang w:val="en-US" w:eastAsia="zh-CN" w:bidi="ar"/>
        </w:rPr>
        <w:t>合计得18分。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（2）对于“产出质量”：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auto"/>
          <w:kern w:val="2"/>
          <w:sz w:val="32"/>
          <w:szCs w:val="32"/>
          <w:highlight w:val="none"/>
          <w:lang w:val="en-US" w:eastAsia="zh-CN" w:bidi="ar"/>
        </w:rPr>
      </w:pPr>
      <w:r>
        <w:rPr>
          <w:rFonts w:hint="eastAsia" w:ascii="仿宋_GB2312" w:hAnsi="黑体" w:eastAsia="仿宋_GB2312" w:cstheme="minorBidi"/>
          <w:color w:val="auto"/>
          <w:kern w:val="2"/>
          <w:sz w:val="32"/>
          <w:szCs w:val="32"/>
          <w:highlight w:val="none"/>
          <w:lang w:val="en-US" w:eastAsia="zh-CN" w:bidi="ar-SA"/>
        </w:rPr>
        <w:t>项目工程验收合格率达100%，与预期目标一致，指标标杆分值为6分，根据评分标准，该指标不扣分。得6分</w:t>
      </w:r>
      <w:r>
        <w:rPr>
          <w:rFonts w:hint="eastAsia" w:ascii="仿宋_GB2312" w:hAnsi="宋体" w:eastAsia="仿宋_GB2312" w:cs="Times New Roman"/>
          <w:color w:val="auto"/>
          <w:kern w:val="2"/>
          <w:sz w:val="32"/>
          <w:szCs w:val="32"/>
          <w:highlight w:val="none"/>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（3）对于“产出时效”：</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项目开工时间2022年3月1日，与预期目标指标一致，指标标杆分值为6分，根据评分标准，该指标不扣分，得6分。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项目完工时间2022年12月25日，与预期目标指标一致，指标标杆分值为6分，根据评分标准，该指标不扣分，得6分。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auto"/>
          <w:kern w:val="2"/>
          <w:sz w:val="32"/>
          <w:szCs w:val="32"/>
          <w:highlight w:val="none"/>
          <w:lang w:val="en-US" w:eastAsia="zh-CN" w:bidi="ar"/>
        </w:rPr>
      </w:pPr>
      <w:r>
        <w:rPr>
          <w:rFonts w:hint="eastAsia" w:ascii="仿宋_GB2312" w:hAnsi="黑体" w:eastAsia="仿宋_GB2312" w:cstheme="minorBidi"/>
          <w:color w:val="auto"/>
          <w:kern w:val="2"/>
          <w:sz w:val="32"/>
          <w:szCs w:val="32"/>
          <w:highlight w:val="none"/>
          <w:lang w:val="en-US" w:eastAsia="zh-CN" w:bidi="ar-SA"/>
        </w:rPr>
        <w:t>项目完工及时率达100%，与预期目标指标一致，指标标杆分值为7分，根据评分标准，该指标不扣分。得7分</w:t>
      </w:r>
      <w:r>
        <w:rPr>
          <w:rFonts w:hint="eastAsia" w:ascii="仿宋_GB2312" w:hAnsi="宋体" w:eastAsia="仿宋_GB2312" w:cs="Times New Roman"/>
          <w:color w:val="auto"/>
          <w:kern w:val="2"/>
          <w:sz w:val="32"/>
          <w:szCs w:val="32"/>
          <w:highlight w:val="none"/>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合计得19分。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（4）对于“产出成本”：</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厕所改造每户补助资金成本2500元，项目经费都能控制绩效目标范围内，指标标杆分值为7分，根据评分标准，该指标不扣分，得7分。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2.效益指标完成情况分析。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1.实施效益指标：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（1）对于“社会效益指标”：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显著提升改造卫生厕所基本卫生条件，与预期指标一致，指标标杆分值为10分，根据评分标准，该指标不扣分，得10分。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（2）对于“经济效益指标”：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该项目无经济效益指标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（3）对于“可持续影响指标”：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厕所设计使用年限为5年，与预期指标一致，指标标杆分值为10分，根据评分标准，该指标不扣分，得10分。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（4）对于“生态效益指标”：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改造卫生厕所基本卫生条件有基本保障的比例达100%，与预期指标一致，指标标杆分值为10分，根据评分标准，该指标不扣分，得10分。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实施效益指标合计得30分。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3.满意度指标完成情况分析。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对于“满意度指标：受益脱贫户人口满意度95%，与预期目标一致，指标标杆分值为10分，根据评分标准，该指标不扣分,得10分。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四、偏离绩效目标的原因和下一步改进措施</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叶城县示范村厕所革命项目预算1250万元，到位1250万元，实际支出1250万元，预算执行率为100%，项目绩效指标总体完成率为100%，无偏差。</w:t>
      </w:r>
    </w:p>
    <w:p>
      <w:pPr>
        <w:keepNext w:val="0"/>
        <w:keepLines w:val="0"/>
        <w:pageBreakBefore w:val="0"/>
        <w:widowControl w:val="0"/>
        <w:suppressLineNumbers w:val="0"/>
        <w:kinsoku/>
        <w:wordWrap w:val="0"/>
        <w:overflowPunct/>
        <w:topLinePunct w:val="0"/>
        <w:autoSpaceDE w:val="0"/>
        <w:autoSpaceDN/>
        <w:bidi w:val="0"/>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五、综合评价结论</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color w:val="auto"/>
          <w:highlight w:val="none"/>
          <w:lang w:val="en-US" w:eastAsia="zh-CN"/>
        </w:rPr>
      </w:pPr>
      <w:r>
        <w:rPr>
          <w:rFonts w:hint="eastAsia" w:ascii="仿宋_GB2312" w:hAnsi="黑体" w:eastAsia="仿宋_GB2312" w:cstheme="minorBidi"/>
          <w:color w:val="auto"/>
          <w:kern w:val="2"/>
          <w:sz w:val="32"/>
          <w:szCs w:val="32"/>
          <w:highlight w:val="none"/>
          <w:lang w:val="en-US" w:eastAsia="zh-CN" w:bidi="ar-SA"/>
        </w:rPr>
        <w:t>叶城县示范村厕所革命项目已完成为广大农民群众提供干净、卫生、整洁的如厕环境,不断提升农民群众获得感,幸福感，推动了示范村厕所产生社会效益和生态效益。该项目最终评分100分，绩效评级为“优”。</w:t>
      </w:r>
    </w:p>
    <w:p>
      <w:pPr>
        <w:keepNext w:val="0"/>
        <w:keepLines w:val="0"/>
        <w:pageBreakBefore w:val="0"/>
        <w:widowControl w:val="0"/>
        <w:suppressLineNumbers w:val="0"/>
        <w:kinsoku/>
        <w:wordWrap w:val="0"/>
        <w:overflowPunct/>
        <w:topLinePunct w:val="0"/>
        <w:autoSpaceDE w:val="0"/>
        <w:autoSpaceDN/>
        <w:bidi w:val="0"/>
        <w:snapToGrid/>
        <w:spacing w:before="0" w:beforeAutospacing="0" w:after="0" w:afterAutospacing="0" w:line="560" w:lineRule="exact"/>
        <w:ind w:left="0" w:right="0" w:firstLine="643" w:firstLineChars="200"/>
        <w:jc w:val="left"/>
        <w:textAlignment w:val="auto"/>
        <w:rPr>
          <w:rFonts w:hint="eastAsia" w:ascii="仿宋_GB2312" w:hAnsi="黑体" w:eastAsia="仿宋_GB2312"/>
          <w:b/>
          <w:color w:val="auto"/>
          <w:sz w:val="32"/>
          <w:szCs w:val="32"/>
          <w:highlight w:val="none"/>
        </w:rPr>
      </w:pPr>
      <w:r>
        <w:rPr>
          <w:rFonts w:hint="eastAsia" w:ascii="仿宋_GB2312" w:hAnsi="黑体" w:eastAsia="仿宋_GB2312" w:cstheme="minorBidi"/>
          <w:b/>
          <w:bCs/>
          <w:color w:val="auto"/>
          <w:kern w:val="2"/>
          <w:sz w:val="32"/>
          <w:szCs w:val="32"/>
          <w:highlight w:val="none"/>
          <w:lang w:val="en-US" w:eastAsia="zh-CN" w:bidi="ar-SA"/>
        </w:rPr>
        <w:t>六、绩效自评结果拟应用和公开情况</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（一）对衔接推进乡村振兴补助资金项目、绩效公告公示情况</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（二）对绩效自评结果拟应用情况进行说明</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（三）对二级指标权重(分值)分配情况进行说明，赋权的方法或者原则</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Style w:val="17"/>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p>
    <w:p>
      <w:pPr>
        <w:pStyle w:val="4"/>
        <w:pageBreakBefore w:val="0"/>
        <w:widowControl w:val="0"/>
        <w:numPr>
          <w:ilvl w:val="0"/>
          <w:numId w:val="0"/>
        </w:numPr>
        <w:kinsoku/>
        <w:overflowPunct/>
        <w:topLinePunct w:val="0"/>
        <w:autoSpaceDN/>
        <w:bidi w:val="0"/>
        <w:adjustRightInd/>
        <w:snapToGrid/>
        <w:spacing w:line="560" w:lineRule="exact"/>
        <w:ind w:leftChars="200"/>
        <w:textAlignment w:val="auto"/>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HYb2gj">
    <w:altName w:val="宋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A26"/>
    <w:rsid w:val="003E0379"/>
    <w:rsid w:val="0055176E"/>
    <w:rsid w:val="00F20A26"/>
    <w:rsid w:val="03D30C97"/>
    <w:rsid w:val="059A592B"/>
    <w:rsid w:val="11834949"/>
    <w:rsid w:val="17DA3561"/>
    <w:rsid w:val="187A025D"/>
    <w:rsid w:val="1937751C"/>
    <w:rsid w:val="1ABF7AF2"/>
    <w:rsid w:val="292A7ED5"/>
    <w:rsid w:val="29EC0C5C"/>
    <w:rsid w:val="2AB127A3"/>
    <w:rsid w:val="2E51749D"/>
    <w:rsid w:val="31AE0AA6"/>
    <w:rsid w:val="32106303"/>
    <w:rsid w:val="41871287"/>
    <w:rsid w:val="4798609B"/>
    <w:rsid w:val="5B736C6D"/>
    <w:rsid w:val="67C3185F"/>
    <w:rsid w:val="7E984E50"/>
    <w:rsid w:val="7FAB2430"/>
    <w:rsid w:val="BEEDDF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7"/>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8">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5">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styleId="4">
    <w:name w:val="Body Text First Indent 2"/>
    <w:basedOn w:val="5"/>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7">
    <w:name w:val="Body Text"/>
    <w:basedOn w:val="1"/>
    <w:qFormat/>
    <w:uiPriority w:val="0"/>
    <w:pPr>
      <w:spacing w:before="240" w:after="240" w:line="360" w:lineRule="auto"/>
      <w:jc w:val="center"/>
    </w:pPr>
    <w:rPr>
      <w:b/>
      <w:sz w:val="44"/>
    </w:rPr>
  </w:style>
  <w:style w:type="paragraph" w:styleId="9">
    <w:name w:val="annotation text"/>
    <w:basedOn w:val="1"/>
    <w:unhideWhenUsed/>
    <w:qFormat/>
    <w:uiPriority w:val="99"/>
    <w:rPr>
      <w:rFonts w:cs="Times New Roman"/>
      <w:kern w:val="0"/>
      <w:sz w:val="20"/>
      <w:szCs w:val="20"/>
    </w:rPr>
  </w:style>
  <w:style w:type="paragraph" w:styleId="10">
    <w:name w:val="Plain Text"/>
    <w:basedOn w:val="1"/>
    <w:unhideWhenUsed/>
    <w:qFormat/>
    <w:uiPriority w:val="99"/>
    <w:rPr>
      <w:rFonts w:ascii="宋体" w:hAnsi="Courier New"/>
    </w:rPr>
  </w:style>
  <w:style w:type="paragraph" w:styleId="11">
    <w:name w:val="Body Text Indent 2"/>
    <w:basedOn w:val="1"/>
    <w:qFormat/>
    <w:uiPriority w:val="0"/>
    <w:pPr>
      <w:ind w:firstLine="280"/>
    </w:pPr>
    <w:rPr>
      <w:rFonts w:ascii="仿宋_GB2312" w:hAnsi="仿宋_GB2312" w:eastAsia="仿宋_GB2312"/>
      <w:kern w:val="1"/>
      <w:sz w:val="28"/>
    </w:rPr>
  </w:style>
  <w:style w:type="paragraph" w:styleId="12">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3">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6">
    <w:name w:val="Strong"/>
    <w:basedOn w:val="15"/>
    <w:qFormat/>
    <w:uiPriority w:val="0"/>
    <w:rPr>
      <w:b/>
      <w:bCs/>
    </w:rPr>
  </w:style>
  <w:style w:type="paragraph" w:customStyle="1" w:styleId="17">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0</TotalTime>
  <ScaleCrop>false</ScaleCrop>
  <LinksUpToDate>false</LinksUpToDate>
  <CharactersWithSpaces>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2019-10-08T13:02:00Z</dcterms:created>
  <dc:creator>姜波</dc:creator>
  <cp:lastModifiedBy>Administrator</cp:lastModifiedBy>
  <dcterms:modified xsi:type="dcterms:W3CDTF">2025-02-13T08:10:35Z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