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560" w:lineRule="exact"/>
        <w:textAlignment w:val="auto"/>
        <w:rPr>
          <w:rFonts w:hint="default"/>
          <w:b w:val="0"/>
          <w:bCs w:val="0"/>
          <w:color w:val="auto"/>
          <w:highlight w:val="none"/>
          <w:lang w:val="en-US" w:eastAsia="zh-CN"/>
        </w:rPr>
      </w:pPr>
    </w:p>
    <w:p>
      <w:pPr>
        <w:pageBreakBefore w:val="0"/>
        <w:widowControl w:val="0"/>
        <w:tabs>
          <w:tab w:val="left" w:pos="1680"/>
        </w:tabs>
        <w:kinsoku/>
        <w:wordWrap/>
        <w:overflowPunct/>
        <w:topLinePunct w:val="0"/>
        <w:autoSpaceDE/>
        <w:autoSpaceDN/>
        <w:bidi w:val="0"/>
        <w:adjustRightInd/>
        <w:snapToGrid/>
        <w:spacing w:before="120" w:after="120" w:line="560" w:lineRule="exact"/>
        <w:ind w:firstLine="643"/>
        <w:jc w:val="center"/>
        <w:textAlignment w:val="auto"/>
        <w:outlineLvl w:val="0"/>
        <w:rPr>
          <w:rFonts w:hint="eastAsia" w:ascii="Times New Roman" w:hAnsi="Times New Roman" w:eastAsia="方正仿宋_GBK" w:cs="方正仿宋_GBK"/>
          <w:b w:val="0"/>
          <w:bCs w:val="0"/>
          <w:color w:val="auto"/>
          <w:sz w:val="40"/>
          <w:szCs w:val="40"/>
          <w:highlight w:val="none"/>
        </w:rPr>
      </w:pPr>
    </w:p>
    <w:p>
      <w:pPr>
        <w:pageBreakBefore w:val="0"/>
        <w:widowControl w:val="0"/>
        <w:tabs>
          <w:tab w:val="left" w:pos="1680"/>
        </w:tabs>
        <w:kinsoku/>
        <w:wordWrap/>
        <w:overflowPunct/>
        <w:topLinePunct w:val="0"/>
        <w:autoSpaceDE/>
        <w:autoSpaceDN/>
        <w:bidi w:val="0"/>
        <w:adjustRightInd/>
        <w:snapToGrid/>
        <w:spacing w:before="120" w:after="120" w:line="560" w:lineRule="exact"/>
        <w:ind w:firstLine="643"/>
        <w:jc w:val="center"/>
        <w:textAlignment w:val="auto"/>
        <w:outlineLvl w:val="0"/>
        <w:rPr>
          <w:rFonts w:hint="eastAsia" w:ascii="Times New Roman" w:hAnsi="Times New Roman" w:eastAsia="方正仿宋_GBK" w:cs="方正仿宋_GBK"/>
          <w:b w:val="0"/>
          <w:bCs w:val="0"/>
          <w:color w:val="auto"/>
          <w:sz w:val="40"/>
          <w:szCs w:val="40"/>
          <w:highlight w:val="none"/>
        </w:rPr>
      </w:pPr>
    </w:p>
    <w:p>
      <w:pPr>
        <w:pageBreakBefore w:val="0"/>
        <w:widowControl w:val="0"/>
        <w:tabs>
          <w:tab w:val="left" w:pos="1680"/>
        </w:tabs>
        <w:kinsoku/>
        <w:wordWrap/>
        <w:overflowPunct/>
        <w:topLinePunct w:val="0"/>
        <w:autoSpaceDE/>
        <w:autoSpaceDN/>
        <w:bidi w:val="0"/>
        <w:adjustRightInd/>
        <w:snapToGrid/>
        <w:spacing w:before="120" w:after="120" w:line="560" w:lineRule="exact"/>
        <w:ind w:firstLine="643"/>
        <w:jc w:val="center"/>
        <w:textAlignment w:val="auto"/>
        <w:outlineLvl w:val="0"/>
        <w:rPr>
          <w:rFonts w:hint="eastAsia" w:ascii="Times New Roman" w:hAnsi="Times New Roman" w:eastAsia="方正仿宋_GBK" w:cs="方正仿宋_GBK"/>
          <w:b w:val="0"/>
          <w:bCs w:val="0"/>
          <w:color w:val="auto"/>
          <w:sz w:val="40"/>
          <w:szCs w:val="40"/>
          <w:highlight w:val="none"/>
        </w:rPr>
      </w:pPr>
      <w:r>
        <w:rPr>
          <w:rFonts w:hint="eastAsia" w:ascii="Times New Roman" w:hAnsi="Times New Roman" w:eastAsia="方正仿宋_GBK" w:cs="方正仿宋_GBK"/>
          <w:b/>
          <w:bCs/>
          <w:color w:val="auto"/>
          <w:sz w:val="40"/>
          <w:szCs w:val="40"/>
          <w:highlight w:val="none"/>
        </w:rPr>
        <w:t>叶城县小额贷款贴息项目支出绩效评价报告</w:t>
      </w:r>
    </w:p>
    <w:p>
      <w:pPr>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方正仿宋_GBK" w:cs="方正仿宋_GBK"/>
          <w:b w:val="0"/>
          <w:bCs w:val="0"/>
          <w:color w:val="auto"/>
          <w:kern w:val="0"/>
          <w:sz w:val="32"/>
          <w:szCs w:val="32"/>
          <w:highlight w:val="none"/>
          <w:lang w:bidi="en-US"/>
        </w:rPr>
      </w:pPr>
    </w:p>
    <w:p>
      <w:pPr>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Times New Roman" w:hAnsi="Times New Roman" w:eastAsia="方正仿宋_GBK" w:cs="方正仿宋_GBK"/>
          <w:b w:val="0"/>
          <w:bCs w:val="0"/>
          <w:color w:val="auto"/>
          <w:kern w:val="0"/>
          <w:sz w:val="32"/>
          <w:szCs w:val="32"/>
          <w:highlight w:val="none"/>
          <w:lang w:bidi="en-US"/>
        </w:rPr>
      </w:pPr>
    </w:p>
    <w:p>
      <w:pPr>
        <w:pStyle w:val="6"/>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方正仿宋_GBK"/>
          <w:b w:val="0"/>
          <w:bCs w:val="0"/>
          <w:color w:val="auto"/>
          <w:kern w:val="0"/>
          <w:sz w:val="32"/>
          <w:szCs w:val="32"/>
          <w:highlight w:val="none"/>
          <w:lang w:bidi="en-US"/>
        </w:rPr>
      </w:pPr>
    </w:p>
    <w:p>
      <w:pPr>
        <w:pageBreakBefore w:val="0"/>
        <w:widowControl w:val="0"/>
        <w:kinsoku/>
        <w:wordWrap/>
        <w:overflowPunct/>
        <w:topLinePunct w:val="0"/>
        <w:autoSpaceDE/>
        <w:autoSpaceDN/>
        <w:bidi w:val="0"/>
        <w:adjustRightInd/>
        <w:snapToGrid/>
        <w:spacing w:line="560" w:lineRule="exact"/>
        <w:textAlignment w:val="auto"/>
        <w:rPr>
          <w:rFonts w:hint="eastAsia"/>
          <w:b w:val="0"/>
          <w:bCs w:val="0"/>
          <w:color w:val="auto"/>
          <w:highlight w:val="none"/>
        </w:rPr>
      </w:pPr>
    </w:p>
    <w:p>
      <w:pPr>
        <w:pageBreakBefore w:val="0"/>
        <w:widowControl w:val="0"/>
        <w:kinsoku/>
        <w:wordWrap/>
        <w:overflowPunct/>
        <w:topLinePunct w:val="0"/>
        <w:autoSpaceDE/>
        <w:autoSpaceDN/>
        <w:bidi w:val="0"/>
        <w:adjustRightInd/>
        <w:snapToGrid/>
        <w:spacing w:line="560" w:lineRule="exact"/>
        <w:textAlignment w:val="auto"/>
        <w:rPr>
          <w:rFonts w:hint="eastAsia"/>
          <w:b w:val="0"/>
          <w:bCs w:val="0"/>
          <w:color w:val="auto"/>
          <w:highlight w:val="none"/>
        </w:rPr>
      </w:pPr>
    </w:p>
    <w:p>
      <w:pPr>
        <w:pStyle w:val="2"/>
        <w:pageBreakBefore w:val="0"/>
        <w:widowControl w:val="0"/>
        <w:kinsoku/>
        <w:wordWrap/>
        <w:overflowPunct/>
        <w:topLinePunct w:val="0"/>
        <w:autoSpaceDE/>
        <w:autoSpaceDN/>
        <w:bidi w:val="0"/>
        <w:adjustRightInd/>
        <w:snapToGrid/>
        <w:spacing w:line="560" w:lineRule="exact"/>
        <w:textAlignment w:val="auto"/>
        <w:rPr>
          <w:rFonts w:hint="eastAsia"/>
          <w:b w:val="0"/>
          <w:bCs w:val="0"/>
          <w:color w:val="auto"/>
          <w:highlight w:val="none"/>
        </w:rPr>
      </w:pPr>
    </w:p>
    <w:p>
      <w:pPr>
        <w:pStyle w:val="2"/>
        <w:pageBreakBefore w:val="0"/>
        <w:widowControl w:val="0"/>
        <w:kinsoku/>
        <w:wordWrap/>
        <w:overflowPunct/>
        <w:topLinePunct w:val="0"/>
        <w:autoSpaceDE/>
        <w:autoSpaceDN/>
        <w:bidi w:val="0"/>
        <w:adjustRightInd/>
        <w:snapToGrid/>
        <w:spacing w:line="560" w:lineRule="exact"/>
        <w:textAlignment w:val="auto"/>
        <w:rPr>
          <w:rFonts w:hint="eastAsia"/>
          <w:b w:val="0"/>
          <w:bCs w:val="0"/>
          <w:color w:val="auto"/>
          <w:highlight w:val="none"/>
        </w:rPr>
      </w:pPr>
    </w:p>
    <w:p>
      <w:pPr>
        <w:pStyle w:val="2"/>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b w:val="0"/>
          <w:bCs w:val="0"/>
          <w:color w:val="auto"/>
          <w:highlight w:val="none"/>
        </w:rPr>
      </w:pPr>
    </w:p>
    <w:p>
      <w:pPr>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eastAsia" w:ascii="Times New Roman" w:hAnsi="Times New Roman" w:eastAsia="方正仿宋_GBK" w:cs="方正仿宋_GBK"/>
          <w:b w:val="0"/>
          <w:bCs w:val="0"/>
          <w:color w:val="auto"/>
          <w:kern w:val="0"/>
          <w:sz w:val="32"/>
          <w:szCs w:val="32"/>
          <w:highlight w:val="none"/>
          <w:lang w:bidi="en-US"/>
        </w:rPr>
      </w:pP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default" w:ascii="Times New Roman" w:hAnsi="Times New Roman" w:eastAsia="方正仿宋_GBK" w:cs="方正仿宋_GBK"/>
          <w:b w:val="0"/>
          <w:bCs w:val="0"/>
          <w:color w:val="auto"/>
          <w:kern w:val="0"/>
          <w:sz w:val="32"/>
          <w:szCs w:val="32"/>
          <w:highlight w:val="none"/>
          <w:lang w:val="en-US" w:bidi="en-US"/>
        </w:rPr>
      </w:pPr>
      <w:r>
        <w:rPr>
          <w:rFonts w:hint="eastAsia" w:ascii="Times New Roman" w:hAnsi="Times New Roman" w:eastAsia="方正仿宋_GBK" w:cs="方正仿宋_GBK"/>
          <w:b w:val="0"/>
          <w:bCs w:val="0"/>
          <w:color w:val="auto"/>
          <w:kern w:val="0"/>
          <w:sz w:val="32"/>
          <w:szCs w:val="32"/>
          <w:highlight w:val="none"/>
          <w:lang w:bidi="en-US"/>
        </w:rPr>
        <w:t>项目名称：</w:t>
      </w:r>
      <w:r>
        <w:rPr>
          <w:rFonts w:hint="eastAsia" w:ascii="Times New Roman" w:hAnsi="Times New Roman" w:eastAsia="方正仿宋_GBK" w:cs="方正仿宋_GBK"/>
          <w:b w:val="0"/>
          <w:bCs w:val="0"/>
          <w:color w:val="auto"/>
          <w:kern w:val="0"/>
          <w:sz w:val="32"/>
          <w:szCs w:val="32"/>
          <w:highlight w:val="none"/>
          <w:lang w:val="en-US" w:eastAsia="zh-CN" w:bidi="en-US"/>
        </w:rPr>
        <w:t>叶城县小额贷款贴息</w:t>
      </w:r>
      <w:r>
        <w:rPr>
          <w:rFonts w:hint="eastAsia" w:eastAsia="方正仿宋_GBK" w:cs="方正仿宋_GBK"/>
          <w:b w:val="0"/>
          <w:bCs w:val="0"/>
          <w:color w:val="auto"/>
          <w:kern w:val="0"/>
          <w:sz w:val="32"/>
          <w:szCs w:val="32"/>
          <w:highlight w:val="none"/>
          <w:lang w:val="en-US" w:eastAsia="zh-CN" w:bidi="en-US"/>
        </w:rPr>
        <w:t>项目</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eastAsia" w:ascii="Times New Roman" w:hAnsi="Times New Roman" w:eastAsia="方正仿宋_GBK" w:cs="方正仿宋_GBK"/>
          <w:b w:val="0"/>
          <w:bCs w:val="0"/>
          <w:color w:val="auto"/>
          <w:kern w:val="0"/>
          <w:sz w:val="32"/>
          <w:szCs w:val="32"/>
          <w:highlight w:val="none"/>
          <w:lang w:bidi="en-US"/>
        </w:rPr>
      </w:pPr>
      <w:r>
        <w:rPr>
          <w:rFonts w:hint="eastAsia" w:ascii="Times New Roman" w:hAnsi="Times New Roman" w:eastAsia="方正仿宋_GBK" w:cs="方正仿宋_GBK"/>
          <w:b w:val="0"/>
          <w:bCs w:val="0"/>
          <w:color w:val="auto"/>
          <w:kern w:val="0"/>
          <w:sz w:val="32"/>
          <w:szCs w:val="32"/>
          <w:highlight w:val="none"/>
          <w:lang w:bidi="en-US"/>
        </w:rPr>
        <w:t>项目单位：</w:t>
      </w:r>
      <w:r>
        <w:rPr>
          <w:rFonts w:hint="eastAsia" w:eastAsia="方正仿宋_GBK" w:cs="方正仿宋_GBK"/>
          <w:b w:val="0"/>
          <w:bCs w:val="0"/>
          <w:color w:val="auto"/>
          <w:kern w:val="0"/>
          <w:sz w:val="32"/>
          <w:szCs w:val="32"/>
          <w:highlight w:val="none"/>
          <w:lang w:val="en-US" w:eastAsia="zh-CN" w:bidi="en-US"/>
        </w:rPr>
        <w:t>叶城县</w:t>
      </w:r>
      <w:r>
        <w:rPr>
          <w:rFonts w:hint="eastAsia" w:ascii="Times New Roman" w:hAnsi="Times New Roman" w:eastAsia="方正仿宋_GBK" w:cs="方正仿宋_GBK"/>
          <w:b w:val="0"/>
          <w:bCs w:val="0"/>
          <w:color w:val="auto"/>
          <w:kern w:val="0"/>
          <w:sz w:val="32"/>
          <w:szCs w:val="32"/>
          <w:highlight w:val="none"/>
          <w:lang w:val="en-US" w:eastAsia="zh-CN" w:bidi="en-US"/>
        </w:rPr>
        <w:t>农业农村</w:t>
      </w:r>
      <w:r>
        <w:rPr>
          <w:rFonts w:hint="eastAsia" w:ascii="Times New Roman" w:hAnsi="Times New Roman" w:eastAsia="方正仿宋_GBK" w:cs="方正仿宋_GBK"/>
          <w:b w:val="0"/>
          <w:bCs w:val="0"/>
          <w:color w:val="auto"/>
          <w:kern w:val="0"/>
          <w:sz w:val="32"/>
          <w:szCs w:val="32"/>
          <w:highlight w:val="none"/>
          <w:lang w:bidi="en-US"/>
        </w:rPr>
        <w:t>局</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eastAsia" w:ascii="Times New Roman" w:hAnsi="Times New Roman" w:eastAsia="方正仿宋_GBK" w:cs="方正仿宋_GBK"/>
          <w:b w:val="0"/>
          <w:bCs w:val="0"/>
          <w:color w:val="auto"/>
          <w:kern w:val="0"/>
          <w:sz w:val="32"/>
          <w:szCs w:val="32"/>
          <w:highlight w:val="none"/>
          <w:lang w:bidi="en-US"/>
        </w:rPr>
      </w:pPr>
      <w:r>
        <w:rPr>
          <w:rFonts w:hint="eastAsia" w:ascii="Times New Roman" w:hAnsi="Times New Roman" w:eastAsia="方正仿宋_GBK" w:cs="方正仿宋_GBK"/>
          <w:b w:val="0"/>
          <w:bCs w:val="0"/>
          <w:color w:val="auto"/>
          <w:kern w:val="0"/>
          <w:sz w:val="32"/>
          <w:szCs w:val="32"/>
          <w:highlight w:val="none"/>
          <w:lang w:bidi="en-US"/>
        </w:rPr>
        <w:t>主管部门：</w:t>
      </w:r>
      <w:r>
        <w:rPr>
          <w:rFonts w:hint="eastAsia" w:eastAsia="方正仿宋_GBK" w:cs="方正仿宋_GBK"/>
          <w:b w:val="0"/>
          <w:bCs w:val="0"/>
          <w:color w:val="auto"/>
          <w:kern w:val="0"/>
          <w:sz w:val="32"/>
          <w:szCs w:val="32"/>
          <w:highlight w:val="none"/>
          <w:lang w:val="en-US" w:eastAsia="zh-CN" w:bidi="en-US"/>
        </w:rPr>
        <w:t>叶城县</w:t>
      </w:r>
      <w:r>
        <w:rPr>
          <w:rFonts w:hint="eastAsia" w:ascii="Times New Roman" w:hAnsi="Times New Roman" w:eastAsia="方正仿宋_GBK" w:cs="方正仿宋_GBK"/>
          <w:b w:val="0"/>
          <w:bCs w:val="0"/>
          <w:color w:val="auto"/>
          <w:kern w:val="0"/>
          <w:sz w:val="32"/>
          <w:szCs w:val="32"/>
          <w:highlight w:val="none"/>
          <w:lang w:val="en-US" w:eastAsia="zh-CN" w:bidi="en-US"/>
        </w:rPr>
        <w:t>农业农村</w:t>
      </w:r>
      <w:r>
        <w:rPr>
          <w:rFonts w:hint="eastAsia" w:ascii="Times New Roman" w:hAnsi="Times New Roman" w:eastAsia="方正仿宋_GBK" w:cs="方正仿宋_GBK"/>
          <w:b w:val="0"/>
          <w:bCs w:val="0"/>
          <w:color w:val="auto"/>
          <w:kern w:val="0"/>
          <w:sz w:val="32"/>
          <w:szCs w:val="32"/>
          <w:highlight w:val="none"/>
          <w:lang w:bidi="en-US"/>
        </w:rPr>
        <w:t>局（本级）</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default" w:ascii="Times New Roman" w:hAnsi="Times New Roman" w:eastAsia="方正仿宋_GBK" w:cs="方正仿宋_GBK"/>
          <w:b w:val="0"/>
          <w:bCs w:val="0"/>
          <w:color w:val="auto"/>
          <w:kern w:val="0"/>
          <w:sz w:val="32"/>
          <w:szCs w:val="32"/>
          <w:highlight w:val="none"/>
          <w:lang w:val="en-US" w:eastAsia="zh-CN" w:bidi="en-US"/>
        </w:rPr>
      </w:pPr>
      <w:r>
        <w:rPr>
          <w:rFonts w:hint="eastAsia" w:ascii="Times New Roman" w:hAnsi="Times New Roman" w:eastAsia="方正仿宋_GBK" w:cs="方正仿宋_GBK"/>
          <w:b w:val="0"/>
          <w:bCs w:val="0"/>
          <w:color w:val="auto"/>
          <w:kern w:val="0"/>
          <w:sz w:val="32"/>
          <w:szCs w:val="32"/>
          <w:highlight w:val="none"/>
          <w:lang w:eastAsia="zh-CN" w:bidi="en-US"/>
        </w:rPr>
        <w:t>项目负责人：</w:t>
      </w:r>
      <w:r>
        <w:rPr>
          <w:rFonts w:hint="eastAsia" w:eastAsia="方正仿宋_GBK" w:cs="方正仿宋_GBK"/>
          <w:b w:val="0"/>
          <w:bCs w:val="0"/>
          <w:color w:val="auto"/>
          <w:kern w:val="0"/>
          <w:sz w:val="32"/>
          <w:szCs w:val="32"/>
          <w:highlight w:val="none"/>
          <w:lang w:val="en-US" w:eastAsia="zh-CN" w:bidi="en-US"/>
        </w:rPr>
        <w:t>辛玉保</w:t>
      </w:r>
    </w:p>
    <w:p>
      <w:pPr>
        <w:pageBreakBefore w:val="0"/>
        <w:widowControl w:val="0"/>
        <w:kinsoku/>
        <w:wordWrap/>
        <w:overflowPunct/>
        <w:topLinePunct w:val="0"/>
        <w:autoSpaceDE/>
        <w:autoSpaceDN/>
        <w:bidi w:val="0"/>
        <w:adjustRightInd/>
        <w:snapToGrid/>
        <w:spacing w:line="560" w:lineRule="exact"/>
        <w:ind w:firstLine="1411" w:firstLineChars="441"/>
        <w:jc w:val="left"/>
        <w:textAlignment w:val="auto"/>
        <w:rPr>
          <w:rFonts w:hint="eastAsia" w:ascii="Times New Roman" w:hAnsi="Times New Roman" w:eastAsia="方正仿宋_GBK" w:cs="方正仿宋_GBK"/>
          <w:b w:val="0"/>
          <w:bCs w:val="0"/>
          <w:color w:val="auto"/>
          <w:kern w:val="0"/>
          <w:sz w:val="32"/>
          <w:szCs w:val="32"/>
          <w:highlight w:val="none"/>
          <w:lang w:val="en-US" w:eastAsia="zh-CN" w:bidi="en-US"/>
        </w:rPr>
      </w:pPr>
      <w:r>
        <w:rPr>
          <w:rFonts w:hint="eastAsia" w:ascii="Times New Roman" w:hAnsi="Times New Roman" w:eastAsia="方正仿宋_GBK" w:cs="方正仿宋_GBK"/>
          <w:b w:val="0"/>
          <w:bCs w:val="0"/>
          <w:color w:val="auto"/>
          <w:kern w:val="0"/>
          <w:sz w:val="32"/>
          <w:szCs w:val="32"/>
          <w:highlight w:val="none"/>
          <w:lang w:eastAsia="zh-CN" w:bidi="en-US"/>
        </w:rPr>
        <w:t>填报时间：</w:t>
      </w:r>
      <w:r>
        <w:rPr>
          <w:rFonts w:hint="eastAsia" w:ascii="Times New Roman" w:hAnsi="Times New Roman" w:eastAsia="方正仿宋_GBK" w:cs="方正仿宋_GBK"/>
          <w:b w:val="0"/>
          <w:bCs w:val="0"/>
          <w:color w:val="auto"/>
          <w:kern w:val="0"/>
          <w:sz w:val="32"/>
          <w:szCs w:val="32"/>
          <w:highlight w:val="none"/>
          <w:lang w:val="en-US" w:eastAsia="zh-CN" w:bidi="en-US"/>
        </w:rPr>
        <w:t xml:space="preserve"> 2023</w:t>
      </w:r>
      <w:r>
        <w:rPr>
          <w:rFonts w:hint="eastAsia" w:ascii="Times New Roman" w:hAnsi="Times New Roman" w:eastAsia="方正仿宋_GBK" w:cs="方正仿宋_GBK"/>
          <w:b w:val="0"/>
          <w:bCs w:val="0"/>
          <w:color w:val="auto"/>
          <w:kern w:val="0"/>
          <w:sz w:val="32"/>
          <w:szCs w:val="32"/>
          <w:highlight w:val="none"/>
          <w:lang w:eastAsia="zh-CN" w:bidi="en-US"/>
        </w:rPr>
        <w:t>年</w:t>
      </w:r>
      <w:r>
        <w:rPr>
          <w:rFonts w:hint="eastAsia" w:ascii="Times New Roman" w:hAnsi="Times New Roman" w:eastAsia="方正仿宋_GBK" w:cs="方正仿宋_GBK"/>
          <w:b w:val="0"/>
          <w:bCs w:val="0"/>
          <w:color w:val="auto"/>
          <w:kern w:val="0"/>
          <w:sz w:val="32"/>
          <w:szCs w:val="32"/>
          <w:highlight w:val="none"/>
          <w:lang w:val="en-US" w:eastAsia="zh-CN" w:bidi="en-US"/>
        </w:rPr>
        <w:t xml:space="preserve"> 1 </w:t>
      </w:r>
      <w:r>
        <w:rPr>
          <w:rFonts w:hint="eastAsia" w:ascii="Times New Roman" w:hAnsi="Times New Roman" w:eastAsia="方正仿宋_GBK" w:cs="方正仿宋_GBK"/>
          <w:b w:val="0"/>
          <w:bCs w:val="0"/>
          <w:color w:val="auto"/>
          <w:kern w:val="0"/>
          <w:sz w:val="32"/>
          <w:szCs w:val="32"/>
          <w:highlight w:val="none"/>
          <w:lang w:eastAsia="zh-CN" w:bidi="en-US"/>
        </w:rPr>
        <w:t>月</w:t>
      </w:r>
      <w:r>
        <w:rPr>
          <w:rFonts w:hint="eastAsia" w:ascii="Times New Roman" w:hAnsi="Times New Roman" w:eastAsia="方正仿宋_GBK" w:cs="方正仿宋_GBK"/>
          <w:b w:val="0"/>
          <w:bCs w:val="0"/>
          <w:color w:val="auto"/>
          <w:kern w:val="0"/>
          <w:sz w:val="32"/>
          <w:szCs w:val="32"/>
          <w:highlight w:val="none"/>
          <w:lang w:val="en-US" w:eastAsia="zh-CN" w:bidi="en-US"/>
        </w:rPr>
        <w:t xml:space="preserve"> 11 日</w:t>
      </w:r>
    </w:p>
    <w:p>
      <w:pPr>
        <w:pStyle w:val="4"/>
        <w:keepNext/>
        <w:keepLines/>
        <w:pageBreakBefore w:val="0"/>
        <w:widowControl w:val="0"/>
        <w:kinsoku/>
        <w:wordWrap/>
        <w:overflowPunct/>
        <w:topLinePunct w:val="0"/>
        <w:autoSpaceDE/>
        <w:autoSpaceDN/>
        <w:bidi w:val="0"/>
        <w:adjustRightInd/>
        <w:snapToGrid/>
        <w:spacing w:before="0" w:after="0" w:line="560" w:lineRule="exact"/>
        <w:textAlignment w:val="auto"/>
        <w:rPr>
          <w:rFonts w:hint="eastAsia" w:ascii="仿宋_GB2312" w:hAnsi="黑体" w:eastAsia="仿宋_GB2312" w:cstheme="minorBidi"/>
          <w:b w:val="0"/>
          <w:bCs w:val="0"/>
          <w:color w:val="auto"/>
          <w:kern w:val="2"/>
          <w:sz w:val="32"/>
          <w:szCs w:val="32"/>
          <w:highlight w:val="none"/>
          <w:lang w:val="en-US" w:eastAsia="zh-CN" w:bidi="ar-SA"/>
        </w:rPr>
        <w:sectPr>
          <w:headerReference r:id="rId3" w:type="default"/>
          <w:footerReference r:id="rId4" w:type="default"/>
          <w:pgSz w:w="11906" w:h="16838"/>
          <w:pgMar w:top="1984" w:right="1531" w:bottom="1701" w:left="1531" w:header="851" w:footer="992" w:gutter="0"/>
          <w:pgNumType w:fmt="decimal" w:start="1"/>
          <w:cols w:space="720" w:num="1"/>
          <w:rtlGutter w:val="0"/>
          <w:docGrid w:type="lines" w:linePitch="386" w:charSpace="0"/>
        </w:sectPr>
      </w:pPr>
    </w:p>
    <w:p>
      <w:pPr>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ascii="黑体" w:hAnsi="黑体" w:eastAsia="黑体"/>
          <w:b w:val="0"/>
          <w:bCs w:val="0"/>
          <w:color w:val="auto"/>
          <w:sz w:val="32"/>
          <w:szCs w:val="32"/>
          <w:highlight w:val="none"/>
        </w:rPr>
      </w:pPr>
      <w:r>
        <w:rPr>
          <w:rFonts w:hint="eastAsia" w:ascii="黑体" w:hAnsi="黑体" w:eastAsia="黑体"/>
          <w:b w:val="0"/>
          <w:bCs w:val="0"/>
          <w:color w:val="auto"/>
          <w:sz w:val="32"/>
          <w:szCs w:val="32"/>
          <w:highlight w:val="none"/>
          <w:lang w:val="en-US" w:eastAsia="zh-CN"/>
        </w:rPr>
        <w:t>叶城县农业农村</w:t>
      </w:r>
      <w:r>
        <w:rPr>
          <w:rFonts w:hint="eastAsia" w:ascii="黑体" w:hAnsi="黑体" w:eastAsia="黑体"/>
          <w:b w:val="0"/>
          <w:bCs w:val="0"/>
          <w:color w:val="auto"/>
          <w:sz w:val="32"/>
          <w:szCs w:val="32"/>
          <w:highlight w:val="none"/>
        </w:rPr>
        <w:t>局</w:t>
      </w:r>
      <w:r>
        <w:rPr>
          <w:rFonts w:hint="eastAsia" w:ascii="黑体" w:hAnsi="黑体" w:eastAsia="黑体"/>
          <w:b w:val="0"/>
          <w:bCs w:val="0"/>
          <w:color w:val="auto"/>
          <w:sz w:val="32"/>
          <w:szCs w:val="32"/>
          <w:highlight w:val="none"/>
          <w:lang w:val="en-US" w:eastAsia="zh-CN"/>
        </w:rPr>
        <w:t>2022</w:t>
      </w:r>
      <w:r>
        <w:rPr>
          <w:rFonts w:hint="eastAsia" w:ascii="黑体" w:hAnsi="黑体" w:eastAsia="黑体"/>
          <w:b w:val="0"/>
          <w:bCs w:val="0"/>
          <w:color w:val="auto"/>
          <w:sz w:val="32"/>
          <w:szCs w:val="32"/>
          <w:highlight w:val="none"/>
        </w:rPr>
        <w:t>年财政专项扶贫资金绩效自评总结报告</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一、绩效目标分解下达情况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bCs/>
          <w:color w:val="auto"/>
          <w:sz w:val="32"/>
          <w:szCs w:val="32"/>
          <w:highlight w:val="none"/>
        </w:rPr>
        <w:t>1.财政衔接推进乡村振兴补助资金下达预算及项目情况。</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根据《关于下达2022年自治区财政衔接推进乡村振兴补助资金预算的通知》（新财振〔2022〕18号），下达2022年自治区财政衔接推进乡村振兴补助资金，叶城县小额贷款贴息项目，项目总投资为15294万元，通过该项目的实施，支持本县产业发展和改善乡村基层治理等方面发挥积极作用，巩固拓展脱贫攻坚成果同乡村振兴有效衔接，切实满足脱贫人口、边缘易致贫人口小额信贷需求，支持脱贫人口、边缘易致贫人口发展生产不返贫、不致贫，使脱贫人口、边缘易致贫人口享受小额贷款贴息项目。</w:t>
      </w:r>
    </w:p>
    <w:p>
      <w:pPr>
        <w:pStyle w:val="15"/>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黑体" w:eastAsia="仿宋_GB2312" w:cstheme="minorBidi"/>
          <w:b w:val="0"/>
          <w:bCs w:val="0"/>
          <w:color w:val="auto"/>
          <w:kern w:val="2"/>
          <w:sz w:val="32"/>
          <w:szCs w:val="32"/>
          <w:highlight w:val="none"/>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b/>
          <w:bCs/>
          <w:color w:val="auto"/>
          <w:sz w:val="32"/>
          <w:szCs w:val="32"/>
          <w:highlight w:val="none"/>
          <w:lang w:val="en-US" w:eastAsia="zh-CN"/>
        </w:rPr>
        <w:t>2.</w:t>
      </w:r>
      <w:r>
        <w:rPr>
          <w:rFonts w:hint="eastAsia" w:ascii="仿宋_GB2312" w:hAnsi="黑体" w:eastAsia="仿宋_GB2312"/>
          <w:b/>
          <w:bCs/>
          <w:color w:val="auto"/>
          <w:sz w:val="32"/>
          <w:szCs w:val="32"/>
          <w:highlight w:val="none"/>
        </w:rPr>
        <w:t>财政衔接推进乡村振兴补助资金项目绩效目标设定情况。</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本项目建设主要服务于当地农业生产的发展。带动4750户脱贫户和边缘易致贫户贷款（用于农业生产、种植养殖），脱贫户和边缘高致贫户脱贫户和边缘易致贫户获得年度总金额15294万元、支持本县产业发展和改善乡村基层治理等方面发挥积极作用，巩固拓展脱贫攻坚成果同乡村振兴有效衔接，切实满足脱贫人口、边缘易致贫人口小额信贷需求，支持脱贫人口、边缘易致贫人口发展生产不返贫、不致贫，使脱贫人口、边缘易致贫人口享受小额贷款贴息项目。</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1.项目绩效总目标</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该项目计划资金674.473478万元，用于开展扶贫小额贷款。该项目的实施，预计带动4750户脱贫户和边缘易致贫户贷款（用于农业生产、种植养殖），预计脱贫户和边缘高致贫户脱贫户和边缘易致贫户获得年度总金额15294万元、支持本县产业发展和改善乡村基层治理等方面发挥积极作用，巩固拓展脱贫攻坚成果同乡村振兴有效衔接，切实满足脱贫人口、边缘易致贫人口小额信贷需求，支持脱贫人口、边缘易致贫人口发展生产不返贫、不致贫，使脱贫人口、边缘易致贫人口享受小额贷款贴息项目。带动增加受益脱贫户人口全年总收入达到674万元，脱贫户和边缘易致贫户户数4750户。</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2.阶段性目标</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本项目为新建项目。项目实施主要依据为《叶城县2022年第一批巩固拓展脱贫攻坚成果同乡村振兴项目实施方案》叶党农领字〔2022〕1号。项目的实施支持本县产业发展和改善乡村基层治理等方面发挥积极作用，巩固拓展脱贫攻坚成果同乡村振兴有效衔接，切实满足脱贫人口、边缘易致贫人口小额信贷需求，支持脱贫人口、边缘易致贫人口发展生产不返贫、不致贫，使脱贫人口、边缘易致贫人口享受小额贷款贴息项目。</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二、绩效自评工作开展情况</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bookmarkStart w:id="0" w:name="_Toc68364661"/>
      <w:r>
        <w:rPr>
          <w:rFonts w:hint="eastAsia" w:ascii="仿宋_GB2312" w:hAnsi="黑体" w:eastAsia="仿宋_GB2312" w:cstheme="minorBidi"/>
          <w:b w:val="0"/>
          <w:bCs w:val="0"/>
          <w:color w:val="auto"/>
          <w:kern w:val="2"/>
          <w:sz w:val="32"/>
          <w:szCs w:val="32"/>
          <w:highlight w:val="none"/>
          <w:lang w:val="en-US" w:eastAsia="zh-CN" w:bidi="ar-SA"/>
        </w:rPr>
        <w:t>（一）绩效评价目的、对象和范围</w:t>
      </w:r>
      <w:bookmarkEnd w:id="0"/>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 绩效评价目的</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 绩效评价对象</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 绩效评价范围</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本次评价范围涵盖项目总体绩效目标、各项绩效指标完成情况以及预算执行情况。</w:t>
      </w:r>
      <w:bookmarkStart w:id="1" w:name="_Toc68364662"/>
      <w:r>
        <w:rPr>
          <w:rFonts w:hint="eastAsia" w:ascii="仿宋_GB2312" w:hAnsi="黑体" w:eastAsia="仿宋_GB2312" w:cstheme="minorBidi"/>
          <w:b w:val="0"/>
          <w:bCs w:val="0"/>
          <w:color w:val="auto"/>
          <w:kern w:val="2"/>
          <w:sz w:val="32"/>
          <w:szCs w:val="32"/>
          <w:highlight w:val="none"/>
          <w:lang w:val="en-US" w:eastAsia="zh-CN" w:bidi="ar-SA"/>
        </w:rPr>
        <w:t>覆盖项目预算资金支出的所有内容进行评价。包括项目决策、项目实施和项目成果验收流程等。</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（二）绩效评价原则、评价指标体系、评价方法评价标准</w:t>
      </w:r>
      <w:bookmarkEnd w:id="1"/>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1. 绩效评价原则</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本次绩效评价遵循的原则包括：</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（1）科学公正。绩效评价应当运用科学合理的方法，按照规范的程序，对项目绩效进行客观、公正的反映。</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（3）激励约束。绩效评价结果应与预算安排、政策调整、改进管理实质性挂钩，体现奖优罚劣和激励相容导向，有效要安排、低效要压减、无效要问责。</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（4）公开透明。绩效评价结果应依法依规公开，并自觉接受社会监督。</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 绩效评价指标体系</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 绩效评价方法</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本次绩效评价方法的选用坚持简便有效的原则采用综合分析法。</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4. 绩效评价标准</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bookmarkStart w:id="2" w:name="_Toc68364663"/>
      <w:r>
        <w:rPr>
          <w:rFonts w:hint="eastAsia" w:ascii="仿宋_GB2312" w:hAnsi="黑体" w:eastAsia="仿宋_GB2312" w:cstheme="minorBidi"/>
          <w:b w:val="0"/>
          <w:bCs w:val="0"/>
          <w:color w:val="auto"/>
          <w:kern w:val="2"/>
          <w:sz w:val="32"/>
          <w:szCs w:val="32"/>
          <w:highlight w:val="none"/>
          <w:lang w:val="en-US" w:eastAsia="zh-CN" w:bidi="ar-SA"/>
        </w:rPr>
        <w:t>绩效评价标准通常包括计划标准、行业标准、历史标准等，用于对绩效指标完成情况进行比较、分析、评价。本次评价主要采用了计划标准。</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计划标准：指以预先制定的目标、计划、预算、定额等作为评价标准。</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行业标准：指参照国家公布的行业指标数据制定的评价标准。</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历史标准：指参照历史数据制定的评价标准，为体现绩效改进的原则，在可实现的条件下应当确定相对较高的评价标准。</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（三）绩效评价工作过程</w:t>
      </w:r>
      <w:bookmarkEnd w:id="2"/>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本次评价成立了评价工作组，成员如下：</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本次评价设计了评价方案、评价指标体系，通过资料分析、调研、访谈满意度调查等方式形成评价结论，在与项目单位沟通后确定评价意见，并出具评价报告。</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第一阶段：前期准备。认真学习相关要求与规定，成立绩效评价工作组，作为绩效评价工作具体实施机构。成员构成如下：</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吐尔孙江·买买提艾力任评价组组长，绩效评价工作职责为负责全盘工作。</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辛玉保任评价组副组长，绩效评价工作职责为为对项目实施情况进行实地调查。</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陈霞任评价组成员，绩效评价工作职责为负责资料审核等工作。</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第二阶段：组织实施。经评价组通过实地调研、查阅资料等方式，采用综合分析法对项目的决策、管理、绩效进行的综合评价分析。</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第三阶段：分析评价。首先按照指标体系进行定量、定性分析。其次开展量化打分、综合评价工作，形成初步评价结论。最后归纳整体项目情况与存在问题，撰写部门绩效评价报告。</w:t>
      </w:r>
    </w:p>
    <w:p>
      <w:pPr>
        <w:pStyle w:val="15"/>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三、绩效目标自评完成情况分析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(一）资金投入情况分析。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1.项目资金到位情况分析。</w:t>
      </w:r>
    </w:p>
    <w:p>
      <w:pPr>
        <w:pStyle w:val="15"/>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Style w:val="14"/>
          <w:rFonts w:hint="eastAsia" w:ascii="仿宋_GB2312" w:hAnsi="仿宋_GB2312" w:eastAsia="仿宋_GB2312" w:cs="仿宋_GB2312"/>
          <w:b w:val="0"/>
          <w:bCs w:val="0"/>
          <w:color w:val="auto"/>
          <w:kern w:val="2"/>
          <w:sz w:val="32"/>
          <w:szCs w:val="32"/>
          <w:highlight w:val="none"/>
          <w:lang w:val="en-US" w:eastAsia="zh-CN" w:bidi="ar"/>
        </w:rPr>
      </w:pPr>
      <w:r>
        <w:rPr>
          <w:rStyle w:val="14"/>
          <w:rFonts w:hint="eastAsia" w:ascii="仿宋_GB2312" w:hAnsi="仿宋_GB2312" w:eastAsia="仿宋_GB2312" w:cs="仿宋_GB2312"/>
          <w:b w:val="0"/>
          <w:bCs w:val="0"/>
          <w:color w:val="auto"/>
          <w:kern w:val="2"/>
          <w:sz w:val="32"/>
          <w:szCs w:val="32"/>
          <w:highlight w:val="none"/>
          <w:lang w:val="en-US" w:eastAsia="zh-CN" w:bidi="ar"/>
        </w:rPr>
        <w:t>喀地财扶【2021】9号安排下达资金</w:t>
      </w:r>
      <w:r>
        <w:rPr>
          <w:rStyle w:val="14"/>
          <w:rFonts w:hint="eastAsia" w:ascii="仿宋_GB2312" w:hAnsi="仿宋_GB2312" w:cs="仿宋_GB2312"/>
          <w:b w:val="0"/>
          <w:bCs w:val="0"/>
          <w:color w:val="auto"/>
          <w:kern w:val="2"/>
          <w:sz w:val="32"/>
          <w:szCs w:val="32"/>
          <w:highlight w:val="none"/>
          <w:lang w:val="en-US" w:eastAsia="zh-CN" w:bidi="ar"/>
        </w:rPr>
        <w:t>674.473478</w:t>
      </w:r>
      <w:r>
        <w:rPr>
          <w:rStyle w:val="14"/>
          <w:rFonts w:hint="eastAsia" w:ascii="仿宋_GB2312" w:hAnsi="仿宋_GB2312" w:eastAsia="仿宋_GB2312" w:cs="仿宋_GB2312"/>
          <w:b w:val="0"/>
          <w:bCs w:val="0"/>
          <w:color w:val="auto"/>
          <w:kern w:val="2"/>
          <w:sz w:val="32"/>
          <w:szCs w:val="32"/>
          <w:highlight w:val="none"/>
          <w:lang w:val="en-US" w:eastAsia="zh-CN" w:bidi="ar"/>
        </w:rPr>
        <w:t>万元，最终确定项目资金总数为</w:t>
      </w:r>
      <w:r>
        <w:rPr>
          <w:rStyle w:val="14"/>
          <w:rFonts w:hint="eastAsia" w:ascii="仿宋_GB2312" w:hAnsi="仿宋_GB2312" w:cs="仿宋_GB2312"/>
          <w:b w:val="0"/>
          <w:bCs w:val="0"/>
          <w:color w:val="auto"/>
          <w:kern w:val="2"/>
          <w:sz w:val="32"/>
          <w:szCs w:val="32"/>
          <w:highlight w:val="none"/>
          <w:lang w:val="en-US" w:eastAsia="zh-CN" w:bidi="ar"/>
        </w:rPr>
        <w:t>674.473478</w:t>
      </w:r>
      <w:r>
        <w:rPr>
          <w:rStyle w:val="14"/>
          <w:rFonts w:hint="eastAsia" w:ascii="仿宋_GB2312" w:hAnsi="仿宋_GB2312" w:eastAsia="仿宋_GB2312" w:cs="仿宋_GB2312"/>
          <w:b w:val="0"/>
          <w:bCs w:val="0"/>
          <w:color w:val="auto"/>
          <w:kern w:val="2"/>
          <w:sz w:val="32"/>
          <w:szCs w:val="32"/>
          <w:highlight w:val="none"/>
          <w:lang w:val="en-US" w:eastAsia="zh-CN" w:bidi="ar"/>
        </w:rPr>
        <w:t>万元。</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2.项目资金执行情况分析。</w:t>
      </w:r>
    </w:p>
    <w:p>
      <w:pPr>
        <w:pStyle w:val="15"/>
        <w:keepNext w:val="0"/>
        <w:keepLines w:val="0"/>
        <w:pageBreakBefore w:val="0"/>
        <w:widowControl w:val="0"/>
        <w:kinsoku/>
        <w:wordWrap/>
        <w:overflowPunct/>
        <w:topLinePunct w:val="0"/>
        <w:autoSpaceDE/>
        <w:autoSpaceDN/>
        <w:bidi w:val="0"/>
        <w:adjustRightInd/>
        <w:snapToGrid/>
        <w:spacing w:line="560" w:lineRule="exact"/>
        <w:ind w:firstLine="643"/>
        <w:textAlignment w:val="auto"/>
        <w:outlineLvl w:val="2"/>
        <w:rPr>
          <w:rStyle w:val="14"/>
          <w:rFonts w:hint="eastAsia" w:ascii="仿宋_GB2312" w:hAnsi="仿宋_GB2312" w:eastAsia="仿宋_GB2312" w:cs="仿宋_GB2312"/>
          <w:b w:val="0"/>
          <w:bCs w:val="0"/>
          <w:color w:val="auto"/>
          <w:kern w:val="2"/>
          <w:sz w:val="32"/>
          <w:szCs w:val="32"/>
          <w:highlight w:val="none"/>
          <w:lang w:val="en-US" w:eastAsia="zh-CN" w:bidi="ar"/>
        </w:rPr>
      </w:pPr>
      <w:r>
        <w:rPr>
          <w:rStyle w:val="14"/>
          <w:rFonts w:hint="eastAsia" w:ascii="仿宋_GB2312" w:hAnsi="仿宋_GB2312" w:eastAsia="仿宋_GB2312" w:cs="仿宋_GB2312"/>
          <w:b w:val="0"/>
          <w:bCs w:val="0"/>
          <w:color w:val="auto"/>
          <w:kern w:val="2"/>
          <w:sz w:val="32"/>
          <w:szCs w:val="32"/>
          <w:highlight w:val="none"/>
          <w:lang w:val="en-US" w:eastAsia="zh-CN" w:bidi="ar"/>
        </w:rPr>
        <w:t>截至2022年12月31日，实际支出</w:t>
      </w:r>
      <w:r>
        <w:rPr>
          <w:rStyle w:val="14"/>
          <w:rFonts w:hint="eastAsia" w:ascii="仿宋_GB2312" w:hAnsi="仿宋_GB2312" w:cs="仿宋_GB2312"/>
          <w:b w:val="0"/>
          <w:bCs w:val="0"/>
          <w:color w:val="auto"/>
          <w:kern w:val="2"/>
          <w:sz w:val="32"/>
          <w:szCs w:val="32"/>
          <w:highlight w:val="none"/>
          <w:lang w:val="en-US" w:eastAsia="zh-CN" w:bidi="ar"/>
        </w:rPr>
        <w:t>674.473478</w:t>
      </w:r>
      <w:r>
        <w:rPr>
          <w:rFonts w:hint="eastAsia" w:ascii="仿宋_GB2312" w:hAnsi="黑体" w:eastAsia="仿宋_GB2312" w:cstheme="minorBidi"/>
          <w:b w:val="0"/>
          <w:bCs w:val="0"/>
          <w:color w:val="auto"/>
          <w:kern w:val="2"/>
          <w:sz w:val="32"/>
          <w:szCs w:val="32"/>
          <w:highlight w:val="none"/>
          <w:lang w:val="en-US" w:eastAsia="zh-CN" w:bidi="ar-SA"/>
        </w:rPr>
        <w:t>万</w:t>
      </w:r>
      <w:r>
        <w:rPr>
          <w:rStyle w:val="14"/>
          <w:rFonts w:hint="eastAsia" w:ascii="仿宋_GB2312" w:hAnsi="仿宋_GB2312" w:eastAsia="仿宋_GB2312" w:cs="仿宋_GB2312"/>
          <w:b w:val="0"/>
          <w:bCs w:val="0"/>
          <w:color w:val="auto"/>
          <w:kern w:val="2"/>
          <w:sz w:val="32"/>
          <w:szCs w:val="32"/>
          <w:highlight w:val="none"/>
          <w:lang w:val="en-US" w:eastAsia="zh-CN" w:bidi="ar"/>
        </w:rPr>
        <w:t>元，预算执行率</w:t>
      </w:r>
      <w:r>
        <w:rPr>
          <w:rStyle w:val="14"/>
          <w:rFonts w:hint="eastAsia" w:ascii="仿宋_GB2312" w:hAnsi="仿宋_GB2312" w:cs="仿宋_GB2312"/>
          <w:b w:val="0"/>
          <w:bCs w:val="0"/>
          <w:color w:val="auto"/>
          <w:kern w:val="2"/>
          <w:sz w:val="32"/>
          <w:szCs w:val="32"/>
          <w:highlight w:val="none"/>
          <w:lang w:val="en-US" w:eastAsia="zh-CN" w:bidi="ar"/>
        </w:rPr>
        <w:t>100</w:t>
      </w:r>
      <w:r>
        <w:rPr>
          <w:rStyle w:val="14"/>
          <w:rFonts w:hint="eastAsia" w:ascii="仿宋_GB2312" w:hAnsi="仿宋_GB2312" w:eastAsia="仿宋_GB2312" w:cs="仿宋_GB2312"/>
          <w:b w:val="0"/>
          <w:bCs w:val="0"/>
          <w:color w:val="auto"/>
          <w:kern w:val="2"/>
          <w:sz w:val="32"/>
          <w:szCs w:val="32"/>
          <w:highlight w:val="none"/>
          <w:lang w:val="en-US" w:eastAsia="zh-CN" w:bidi="ar"/>
        </w:rPr>
        <w:t>%。</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bCs/>
          <w:color w:val="auto"/>
          <w:kern w:val="2"/>
          <w:sz w:val="32"/>
          <w:szCs w:val="32"/>
          <w:highlight w:val="none"/>
          <w:lang w:val="en-US" w:eastAsia="zh-CN" w:bidi="ar-SA"/>
        </w:rPr>
      </w:pPr>
      <w:r>
        <w:rPr>
          <w:rFonts w:hint="eastAsia" w:ascii="仿宋_GB2312" w:hAnsi="黑体" w:eastAsia="仿宋_GB2312" w:cstheme="minorBidi"/>
          <w:b/>
          <w:bCs/>
          <w:color w:val="auto"/>
          <w:kern w:val="2"/>
          <w:sz w:val="32"/>
          <w:szCs w:val="32"/>
          <w:highlight w:val="none"/>
          <w:lang w:val="en-US" w:eastAsia="zh-CN" w:bidi="ar-SA"/>
        </w:rPr>
        <w:t>3.项目资金管理情况分析。</w:t>
      </w:r>
    </w:p>
    <w:p>
      <w:pPr>
        <w:pStyle w:val="15"/>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黑体" w:eastAsia="仿宋_GB2312" w:cstheme="minorBidi"/>
          <w:b w:val="0"/>
          <w:bCs w:val="0"/>
          <w:color w:val="auto"/>
          <w:kern w:val="2"/>
          <w:sz w:val="32"/>
          <w:szCs w:val="32"/>
          <w:highlight w:val="none"/>
          <w:lang w:val="en-US" w:eastAsia="zh-CN" w:bidi="ar-SA"/>
        </w:rPr>
      </w:pPr>
      <w:r>
        <w:rPr>
          <w:rFonts w:hint="eastAsia" w:ascii="仿宋_GB2312" w:hAnsi="黑体" w:eastAsia="仿宋_GB2312" w:cstheme="minorBidi"/>
          <w:b w:val="0"/>
          <w:bCs w:val="0"/>
          <w:color w:val="auto"/>
          <w:kern w:val="2"/>
          <w:sz w:val="32"/>
          <w:szCs w:val="32"/>
          <w:highlight w:val="none"/>
          <w:lang w:val="en-US" w:eastAsia="zh-CN" w:bidi="ar-SA"/>
        </w:rPr>
        <w:t>本项目支出符合《喀什地区财政巩固拓展脱贫攻坚成果同乡村振兴有效衔接资金管理办法（试行）》</w:t>
      </w:r>
      <w:bookmarkStart w:id="3" w:name="_GoBack"/>
      <w:bookmarkEnd w:id="3"/>
      <w:r>
        <w:rPr>
          <w:rFonts w:hint="eastAsia" w:ascii="仿宋_GB2312" w:hAnsi="黑体" w:eastAsia="仿宋_GB2312" w:cstheme="minorBidi"/>
          <w:b w:val="0"/>
          <w:bCs w:val="0"/>
          <w:color w:val="auto"/>
          <w:kern w:val="2"/>
          <w:sz w:val="32"/>
          <w:szCs w:val="32"/>
          <w:highlight w:val="none"/>
          <w:lang w:val="en-US" w:eastAsia="zh-CN" w:bidi="ar-SA"/>
        </w:rPr>
        <w:t>以及本单位根据国家财经法规和财务管理制度制定的相关财务管理制度，其中包括《会计人员集中核算工作管理制度》、《财务收支审批制度》、《财务稽核制度》、《财务牵制制度》、《会计主管岗位职责》等制度规定，严格执行国库集中支付制度直接支付，资金的拨付过程有完整的审批程序和手续，不存在截留、挤占、挪用等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(二）绩效目标完成情况分析。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b/>
          <w:bCs/>
          <w:color w:val="auto"/>
          <w:highlight w:val="none"/>
        </w:rPr>
      </w:pPr>
      <w:r>
        <w:rPr>
          <w:rFonts w:hint="eastAsia" w:ascii="仿宋_GB2312" w:hAnsi="黑体" w:eastAsia="仿宋_GB2312"/>
          <w:b/>
          <w:bCs/>
          <w:color w:val="auto"/>
          <w:sz w:val="32"/>
          <w:szCs w:val="32"/>
          <w:highlight w:val="none"/>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lang w:val="en-US" w:eastAsia="zh-CN"/>
        </w:rPr>
        <w:t>1</w:t>
      </w: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rPr>
        <w:t>对于“产出数量”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脱贫贷款申请满足率</w:t>
      </w:r>
      <w:r>
        <w:rPr>
          <w:rFonts w:hint="eastAsia" w:ascii="仿宋_GB2312" w:hAnsi="黑体" w:eastAsia="仿宋_GB2312"/>
          <w:b w:val="0"/>
          <w:bCs w:val="0"/>
          <w:color w:val="auto"/>
          <w:sz w:val="32"/>
          <w:szCs w:val="32"/>
          <w:highlight w:val="none"/>
          <w:lang w:val="en-US" w:eastAsia="zh-CN"/>
        </w:rPr>
        <w:t>100%</w:t>
      </w:r>
      <w:r>
        <w:rPr>
          <w:rFonts w:hint="eastAsia" w:ascii="仿宋_GB2312" w:hAnsi="黑体" w:eastAsia="仿宋_GB2312"/>
          <w:b w:val="0"/>
          <w:bCs w:val="0"/>
          <w:color w:val="auto"/>
          <w:sz w:val="32"/>
          <w:szCs w:val="32"/>
          <w:highlight w:val="none"/>
        </w:rPr>
        <w:t>，与预期目标一致</w:t>
      </w:r>
      <w:r>
        <w:rPr>
          <w:rFonts w:hint="eastAsia" w:ascii="仿宋_GB2312" w:hAnsi="黑体" w:eastAsia="仿宋_GB2312"/>
          <w:b w:val="0"/>
          <w:bCs w:val="0"/>
          <w:color w:val="auto"/>
          <w:sz w:val="32"/>
          <w:szCs w:val="32"/>
          <w:highlight w:val="none"/>
          <w:lang w:eastAsia="zh-CN"/>
        </w:rPr>
        <w:t>，</w:t>
      </w:r>
      <w:r>
        <w:rPr>
          <w:rFonts w:hint="eastAsia" w:ascii="仿宋_GB2312" w:hAnsi="黑体" w:eastAsia="仿宋_GB2312"/>
          <w:b w:val="0"/>
          <w:bCs w:val="0"/>
          <w:color w:val="auto"/>
          <w:sz w:val="32"/>
          <w:szCs w:val="32"/>
          <w:highlight w:val="none"/>
          <w:lang w:val="en-US" w:eastAsia="zh-CN"/>
        </w:rPr>
        <w:t>指标标杆分值10分，</w:t>
      </w:r>
      <w:r>
        <w:rPr>
          <w:rFonts w:hint="eastAsia" w:ascii="仿宋_GB2312" w:hAnsi="黑体" w:eastAsia="仿宋_GB2312"/>
          <w:b w:val="0"/>
          <w:bCs w:val="0"/>
          <w:color w:val="auto"/>
          <w:sz w:val="32"/>
          <w:szCs w:val="32"/>
          <w:highlight w:val="none"/>
        </w:rPr>
        <w:t>根据评分标准，该指标不扣分，得</w:t>
      </w:r>
      <w:r>
        <w:rPr>
          <w:rFonts w:hint="eastAsia" w:ascii="仿宋_GB2312" w:hAnsi="黑体" w:eastAsia="仿宋_GB2312"/>
          <w:b w:val="0"/>
          <w:bCs w:val="0"/>
          <w:color w:val="auto"/>
          <w:sz w:val="32"/>
          <w:szCs w:val="32"/>
          <w:highlight w:val="none"/>
          <w:lang w:val="en-US" w:eastAsia="zh-CN"/>
        </w:rPr>
        <w:t>10</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脱贫户获得贷款年度总金额</w:t>
      </w:r>
      <w:r>
        <w:rPr>
          <w:rFonts w:hint="eastAsia" w:ascii="仿宋_GB2312" w:hAnsi="黑体" w:eastAsia="仿宋_GB2312"/>
          <w:b w:val="0"/>
          <w:bCs w:val="0"/>
          <w:color w:val="auto"/>
          <w:sz w:val="32"/>
          <w:szCs w:val="32"/>
          <w:highlight w:val="none"/>
          <w:lang w:val="en-US" w:eastAsia="zh-CN"/>
        </w:rPr>
        <w:t>15294万元，</w:t>
      </w:r>
      <w:r>
        <w:rPr>
          <w:rFonts w:hint="eastAsia" w:ascii="仿宋_GB2312" w:hAnsi="黑体" w:eastAsia="仿宋_GB2312"/>
          <w:b w:val="0"/>
          <w:bCs w:val="0"/>
          <w:color w:val="auto"/>
          <w:sz w:val="32"/>
          <w:szCs w:val="32"/>
          <w:highlight w:val="none"/>
        </w:rPr>
        <w:t>与预期目标一致</w:t>
      </w:r>
      <w:r>
        <w:rPr>
          <w:rFonts w:hint="eastAsia" w:ascii="仿宋_GB2312" w:hAnsi="黑体" w:eastAsia="仿宋_GB2312"/>
          <w:b w:val="0"/>
          <w:bCs w:val="0"/>
          <w:color w:val="auto"/>
          <w:sz w:val="32"/>
          <w:szCs w:val="32"/>
          <w:highlight w:val="none"/>
          <w:lang w:eastAsia="zh-CN"/>
        </w:rPr>
        <w:t>，</w:t>
      </w:r>
      <w:r>
        <w:rPr>
          <w:rFonts w:hint="eastAsia" w:ascii="仿宋_GB2312" w:hAnsi="黑体" w:eastAsia="仿宋_GB2312"/>
          <w:b w:val="0"/>
          <w:bCs w:val="0"/>
          <w:color w:val="auto"/>
          <w:sz w:val="32"/>
          <w:szCs w:val="32"/>
          <w:highlight w:val="none"/>
          <w:lang w:val="en-US" w:eastAsia="zh-CN"/>
        </w:rPr>
        <w:t>指标标杆分值10分，</w:t>
      </w:r>
      <w:r>
        <w:rPr>
          <w:rFonts w:hint="eastAsia" w:ascii="仿宋_GB2312" w:hAnsi="黑体" w:eastAsia="仿宋_GB2312"/>
          <w:b w:val="0"/>
          <w:bCs w:val="0"/>
          <w:color w:val="auto"/>
          <w:sz w:val="32"/>
          <w:szCs w:val="32"/>
          <w:highlight w:val="none"/>
        </w:rPr>
        <w:t>根据评分标准，该指标不扣分，得</w:t>
      </w:r>
      <w:r>
        <w:rPr>
          <w:rFonts w:hint="eastAsia" w:ascii="仿宋_GB2312" w:hAnsi="黑体" w:eastAsia="仿宋_GB2312"/>
          <w:b w:val="0"/>
          <w:bCs w:val="0"/>
          <w:color w:val="auto"/>
          <w:sz w:val="32"/>
          <w:szCs w:val="32"/>
          <w:highlight w:val="none"/>
          <w:lang w:val="en-US" w:eastAsia="zh-CN"/>
        </w:rPr>
        <w:t>10</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合计得</w:t>
      </w:r>
      <w:r>
        <w:rPr>
          <w:rFonts w:hint="eastAsia" w:ascii="仿宋_GB2312" w:hAnsi="黑体" w:eastAsia="仿宋_GB2312"/>
          <w:b w:val="0"/>
          <w:bCs w:val="0"/>
          <w:color w:val="auto"/>
          <w:sz w:val="32"/>
          <w:szCs w:val="32"/>
          <w:highlight w:val="none"/>
          <w:lang w:val="en-US" w:eastAsia="zh-CN"/>
        </w:rPr>
        <w:t>20</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lang w:val="en-US" w:eastAsia="zh-CN"/>
        </w:rPr>
        <w:t>2</w:t>
      </w: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rPr>
        <w:t>对于“产出质量”：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lang w:eastAsia="zh-CN"/>
        </w:rPr>
        <w:t>小额贷款贴息</w:t>
      </w:r>
      <w:r>
        <w:rPr>
          <w:rFonts w:hint="eastAsia" w:ascii="仿宋_GB2312" w:hAnsi="黑体" w:eastAsia="仿宋_GB2312"/>
          <w:b w:val="0"/>
          <w:bCs w:val="0"/>
          <w:color w:val="auto"/>
          <w:sz w:val="32"/>
          <w:szCs w:val="32"/>
          <w:highlight w:val="none"/>
        </w:rPr>
        <w:t>利率</w:t>
      </w:r>
      <w:r>
        <w:rPr>
          <w:rFonts w:hint="eastAsia" w:ascii="仿宋_GB2312" w:hAnsi="黑体" w:eastAsia="仿宋_GB2312"/>
          <w:b w:val="0"/>
          <w:bCs w:val="0"/>
          <w:color w:val="auto"/>
          <w:sz w:val="32"/>
          <w:szCs w:val="32"/>
          <w:highlight w:val="none"/>
          <w:lang w:val="en-US" w:eastAsia="zh-CN"/>
        </w:rPr>
        <w:t>3.65</w:t>
      </w:r>
      <w:r>
        <w:rPr>
          <w:rFonts w:hint="eastAsia" w:ascii="仿宋_GB2312" w:hAnsi="黑体" w:eastAsia="仿宋_GB2312"/>
          <w:b w:val="0"/>
          <w:bCs w:val="0"/>
          <w:color w:val="auto"/>
          <w:sz w:val="32"/>
          <w:szCs w:val="32"/>
          <w:highlight w:val="none"/>
        </w:rPr>
        <w:t>%，与预期目标一致，</w:t>
      </w:r>
      <w:r>
        <w:rPr>
          <w:rFonts w:hint="eastAsia" w:ascii="仿宋_GB2312" w:hAnsi="黑体" w:eastAsia="仿宋_GB2312"/>
          <w:b w:val="0"/>
          <w:bCs w:val="0"/>
          <w:color w:val="auto"/>
          <w:sz w:val="32"/>
          <w:szCs w:val="32"/>
          <w:highlight w:val="none"/>
          <w:lang w:val="en-US" w:eastAsia="zh-CN"/>
        </w:rPr>
        <w:t>指标标杆分值5分，</w:t>
      </w:r>
      <w:r>
        <w:rPr>
          <w:rFonts w:hint="eastAsia" w:ascii="仿宋_GB2312" w:hAnsi="黑体" w:eastAsia="仿宋_GB2312"/>
          <w:b w:val="0"/>
          <w:bCs w:val="0"/>
          <w:color w:val="auto"/>
          <w:sz w:val="32"/>
          <w:szCs w:val="32"/>
          <w:highlight w:val="none"/>
        </w:rPr>
        <w:t>根据评分标准，该指标</w:t>
      </w:r>
      <w:r>
        <w:rPr>
          <w:rFonts w:hint="eastAsia" w:ascii="仿宋_GB2312" w:hAnsi="黑体" w:eastAsia="仿宋_GB2312"/>
          <w:b w:val="0"/>
          <w:bCs w:val="0"/>
          <w:color w:val="auto"/>
          <w:sz w:val="32"/>
          <w:szCs w:val="32"/>
          <w:highlight w:val="none"/>
          <w:lang w:val="en-US" w:eastAsia="zh-CN"/>
        </w:rPr>
        <w:t>不</w:t>
      </w:r>
      <w:r>
        <w:rPr>
          <w:rFonts w:hint="eastAsia" w:ascii="仿宋_GB2312" w:hAnsi="黑体" w:eastAsia="仿宋_GB2312"/>
          <w:b w:val="0"/>
          <w:bCs w:val="0"/>
          <w:color w:val="auto"/>
          <w:sz w:val="32"/>
          <w:szCs w:val="32"/>
          <w:highlight w:val="none"/>
        </w:rPr>
        <w:t>扣分，得</w:t>
      </w:r>
      <w:r>
        <w:rPr>
          <w:rFonts w:hint="eastAsia" w:ascii="仿宋_GB2312" w:hAnsi="黑体" w:eastAsia="仿宋_GB2312"/>
          <w:b w:val="0"/>
          <w:bCs w:val="0"/>
          <w:color w:val="auto"/>
          <w:sz w:val="32"/>
          <w:szCs w:val="32"/>
          <w:highlight w:val="none"/>
          <w:lang w:val="en-US" w:eastAsia="zh-CN"/>
        </w:rPr>
        <w:t>5</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扶贫小额贷款到期还款率</w:t>
      </w:r>
      <w:r>
        <w:rPr>
          <w:rFonts w:hint="eastAsia" w:ascii="仿宋_GB2312" w:hAnsi="黑体" w:eastAsia="仿宋_GB2312"/>
          <w:b w:val="0"/>
          <w:bCs w:val="0"/>
          <w:color w:val="auto"/>
          <w:sz w:val="32"/>
          <w:szCs w:val="32"/>
          <w:highlight w:val="none"/>
          <w:lang w:val="en-US" w:eastAsia="zh-CN"/>
        </w:rPr>
        <w:t>97</w:t>
      </w:r>
      <w:r>
        <w:rPr>
          <w:rFonts w:hint="eastAsia" w:ascii="仿宋_GB2312" w:hAnsi="黑体" w:eastAsia="仿宋_GB2312"/>
          <w:b w:val="0"/>
          <w:bCs w:val="0"/>
          <w:color w:val="auto"/>
          <w:sz w:val="32"/>
          <w:szCs w:val="32"/>
          <w:highlight w:val="none"/>
        </w:rPr>
        <w:t>%，与预期目标一致，</w:t>
      </w:r>
      <w:r>
        <w:rPr>
          <w:rFonts w:hint="eastAsia" w:ascii="仿宋_GB2312" w:hAnsi="黑体" w:eastAsia="仿宋_GB2312"/>
          <w:b w:val="0"/>
          <w:bCs w:val="0"/>
          <w:color w:val="auto"/>
          <w:sz w:val="32"/>
          <w:szCs w:val="32"/>
          <w:highlight w:val="none"/>
          <w:lang w:val="en-US" w:eastAsia="zh-CN"/>
        </w:rPr>
        <w:t>指标标杆分值5分，</w:t>
      </w:r>
      <w:r>
        <w:rPr>
          <w:rFonts w:hint="eastAsia" w:ascii="仿宋_GB2312" w:hAnsi="黑体" w:eastAsia="仿宋_GB2312"/>
          <w:b w:val="0"/>
          <w:bCs w:val="0"/>
          <w:color w:val="auto"/>
          <w:sz w:val="32"/>
          <w:szCs w:val="32"/>
          <w:highlight w:val="none"/>
        </w:rPr>
        <w:t>根据评分标准，该指标</w:t>
      </w:r>
      <w:r>
        <w:rPr>
          <w:rFonts w:hint="eastAsia" w:ascii="仿宋_GB2312" w:hAnsi="黑体" w:eastAsia="仿宋_GB2312"/>
          <w:b w:val="0"/>
          <w:bCs w:val="0"/>
          <w:color w:val="auto"/>
          <w:sz w:val="32"/>
          <w:szCs w:val="32"/>
          <w:highlight w:val="none"/>
          <w:lang w:val="en-US" w:eastAsia="zh-CN"/>
        </w:rPr>
        <w:t>不</w:t>
      </w:r>
      <w:r>
        <w:rPr>
          <w:rFonts w:hint="eastAsia" w:ascii="仿宋_GB2312" w:hAnsi="黑体" w:eastAsia="仿宋_GB2312"/>
          <w:b w:val="0"/>
          <w:bCs w:val="0"/>
          <w:color w:val="auto"/>
          <w:sz w:val="32"/>
          <w:szCs w:val="32"/>
          <w:highlight w:val="none"/>
        </w:rPr>
        <w:t>扣分，得</w:t>
      </w:r>
      <w:r>
        <w:rPr>
          <w:rFonts w:hint="eastAsia" w:ascii="仿宋_GB2312" w:hAnsi="黑体" w:eastAsia="仿宋_GB2312"/>
          <w:b w:val="0"/>
          <w:bCs w:val="0"/>
          <w:color w:val="auto"/>
          <w:sz w:val="32"/>
          <w:szCs w:val="32"/>
          <w:highlight w:val="none"/>
          <w:lang w:val="en-US" w:eastAsia="zh-CN"/>
        </w:rPr>
        <w:t>5</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贷款风险补偿比率</w:t>
      </w:r>
      <w:r>
        <w:rPr>
          <w:rFonts w:hint="eastAsia" w:ascii="仿宋_GB2312" w:hAnsi="黑体" w:eastAsia="仿宋_GB2312"/>
          <w:b w:val="0"/>
          <w:bCs w:val="0"/>
          <w:color w:val="auto"/>
          <w:sz w:val="32"/>
          <w:szCs w:val="32"/>
          <w:highlight w:val="none"/>
          <w:lang w:val="en-US" w:eastAsia="zh-CN"/>
        </w:rPr>
        <w:t>100</w:t>
      </w:r>
      <w:r>
        <w:rPr>
          <w:rFonts w:hint="eastAsia" w:ascii="仿宋_GB2312" w:hAnsi="黑体" w:eastAsia="仿宋_GB2312"/>
          <w:b w:val="0"/>
          <w:bCs w:val="0"/>
          <w:color w:val="auto"/>
          <w:sz w:val="32"/>
          <w:szCs w:val="32"/>
          <w:highlight w:val="none"/>
        </w:rPr>
        <w:t>%</w:t>
      </w:r>
      <w:r>
        <w:rPr>
          <w:rFonts w:hint="eastAsia" w:ascii="仿宋_GB2312" w:hAnsi="黑体" w:eastAsia="仿宋_GB2312"/>
          <w:b w:val="0"/>
          <w:bCs w:val="0"/>
          <w:color w:val="auto"/>
          <w:sz w:val="32"/>
          <w:szCs w:val="32"/>
          <w:highlight w:val="none"/>
          <w:lang w:eastAsia="zh-CN"/>
        </w:rPr>
        <w:t>，</w:t>
      </w:r>
      <w:r>
        <w:rPr>
          <w:rFonts w:hint="eastAsia" w:ascii="仿宋_GB2312" w:hAnsi="黑体" w:eastAsia="仿宋_GB2312"/>
          <w:b w:val="0"/>
          <w:bCs w:val="0"/>
          <w:color w:val="auto"/>
          <w:sz w:val="32"/>
          <w:szCs w:val="32"/>
          <w:highlight w:val="none"/>
        </w:rPr>
        <w:t>与预期目标一致，</w:t>
      </w:r>
      <w:r>
        <w:rPr>
          <w:rFonts w:hint="eastAsia" w:ascii="仿宋_GB2312" w:hAnsi="黑体" w:eastAsia="仿宋_GB2312"/>
          <w:b w:val="0"/>
          <w:bCs w:val="0"/>
          <w:color w:val="auto"/>
          <w:sz w:val="32"/>
          <w:szCs w:val="32"/>
          <w:highlight w:val="none"/>
          <w:lang w:val="en-US" w:eastAsia="zh-CN"/>
        </w:rPr>
        <w:t>指标标杆分值10分，</w:t>
      </w:r>
      <w:r>
        <w:rPr>
          <w:rFonts w:hint="eastAsia" w:ascii="仿宋_GB2312" w:hAnsi="黑体" w:eastAsia="仿宋_GB2312"/>
          <w:b w:val="0"/>
          <w:bCs w:val="0"/>
          <w:color w:val="auto"/>
          <w:sz w:val="32"/>
          <w:szCs w:val="32"/>
          <w:highlight w:val="none"/>
        </w:rPr>
        <w:t>根据评分标准，该指标不扣分，得</w:t>
      </w:r>
      <w:r>
        <w:rPr>
          <w:rFonts w:hint="eastAsia" w:ascii="仿宋_GB2312" w:hAnsi="黑体" w:eastAsia="仿宋_GB2312"/>
          <w:b w:val="0"/>
          <w:bCs w:val="0"/>
          <w:color w:val="auto"/>
          <w:sz w:val="32"/>
          <w:szCs w:val="32"/>
          <w:highlight w:val="none"/>
          <w:lang w:val="en-US" w:eastAsia="zh-CN"/>
        </w:rPr>
        <w:t>10</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lang w:eastAsia="zh-CN"/>
        </w:rPr>
      </w:pPr>
      <w:r>
        <w:rPr>
          <w:rFonts w:hint="eastAsia" w:ascii="仿宋_GB2312" w:hAnsi="黑体" w:eastAsia="仿宋_GB2312"/>
          <w:b w:val="0"/>
          <w:bCs w:val="0"/>
          <w:color w:val="auto"/>
          <w:sz w:val="32"/>
          <w:szCs w:val="32"/>
          <w:highlight w:val="none"/>
        </w:rPr>
        <w:t>合计得</w:t>
      </w:r>
      <w:r>
        <w:rPr>
          <w:rFonts w:hint="eastAsia" w:ascii="仿宋_GB2312" w:hAnsi="黑体" w:eastAsia="仿宋_GB2312"/>
          <w:b w:val="0"/>
          <w:bCs w:val="0"/>
          <w:color w:val="auto"/>
          <w:sz w:val="32"/>
          <w:szCs w:val="32"/>
          <w:highlight w:val="none"/>
          <w:lang w:val="en-US" w:eastAsia="zh-CN"/>
        </w:rPr>
        <w:t>20</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lang w:val="en-US" w:eastAsia="zh-CN"/>
        </w:rPr>
        <w:t>3</w:t>
      </w: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rPr>
        <w:t>对于“产出时效”：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贷款及时发放率</w:t>
      </w:r>
      <w:r>
        <w:rPr>
          <w:rFonts w:hint="eastAsia" w:ascii="仿宋_GB2312" w:hAnsi="黑体" w:eastAsia="仿宋_GB2312"/>
          <w:b w:val="0"/>
          <w:bCs w:val="0"/>
          <w:color w:val="auto"/>
          <w:sz w:val="32"/>
          <w:szCs w:val="32"/>
          <w:highlight w:val="none"/>
          <w:lang w:val="en-US" w:eastAsia="zh-CN"/>
        </w:rPr>
        <w:t>100</w:t>
      </w:r>
      <w:r>
        <w:rPr>
          <w:rFonts w:hint="eastAsia" w:ascii="仿宋_GB2312" w:hAnsi="黑体" w:eastAsia="仿宋_GB2312"/>
          <w:b w:val="0"/>
          <w:bCs w:val="0"/>
          <w:color w:val="auto"/>
          <w:sz w:val="32"/>
          <w:szCs w:val="32"/>
          <w:highlight w:val="none"/>
        </w:rPr>
        <w:t>%，与预期目标一致，</w:t>
      </w:r>
      <w:r>
        <w:rPr>
          <w:rFonts w:hint="eastAsia" w:ascii="仿宋_GB2312" w:hAnsi="黑体" w:eastAsia="仿宋_GB2312"/>
          <w:b w:val="0"/>
          <w:bCs w:val="0"/>
          <w:color w:val="auto"/>
          <w:sz w:val="32"/>
          <w:szCs w:val="32"/>
          <w:highlight w:val="none"/>
          <w:lang w:val="en-US" w:eastAsia="zh-CN"/>
        </w:rPr>
        <w:t>指标标杆分值10分，</w:t>
      </w:r>
      <w:r>
        <w:rPr>
          <w:rFonts w:hint="eastAsia" w:ascii="仿宋_GB2312" w:hAnsi="黑体" w:eastAsia="仿宋_GB2312"/>
          <w:b w:val="0"/>
          <w:bCs w:val="0"/>
          <w:color w:val="auto"/>
          <w:sz w:val="32"/>
          <w:szCs w:val="32"/>
          <w:highlight w:val="none"/>
        </w:rPr>
        <w:t>根据评分标准，该指标不扣分，得</w:t>
      </w:r>
      <w:r>
        <w:rPr>
          <w:rFonts w:hint="eastAsia" w:ascii="仿宋_GB2312" w:hAnsi="黑体" w:eastAsia="仿宋_GB2312"/>
          <w:b w:val="0"/>
          <w:bCs w:val="0"/>
          <w:color w:val="auto"/>
          <w:sz w:val="32"/>
          <w:szCs w:val="32"/>
          <w:highlight w:val="none"/>
          <w:lang w:val="en-US" w:eastAsia="zh-CN"/>
        </w:rPr>
        <w:t>10</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项目完成时间2022年</w:t>
      </w:r>
      <w:r>
        <w:rPr>
          <w:rFonts w:hint="eastAsia" w:ascii="仿宋_GB2312" w:hAnsi="黑体" w:eastAsia="仿宋_GB2312"/>
          <w:b w:val="0"/>
          <w:bCs w:val="0"/>
          <w:color w:val="auto"/>
          <w:sz w:val="32"/>
          <w:szCs w:val="32"/>
          <w:highlight w:val="none"/>
          <w:lang w:val="en-US" w:eastAsia="zh-CN"/>
        </w:rPr>
        <w:t>12</w:t>
      </w:r>
      <w:r>
        <w:rPr>
          <w:rFonts w:hint="eastAsia" w:ascii="仿宋_GB2312" w:hAnsi="黑体" w:eastAsia="仿宋_GB2312"/>
          <w:b w:val="0"/>
          <w:bCs w:val="0"/>
          <w:color w:val="auto"/>
          <w:sz w:val="32"/>
          <w:szCs w:val="32"/>
          <w:highlight w:val="none"/>
        </w:rPr>
        <w:t>月</w:t>
      </w:r>
      <w:r>
        <w:rPr>
          <w:rFonts w:hint="eastAsia" w:ascii="仿宋_GB2312" w:hAnsi="黑体" w:eastAsia="仿宋_GB2312"/>
          <w:b w:val="0"/>
          <w:bCs w:val="0"/>
          <w:color w:val="auto"/>
          <w:sz w:val="32"/>
          <w:szCs w:val="32"/>
          <w:highlight w:val="none"/>
          <w:lang w:val="en-US" w:eastAsia="zh-CN"/>
        </w:rPr>
        <w:t>28日</w:t>
      </w:r>
      <w:r>
        <w:rPr>
          <w:rFonts w:hint="eastAsia" w:ascii="仿宋_GB2312" w:hAnsi="黑体" w:eastAsia="仿宋_GB2312"/>
          <w:b w:val="0"/>
          <w:bCs w:val="0"/>
          <w:color w:val="auto"/>
          <w:sz w:val="32"/>
          <w:szCs w:val="32"/>
          <w:highlight w:val="none"/>
        </w:rPr>
        <w:t>，与预期目标一致，</w:t>
      </w:r>
      <w:r>
        <w:rPr>
          <w:rFonts w:hint="eastAsia" w:ascii="仿宋_GB2312" w:hAnsi="黑体" w:eastAsia="仿宋_GB2312"/>
          <w:b w:val="0"/>
          <w:bCs w:val="0"/>
          <w:color w:val="auto"/>
          <w:sz w:val="32"/>
          <w:szCs w:val="32"/>
          <w:highlight w:val="none"/>
          <w:lang w:val="en-US" w:eastAsia="zh-CN"/>
        </w:rPr>
        <w:t>指标标杆分值5分，</w:t>
      </w:r>
      <w:r>
        <w:rPr>
          <w:rFonts w:hint="eastAsia" w:ascii="仿宋_GB2312" w:hAnsi="黑体" w:eastAsia="仿宋_GB2312"/>
          <w:b w:val="0"/>
          <w:bCs w:val="0"/>
          <w:color w:val="auto"/>
          <w:sz w:val="32"/>
          <w:szCs w:val="32"/>
          <w:highlight w:val="none"/>
        </w:rPr>
        <w:t>根据评分标准，该指标不扣分，得</w:t>
      </w:r>
      <w:r>
        <w:rPr>
          <w:rFonts w:hint="eastAsia" w:ascii="仿宋_GB2312" w:hAnsi="黑体" w:eastAsia="仿宋_GB2312"/>
          <w:b w:val="0"/>
          <w:bCs w:val="0"/>
          <w:color w:val="auto"/>
          <w:sz w:val="32"/>
          <w:szCs w:val="32"/>
          <w:highlight w:val="none"/>
          <w:lang w:val="en-US" w:eastAsia="zh-CN"/>
        </w:rPr>
        <w:t>5</w:t>
      </w:r>
      <w:r>
        <w:rPr>
          <w:rFonts w:hint="eastAsia" w:ascii="仿宋_GB2312" w:hAnsi="黑体" w:eastAsia="仿宋_GB2312"/>
          <w:b w:val="0"/>
          <w:bCs w:val="0"/>
          <w:color w:val="auto"/>
          <w:sz w:val="32"/>
          <w:szCs w:val="32"/>
          <w:highlight w:val="none"/>
        </w:rPr>
        <w:t>分。</w:t>
      </w:r>
    </w:p>
    <w:p>
      <w:pPr>
        <w:pStyle w:val="2"/>
        <w:pageBreakBefore w:val="0"/>
        <w:widowControl w:val="0"/>
        <w:kinsoku/>
        <w:wordWrap/>
        <w:overflowPunct/>
        <w:topLinePunct w:val="0"/>
        <w:autoSpaceDE/>
        <w:autoSpaceDN/>
        <w:bidi w:val="0"/>
        <w:adjustRightInd/>
        <w:snapToGrid/>
        <w:spacing w:line="560" w:lineRule="exact"/>
        <w:textAlignment w:val="auto"/>
        <w:rPr>
          <w:rFonts w:hint="eastAsia" w:eastAsia="仿宋_GB2312"/>
          <w:color w:val="auto"/>
          <w:highlight w:val="none"/>
          <w:lang w:val="en-US" w:eastAsia="zh-CN"/>
        </w:rPr>
      </w:pPr>
      <w:r>
        <w:rPr>
          <w:rFonts w:hint="eastAsia" w:ascii="仿宋_GB2312" w:hAnsi="黑体" w:eastAsia="仿宋_GB2312"/>
          <w:b w:val="0"/>
          <w:bCs w:val="0"/>
          <w:color w:val="auto"/>
          <w:sz w:val="32"/>
          <w:szCs w:val="32"/>
          <w:highlight w:val="none"/>
        </w:rPr>
        <w:t>合计得</w:t>
      </w:r>
      <w:r>
        <w:rPr>
          <w:rFonts w:hint="eastAsia" w:ascii="仿宋_GB2312" w:hAnsi="黑体" w:eastAsia="仿宋_GB2312"/>
          <w:b w:val="0"/>
          <w:bCs w:val="0"/>
          <w:color w:val="auto"/>
          <w:sz w:val="32"/>
          <w:szCs w:val="32"/>
          <w:highlight w:val="none"/>
          <w:lang w:val="en-US" w:eastAsia="zh-CN"/>
        </w:rPr>
        <w:t>15</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rPr>
        <w:t>（4）对于“产出成本”：</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小额贷款贴息单笔贷款额度</w:t>
      </w:r>
      <w:r>
        <w:rPr>
          <w:rFonts w:hint="eastAsia" w:ascii="仿宋_GB2312" w:hAnsi="黑体" w:eastAsia="仿宋_GB2312"/>
          <w:b w:val="0"/>
          <w:bCs w:val="0"/>
          <w:color w:val="auto"/>
          <w:sz w:val="32"/>
          <w:szCs w:val="32"/>
          <w:highlight w:val="none"/>
          <w:lang w:val="en-US" w:eastAsia="zh-CN"/>
        </w:rPr>
        <w:t>3.2万元</w:t>
      </w:r>
      <w:r>
        <w:rPr>
          <w:rFonts w:hint="eastAsia" w:ascii="仿宋_GB2312" w:hAnsi="黑体" w:eastAsia="仿宋_GB2312"/>
          <w:b w:val="0"/>
          <w:bCs w:val="0"/>
          <w:color w:val="auto"/>
          <w:sz w:val="32"/>
          <w:szCs w:val="32"/>
          <w:highlight w:val="none"/>
        </w:rPr>
        <w:t>，项目经费都能控制绩效目标范围内</w:t>
      </w:r>
      <w:r>
        <w:rPr>
          <w:rFonts w:hint="eastAsia" w:ascii="仿宋_GB2312" w:hAnsi="黑体" w:eastAsia="仿宋_GB2312"/>
          <w:b w:val="0"/>
          <w:bCs w:val="0"/>
          <w:color w:val="auto"/>
          <w:sz w:val="32"/>
          <w:szCs w:val="32"/>
          <w:highlight w:val="none"/>
          <w:lang w:val="en-US" w:eastAsia="zh-CN"/>
        </w:rPr>
        <w:t>，指标标杆分值5分，</w:t>
      </w:r>
      <w:r>
        <w:rPr>
          <w:rFonts w:hint="eastAsia" w:ascii="仿宋_GB2312" w:hAnsi="黑体" w:eastAsia="仿宋_GB2312"/>
          <w:b w:val="0"/>
          <w:bCs w:val="0"/>
          <w:color w:val="auto"/>
          <w:sz w:val="32"/>
          <w:szCs w:val="32"/>
          <w:highlight w:val="none"/>
        </w:rPr>
        <w:t>根据评分标准，该指标不扣分，得</w:t>
      </w:r>
      <w:r>
        <w:rPr>
          <w:rFonts w:hint="eastAsia" w:ascii="仿宋_GB2312" w:hAnsi="黑体" w:eastAsia="仿宋_GB2312"/>
          <w:b w:val="0"/>
          <w:bCs w:val="0"/>
          <w:color w:val="auto"/>
          <w:sz w:val="32"/>
          <w:szCs w:val="32"/>
          <w:highlight w:val="none"/>
          <w:lang w:val="en-US" w:eastAsia="zh-CN"/>
        </w:rPr>
        <w:t>5</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黑体" w:eastAsia="仿宋_GB2312"/>
          <w:b w:val="0"/>
          <w:bCs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lang w:val="en-US" w:eastAsia="zh-CN"/>
        </w:rPr>
      </w:pPr>
      <w:r>
        <w:rPr>
          <w:rFonts w:hint="eastAsia" w:ascii="仿宋_GB2312" w:hAnsi="黑体" w:eastAsia="仿宋_GB2312"/>
          <w:b/>
          <w:bCs/>
          <w:color w:val="auto"/>
          <w:sz w:val="32"/>
          <w:szCs w:val="32"/>
          <w:highlight w:val="none"/>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lang w:val="en-US" w:eastAsia="zh-CN"/>
        </w:rPr>
      </w:pPr>
      <w:r>
        <w:rPr>
          <w:rFonts w:hint="eastAsia" w:ascii="仿宋_GB2312" w:hAnsi="黑体" w:eastAsia="仿宋_GB2312"/>
          <w:b/>
          <w:bCs/>
          <w:color w:val="auto"/>
          <w:sz w:val="32"/>
          <w:szCs w:val="32"/>
          <w:highlight w:val="none"/>
          <w:lang w:val="en-US" w:eastAsia="zh-CN"/>
        </w:rPr>
        <w:t>1.实施效益指标：</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lang w:val="en-US" w:eastAsia="zh-CN"/>
        </w:rPr>
        <w:t>1</w:t>
      </w: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rPr>
        <w:t>对于“</w:t>
      </w:r>
      <w:r>
        <w:rPr>
          <w:rFonts w:hint="eastAsia" w:ascii="仿宋_GB2312" w:hAnsi="黑体" w:eastAsia="仿宋_GB2312"/>
          <w:b/>
          <w:bCs/>
          <w:color w:val="auto"/>
          <w:sz w:val="32"/>
          <w:szCs w:val="32"/>
          <w:highlight w:val="none"/>
          <w:lang w:val="en-US" w:eastAsia="zh-CN"/>
        </w:rPr>
        <w:t>经济</w:t>
      </w:r>
      <w:r>
        <w:rPr>
          <w:rFonts w:hint="eastAsia" w:ascii="仿宋_GB2312" w:hAnsi="黑体" w:eastAsia="仿宋_GB2312"/>
          <w:b/>
          <w:bCs/>
          <w:color w:val="auto"/>
          <w:sz w:val="32"/>
          <w:szCs w:val="32"/>
          <w:highlight w:val="none"/>
        </w:rPr>
        <w:t>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黑体" w:eastAsia="仿宋_GB2312"/>
          <w:b w:val="0"/>
          <w:bCs w:val="0"/>
          <w:color w:val="auto"/>
          <w:sz w:val="32"/>
          <w:szCs w:val="32"/>
          <w:highlight w:val="none"/>
          <w:lang w:val="en-US" w:eastAsia="zh-CN"/>
        </w:rPr>
      </w:pPr>
      <w:r>
        <w:rPr>
          <w:rFonts w:hint="eastAsia" w:ascii="仿宋_GB2312" w:hAnsi="黑体" w:eastAsia="仿宋_GB2312"/>
          <w:b w:val="0"/>
          <w:bCs w:val="0"/>
          <w:color w:val="auto"/>
          <w:sz w:val="32"/>
          <w:szCs w:val="32"/>
          <w:highlight w:val="none"/>
          <w:lang w:eastAsia="zh-CN"/>
        </w:rPr>
        <w:t>带动增加受益脱贫户人口全年总收入</w:t>
      </w:r>
      <w:r>
        <w:rPr>
          <w:rFonts w:hint="eastAsia" w:ascii="仿宋_GB2312" w:hAnsi="黑体" w:eastAsia="仿宋_GB2312"/>
          <w:b w:val="0"/>
          <w:bCs w:val="0"/>
          <w:color w:val="auto"/>
          <w:sz w:val="32"/>
          <w:szCs w:val="32"/>
          <w:highlight w:val="none"/>
          <w:lang w:val="en-US" w:eastAsia="zh-CN"/>
        </w:rPr>
        <w:t>674</w:t>
      </w:r>
      <w:r>
        <w:rPr>
          <w:rFonts w:hint="eastAsia" w:ascii="仿宋_GB2312" w:hAnsi="黑体" w:eastAsia="仿宋_GB2312"/>
          <w:b w:val="0"/>
          <w:bCs w:val="0"/>
          <w:color w:val="auto"/>
          <w:sz w:val="32"/>
          <w:szCs w:val="32"/>
          <w:highlight w:val="none"/>
          <w:lang w:eastAsia="zh-CN"/>
        </w:rPr>
        <w:t>万元，</w:t>
      </w:r>
      <w:r>
        <w:rPr>
          <w:rFonts w:hint="eastAsia" w:ascii="仿宋_GB2312" w:hAnsi="黑体" w:eastAsia="仿宋_GB2312"/>
          <w:b w:val="0"/>
          <w:bCs w:val="0"/>
          <w:color w:val="auto"/>
          <w:sz w:val="32"/>
          <w:szCs w:val="32"/>
          <w:highlight w:val="none"/>
        </w:rPr>
        <w:t>与预期指标一致，</w:t>
      </w:r>
      <w:r>
        <w:rPr>
          <w:rFonts w:hint="eastAsia" w:ascii="仿宋_GB2312" w:hAnsi="黑体" w:eastAsia="仿宋_GB2312"/>
          <w:b w:val="0"/>
          <w:bCs w:val="0"/>
          <w:color w:val="auto"/>
          <w:sz w:val="32"/>
          <w:szCs w:val="32"/>
          <w:highlight w:val="none"/>
          <w:lang w:val="en-US" w:eastAsia="zh-CN"/>
        </w:rPr>
        <w:t>指标标杆分值5分，</w:t>
      </w:r>
      <w:r>
        <w:rPr>
          <w:rFonts w:hint="eastAsia" w:ascii="仿宋_GB2312" w:hAnsi="黑体" w:eastAsia="仿宋_GB2312"/>
          <w:b w:val="0"/>
          <w:bCs w:val="0"/>
          <w:color w:val="auto"/>
          <w:sz w:val="32"/>
          <w:szCs w:val="32"/>
          <w:highlight w:val="none"/>
        </w:rPr>
        <w:t>根据评分标准，该指标</w:t>
      </w:r>
      <w:r>
        <w:rPr>
          <w:rFonts w:hint="eastAsia" w:ascii="仿宋_GB2312" w:hAnsi="黑体" w:eastAsia="仿宋_GB2312"/>
          <w:b w:val="0"/>
          <w:bCs w:val="0"/>
          <w:color w:val="auto"/>
          <w:sz w:val="32"/>
          <w:szCs w:val="32"/>
          <w:highlight w:val="none"/>
          <w:lang w:val="en-US" w:eastAsia="zh-CN"/>
        </w:rPr>
        <w:t>不</w:t>
      </w:r>
      <w:r>
        <w:rPr>
          <w:rFonts w:hint="eastAsia" w:ascii="仿宋_GB2312" w:hAnsi="黑体" w:eastAsia="仿宋_GB2312"/>
          <w:b w:val="0"/>
          <w:bCs w:val="0"/>
          <w:color w:val="auto"/>
          <w:sz w:val="32"/>
          <w:szCs w:val="32"/>
          <w:highlight w:val="none"/>
        </w:rPr>
        <w:t>扣分，得</w:t>
      </w:r>
      <w:r>
        <w:rPr>
          <w:rFonts w:hint="eastAsia" w:ascii="仿宋_GB2312" w:hAnsi="黑体" w:eastAsia="仿宋_GB2312"/>
          <w:b w:val="0"/>
          <w:bCs w:val="0"/>
          <w:color w:val="auto"/>
          <w:sz w:val="32"/>
          <w:szCs w:val="32"/>
          <w:highlight w:val="none"/>
          <w:lang w:val="en-US" w:eastAsia="zh-CN"/>
        </w:rPr>
        <w:t>5</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lang w:val="en-US" w:eastAsia="zh-CN"/>
        </w:rPr>
        <w:t>2</w:t>
      </w: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rPr>
        <w:t>对于“社会效益指标”：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受益脱贫户和边缘易致贫户户数</w:t>
      </w:r>
      <w:r>
        <w:rPr>
          <w:rFonts w:hint="eastAsia" w:ascii="仿宋_GB2312" w:hAnsi="黑体" w:eastAsia="仿宋_GB2312"/>
          <w:b w:val="0"/>
          <w:bCs w:val="0"/>
          <w:color w:val="auto"/>
          <w:sz w:val="32"/>
          <w:szCs w:val="32"/>
          <w:highlight w:val="none"/>
          <w:lang w:val="en-US" w:eastAsia="zh-CN"/>
        </w:rPr>
        <w:t>4750户</w:t>
      </w:r>
      <w:r>
        <w:rPr>
          <w:rFonts w:hint="eastAsia" w:ascii="仿宋_GB2312" w:hAnsi="黑体" w:eastAsia="仿宋_GB2312"/>
          <w:b w:val="0"/>
          <w:bCs w:val="0"/>
          <w:color w:val="auto"/>
          <w:sz w:val="32"/>
          <w:szCs w:val="32"/>
          <w:highlight w:val="none"/>
        </w:rPr>
        <w:t>，与预期指标一致，</w:t>
      </w:r>
      <w:r>
        <w:rPr>
          <w:rFonts w:hint="eastAsia" w:ascii="仿宋_GB2312" w:hAnsi="黑体" w:eastAsia="仿宋_GB2312"/>
          <w:b w:val="0"/>
          <w:bCs w:val="0"/>
          <w:color w:val="auto"/>
          <w:sz w:val="32"/>
          <w:szCs w:val="32"/>
          <w:highlight w:val="none"/>
          <w:lang w:val="en-US" w:eastAsia="zh-CN"/>
        </w:rPr>
        <w:t>指标标杆分值10分，</w:t>
      </w:r>
      <w:r>
        <w:rPr>
          <w:rFonts w:hint="eastAsia" w:ascii="仿宋_GB2312" w:hAnsi="黑体" w:eastAsia="仿宋_GB2312"/>
          <w:b w:val="0"/>
          <w:bCs w:val="0"/>
          <w:color w:val="auto"/>
          <w:sz w:val="32"/>
          <w:szCs w:val="32"/>
          <w:highlight w:val="none"/>
        </w:rPr>
        <w:t>根据评分标准，该指标</w:t>
      </w:r>
      <w:r>
        <w:rPr>
          <w:rFonts w:hint="eastAsia" w:ascii="仿宋_GB2312" w:hAnsi="黑体" w:eastAsia="仿宋_GB2312"/>
          <w:b w:val="0"/>
          <w:bCs w:val="0"/>
          <w:color w:val="auto"/>
          <w:sz w:val="32"/>
          <w:szCs w:val="32"/>
          <w:highlight w:val="none"/>
          <w:lang w:val="en-US" w:eastAsia="zh-CN"/>
        </w:rPr>
        <w:t>不</w:t>
      </w:r>
      <w:r>
        <w:rPr>
          <w:rFonts w:hint="eastAsia" w:ascii="仿宋_GB2312" w:hAnsi="黑体" w:eastAsia="仿宋_GB2312"/>
          <w:b w:val="0"/>
          <w:bCs w:val="0"/>
          <w:color w:val="auto"/>
          <w:sz w:val="32"/>
          <w:szCs w:val="32"/>
          <w:highlight w:val="none"/>
        </w:rPr>
        <w:t>扣分，得</w:t>
      </w:r>
      <w:r>
        <w:rPr>
          <w:rFonts w:hint="eastAsia" w:ascii="仿宋_GB2312" w:hAnsi="黑体" w:eastAsia="仿宋_GB2312"/>
          <w:b w:val="0"/>
          <w:bCs w:val="0"/>
          <w:color w:val="auto"/>
          <w:sz w:val="32"/>
          <w:szCs w:val="32"/>
          <w:highlight w:val="none"/>
          <w:lang w:val="en-US" w:eastAsia="zh-CN"/>
        </w:rPr>
        <w:t>10</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lang w:val="en-US" w:eastAsia="zh-CN"/>
        </w:rPr>
        <w:t>3</w:t>
      </w: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rPr>
        <w:t>对于“</w:t>
      </w:r>
      <w:r>
        <w:rPr>
          <w:rFonts w:hint="eastAsia" w:ascii="仿宋_GB2312" w:hAnsi="黑体" w:eastAsia="仿宋_GB2312"/>
          <w:b/>
          <w:bCs/>
          <w:color w:val="auto"/>
          <w:sz w:val="32"/>
          <w:szCs w:val="32"/>
          <w:highlight w:val="none"/>
          <w:lang w:val="en-US" w:eastAsia="zh-CN"/>
        </w:rPr>
        <w:t>生态</w:t>
      </w:r>
      <w:r>
        <w:rPr>
          <w:rFonts w:hint="eastAsia" w:ascii="仿宋_GB2312" w:hAnsi="黑体" w:eastAsia="仿宋_GB2312"/>
          <w:b/>
          <w:bCs/>
          <w:color w:val="auto"/>
          <w:sz w:val="32"/>
          <w:szCs w:val="32"/>
          <w:highlight w:val="none"/>
        </w:rPr>
        <w:t>效益指标”：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lang w:val="en-US" w:eastAsia="zh-CN"/>
        </w:rPr>
      </w:pPr>
      <w:r>
        <w:rPr>
          <w:rFonts w:hint="eastAsia" w:ascii="仿宋_GB2312" w:hAnsi="黑体" w:eastAsia="仿宋_GB2312"/>
          <w:b w:val="0"/>
          <w:bCs w:val="0"/>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lang w:val="en-US" w:eastAsia="zh-CN"/>
        </w:rPr>
        <w:t>4</w:t>
      </w:r>
      <w:r>
        <w:rPr>
          <w:rFonts w:hint="eastAsia" w:ascii="仿宋_GB2312" w:hAnsi="黑体" w:eastAsia="仿宋_GB2312"/>
          <w:b/>
          <w:bCs/>
          <w:color w:val="auto"/>
          <w:sz w:val="32"/>
          <w:szCs w:val="32"/>
          <w:highlight w:val="none"/>
          <w:lang w:eastAsia="zh-CN"/>
        </w:rPr>
        <w:t>）</w:t>
      </w:r>
      <w:r>
        <w:rPr>
          <w:rFonts w:hint="eastAsia" w:ascii="仿宋_GB2312" w:hAnsi="黑体" w:eastAsia="仿宋_GB2312"/>
          <w:b/>
          <w:bCs/>
          <w:color w:val="auto"/>
          <w:sz w:val="32"/>
          <w:szCs w:val="32"/>
          <w:highlight w:val="none"/>
        </w:rPr>
        <w:t>对于“可持续影响指标”：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小额贷款贴息有效带动就业能力</w:t>
      </w:r>
      <w:r>
        <w:rPr>
          <w:rFonts w:hint="eastAsia" w:ascii="仿宋_GB2312" w:hAnsi="黑体" w:eastAsia="仿宋_GB2312"/>
          <w:b w:val="0"/>
          <w:bCs w:val="0"/>
          <w:color w:val="auto"/>
          <w:sz w:val="32"/>
          <w:szCs w:val="32"/>
          <w:highlight w:val="none"/>
          <w:lang w:val="en-US" w:eastAsia="zh-CN"/>
        </w:rPr>
        <w:t>显著提升，</w:t>
      </w:r>
      <w:r>
        <w:rPr>
          <w:rFonts w:hint="eastAsia" w:ascii="仿宋_GB2312" w:hAnsi="黑体" w:eastAsia="仿宋_GB2312"/>
          <w:b w:val="0"/>
          <w:bCs w:val="0"/>
          <w:color w:val="auto"/>
          <w:sz w:val="32"/>
          <w:szCs w:val="32"/>
          <w:highlight w:val="none"/>
        </w:rPr>
        <w:t>与预期指标一致，</w:t>
      </w:r>
      <w:r>
        <w:rPr>
          <w:rFonts w:hint="eastAsia" w:ascii="仿宋_GB2312" w:hAnsi="黑体" w:eastAsia="仿宋_GB2312"/>
          <w:b w:val="0"/>
          <w:bCs w:val="0"/>
          <w:color w:val="auto"/>
          <w:sz w:val="32"/>
          <w:szCs w:val="32"/>
          <w:highlight w:val="none"/>
          <w:lang w:val="en-US" w:eastAsia="zh-CN"/>
        </w:rPr>
        <w:t>指标标杆分值5分，</w:t>
      </w:r>
      <w:r>
        <w:rPr>
          <w:rFonts w:hint="eastAsia" w:ascii="仿宋_GB2312" w:hAnsi="黑体" w:eastAsia="仿宋_GB2312"/>
          <w:b w:val="0"/>
          <w:bCs w:val="0"/>
          <w:color w:val="auto"/>
          <w:sz w:val="32"/>
          <w:szCs w:val="32"/>
          <w:highlight w:val="none"/>
        </w:rPr>
        <w:t>根据评分标准，该指标</w:t>
      </w:r>
      <w:r>
        <w:rPr>
          <w:rFonts w:hint="eastAsia" w:ascii="仿宋_GB2312" w:hAnsi="黑体" w:eastAsia="仿宋_GB2312"/>
          <w:b w:val="0"/>
          <w:bCs w:val="0"/>
          <w:color w:val="auto"/>
          <w:sz w:val="32"/>
          <w:szCs w:val="32"/>
          <w:highlight w:val="none"/>
          <w:lang w:val="en-US" w:eastAsia="zh-CN"/>
        </w:rPr>
        <w:t>不</w:t>
      </w:r>
      <w:r>
        <w:rPr>
          <w:rFonts w:hint="eastAsia" w:ascii="仿宋_GB2312" w:hAnsi="黑体" w:eastAsia="仿宋_GB2312"/>
          <w:b w:val="0"/>
          <w:bCs w:val="0"/>
          <w:color w:val="auto"/>
          <w:sz w:val="32"/>
          <w:szCs w:val="32"/>
          <w:highlight w:val="none"/>
        </w:rPr>
        <w:t>扣分，得</w:t>
      </w:r>
      <w:r>
        <w:rPr>
          <w:rFonts w:hint="eastAsia" w:ascii="仿宋_GB2312" w:hAnsi="黑体" w:eastAsia="仿宋_GB2312"/>
          <w:b w:val="0"/>
          <w:bCs w:val="0"/>
          <w:color w:val="auto"/>
          <w:sz w:val="32"/>
          <w:szCs w:val="32"/>
          <w:highlight w:val="none"/>
          <w:lang w:val="en-US" w:eastAsia="zh-CN"/>
        </w:rPr>
        <w:t>5</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实施效益指标合计得</w:t>
      </w:r>
      <w:r>
        <w:rPr>
          <w:rFonts w:hint="eastAsia" w:ascii="仿宋_GB2312" w:hAnsi="黑体" w:eastAsia="仿宋_GB2312"/>
          <w:b w:val="0"/>
          <w:bCs w:val="0"/>
          <w:color w:val="auto"/>
          <w:sz w:val="32"/>
          <w:szCs w:val="32"/>
          <w:highlight w:val="none"/>
          <w:lang w:val="en-US" w:eastAsia="zh-CN"/>
        </w:rPr>
        <w:t>20</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val="0"/>
          <w:bCs w:val="0"/>
          <w:color w:val="auto"/>
          <w:sz w:val="32"/>
          <w:szCs w:val="32"/>
          <w:highlight w:val="none"/>
          <w:lang w:val="en-US" w:eastAsia="zh-CN"/>
        </w:rPr>
      </w:pPr>
      <w:r>
        <w:rPr>
          <w:rFonts w:hint="eastAsia" w:ascii="仿宋_GB2312" w:hAnsi="黑体" w:eastAsia="仿宋_GB2312"/>
          <w:b/>
          <w:bCs/>
          <w:color w:val="auto"/>
          <w:sz w:val="32"/>
          <w:szCs w:val="32"/>
          <w:highlight w:val="none"/>
          <w:lang w:val="en-US" w:eastAsia="zh-CN"/>
        </w:rPr>
        <w:t>2.满意度指标: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lang w:eastAsia="zh-CN"/>
        </w:rPr>
      </w:pPr>
      <w:r>
        <w:rPr>
          <w:rFonts w:hint="eastAsia" w:ascii="仿宋_GB2312" w:hAnsi="黑体" w:eastAsia="仿宋_GB2312"/>
          <w:b w:val="0"/>
          <w:bCs w:val="0"/>
          <w:color w:val="auto"/>
          <w:sz w:val="32"/>
          <w:szCs w:val="32"/>
          <w:highlight w:val="none"/>
        </w:rPr>
        <w:t>受益村镇人民满意度</w:t>
      </w:r>
      <w:r>
        <w:rPr>
          <w:rFonts w:hint="eastAsia" w:ascii="仿宋_GB2312" w:hAnsi="黑体" w:eastAsia="仿宋_GB2312"/>
          <w:b w:val="0"/>
          <w:bCs w:val="0"/>
          <w:color w:val="auto"/>
          <w:sz w:val="32"/>
          <w:szCs w:val="32"/>
          <w:highlight w:val="none"/>
          <w:lang w:val="en-US" w:eastAsia="zh-CN"/>
        </w:rPr>
        <w:t>95</w:t>
      </w:r>
      <w:r>
        <w:rPr>
          <w:rFonts w:hint="eastAsia" w:ascii="仿宋_GB2312" w:hAnsi="黑体" w:eastAsia="仿宋_GB2312"/>
          <w:b w:val="0"/>
          <w:bCs w:val="0"/>
          <w:color w:val="auto"/>
          <w:sz w:val="32"/>
          <w:szCs w:val="32"/>
          <w:highlight w:val="none"/>
        </w:rPr>
        <w:t>%</w:t>
      </w:r>
      <w:r>
        <w:rPr>
          <w:rFonts w:hint="eastAsia" w:ascii="仿宋_GB2312" w:hAnsi="黑体" w:eastAsia="仿宋_GB2312"/>
          <w:b w:val="0"/>
          <w:bCs w:val="0"/>
          <w:color w:val="auto"/>
          <w:sz w:val="32"/>
          <w:szCs w:val="32"/>
          <w:highlight w:val="none"/>
          <w:lang w:eastAsia="zh-CN"/>
        </w:rPr>
        <w:t>，</w:t>
      </w:r>
      <w:r>
        <w:rPr>
          <w:rFonts w:hint="eastAsia" w:ascii="仿宋_GB2312" w:hAnsi="黑体" w:eastAsia="仿宋_GB2312"/>
          <w:b w:val="0"/>
          <w:bCs w:val="0"/>
          <w:color w:val="auto"/>
          <w:sz w:val="32"/>
          <w:szCs w:val="32"/>
          <w:highlight w:val="none"/>
          <w:lang w:val="en-US" w:eastAsia="zh-CN"/>
        </w:rPr>
        <w:t>实际满意度100%</w:t>
      </w:r>
      <w:r>
        <w:rPr>
          <w:rFonts w:hint="eastAsia" w:ascii="仿宋_GB2312" w:hAnsi="黑体" w:eastAsia="仿宋_GB2312"/>
          <w:b w:val="0"/>
          <w:bCs w:val="0"/>
          <w:color w:val="auto"/>
          <w:sz w:val="32"/>
          <w:szCs w:val="32"/>
          <w:highlight w:val="none"/>
        </w:rPr>
        <w:t>，</w:t>
      </w:r>
      <w:r>
        <w:rPr>
          <w:rFonts w:hint="eastAsia" w:ascii="仿宋_GB2312" w:hAnsi="黑体" w:eastAsia="仿宋_GB2312"/>
          <w:b w:val="0"/>
          <w:bCs w:val="0"/>
          <w:color w:val="auto"/>
          <w:sz w:val="32"/>
          <w:szCs w:val="32"/>
          <w:highlight w:val="none"/>
          <w:lang w:val="en-US" w:eastAsia="zh-CN"/>
        </w:rPr>
        <w:t>指标标杆分值10分，</w:t>
      </w:r>
      <w:r>
        <w:rPr>
          <w:rFonts w:hint="eastAsia" w:ascii="仿宋_GB2312" w:hAnsi="黑体" w:eastAsia="仿宋_GB2312"/>
          <w:b w:val="0"/>
          <w:bCs w:val="0"/>
          <w:color w:val="auto"/>
          <w:sz w:val="32"/>
          <w:szCs w:val="32"/>
          <w:highlight w:val="none"/>
        </w:rPr>
        <w:t>根据评分标准，该指标不扣分，得</w:t>
      </w:r>
      <w:r>
        <w:rPr>
          <w:rFonts w:hint="eastAsia" w:ascii="仿宋_GB2312" w:hAnsi="黑体" w:eastAsia="仿宋_GB2312"/>
          <w:b w:val="0"/>
          <w:bCs w:val="0"/>
          <w:color w:val="auto"/>
          <w:sz w:val="32"/>
          <w:szCs w:val="32"/>
          <w:highlight w:val="none"/>
          <w:lang w:val="en-US" w:eastAsia="zh-CN"/>
        </w:rPr>
        <w:t>10</w:t>
      </w:r>
      <w:r>
        <w:rPr>
          <w:rFonts w:hint="eastAsia" w:ascii="仿宋_GB2312" w:hAnsi="黑体" w:eastAsia="仿宋_GB2312"/>
          <w:b w:val="0"/>
          <w:bCs w:val="0"/>
          <w:color w:val="auto"/>
          <w:sz w:val="32"/>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val="0"/>
          <w:bCs w:val="0"/>
          <w:color w:val="auto"/>
          <w:sz w:val="32"/>
          <w:szCs w:val="32"/>
          <w:highlight w:val="none"/>
          <w:lang w:val="en-US" w:eastAsia="zh-CN"/>
        </w:rPr>
      </w:pPr>
      <w:r>
        <w:rPr>
          <w:rFonts w:hint="eastAsia" w:ascii="仿宋_GB2312" w:hAnsi="黑体" w:eastAsia="仿宋_GB2312"/>
          <w:b/>
          <w:bCs/>
          <w:color w:val="auto"/>
          <w:sz w:val="32"/>
          <w:szCs w:val="32"/>
          <w:highlight w:val="none"/>
          <w:lang w:val="en-US" w:eastAsia="zh-CN"/>
        </w:rPr>
        <w:t>四、偏离绩效目标的原因和下一步改进措施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黑体" w:eastAsia="仿宋_GB2312"/>
          <w:b w:val="0"/>
          <w:bCs w:val="0"/>
          <w:color w:val="auto"/>
          <w:sz w:val="32"/>
          <w:szCs w:val="32"/>
          <w:highlight w:val="none"/>
          <w:lang w:val="en-US" w:eastAsia="zh-CN"/>
        </w:rPr>
      </w:pPr>
      <w:r>
        <w:rPr>
          <w:rFonts w:hint="eastAsia" w:ascii="仿宋_GB2312" w:hAnsi="黑体" w:eastAsia="仿宋_GB2312"/>
          <w:b w:val="0"/>
          <w:bCs w:val="0"/>
          <w:color w:val="auto"/>
          <w:sz w:val="32"/>
          <w:szCs w:val="32"/>
          <w:highlight w:val="none"/>
        </w:rPr>
        <w:t>小额贷款贴息项目预算</w:t>
      </w:r>
      <w:r>
        <w:rPr>
          <w:rFonts w:hint="eastAsia" w:ascii="仿宋_GB2312" w:hAnsi="黑体" w:eastAsia="仿宋_GB2312"/>
          <w:b w:val="0"/>
          <w:bCs w:val="0"/>
          <w:color w:val="auto"/>
          <w:sz w:val="32"/>
          <w:szCs w:val="32"/>
          <w:highlight w:val="none"/>
          <w:lang w:val="en-US" w:eastAsia="zh-CN"/>
        </w:rPr>
        <w:t>674.473478</w:t>
      </w:r>
      <w:r>
        <w:rPr>
          <w:rFonts w:hint="eastAsia" w:ascii="仿宋_GB2312" w:hAnsi="黑体" w:eastAsia="仿宋_GB2312"/>
          <w:b w:val="0"/>
          <w:bCs w:val="0"/>
          <w:color w:val="auto"/>
          <w:sz w:val="32"/>
          <w:szCs w:val="32"/>
          <w:highlight w:val="none"/>
          <w:lang w:eastAsia="zh-CN"/>
        </w:rPr>
        <w:t>万元</w:t>
      </w:r>
      <w:r>
        <w:rPr>
          <w:rFonts w:hint="eastAsia" w:ascii="仿宋_GB2312" w:hAnsi="黑体" w:eastAsia="仿宋_GB2312"/>
          <w:b w:val="0"/>
          <w:bCs w:val="0"/>
          <w:color w:val="auto"/>
          <w:sz w:val="32"/>
          <w:szCs w:val="32"/>
          <w:highlight w:val="none"/>
        </w:rPr>
        <w:t>，到位</w:t>
      </w:r>
      <w:r>
        <w:rPr>
          <w:rFonts w:hint="eastAsia" w:ascii="仿宋_GB2312" w:hAnsi="黑体" w:eastAsia="仿宋_GB2312"/>
          <w:b w:val="0"/>
          <w:bCs w:val="0"/>
          <w:color w:val="auto"/>
          <w:sz w:val="32"/>
          <w:szCs w:val="32"/>
          <w:highlight w:val="none"/>
          <w:lang w:val="en-US" w:eastAsia="zh-CN"/>
        </w:rPr>
        <w:t>674.473478</w:t>
      </w:r>
      <w:r>
        <w:rPr>
          <w:rFonts w:hint="eastAsia" w:ascii="仿宋_GB2312" w:hAnsi="黑体" w:eastAsia="仿宋_GB2312"/>
          <w:b w:val="0"/>
          <w:bCs w:val="0"/>
          <w:color w:val="auto"/>
          <w:sz w:val="32"/>
          <w:szCs w:val="32"/>
          <w:highlight w:val="none"/>
          <w:lang w:eastAsia="zh-CN"/>
        </w:rPr>
        <w:t>万元</w:t>
      </w:r>
      <w:r>
        <w:rPr>
          <w:rFonts w:hint="eastAsia" w:ascii="仿宋_GB2312" w:hAnsi="黑体" w:eastAsia="仿宋_GB2312"/>
          <w:b w:val="0"/>
          <w:bCs w:val="0"/>
          <w:color w:val="auto"/>
          <w:sz w:val="32"/>
          <w:szCs w:val="32"/>
          <w:highlight w:val="none"/>
        </w:rPr>
        <w:t>，实际支出</w:t>
      </w:r>
      <w:r>
        <w:rPr>
          <w:rFonts w:hint="eastAsia" w:ascii="仿宋_GB2312" w:hAnsi="黑体" w:eastAsia="仿宋_GB2312"/>
          <w:b w:val="0"/>
          <w:bCs w:val="0"/>
          <w:color w:val="auto"/>
          <w:sz w:val="32"/>
          <w:szCs w:val="32"/>
          <w:highlight w:val="none"/>
          <w:lang w:val="en-US" w:eastAsia="zh-CN"/>
        </w:rPr>
        <w:t>674.473478</w:t>
      </w:r>
      <w:r>
        <w:rPr>
          <w:rFonts w:hint="eastAsia" w:ascii="仿宋_GB2312" w:hAnsi="黑体" w:eastAsia="仿宋_GB2312"/>
          <w:b w:val="0"/>
          <w:bCs w:val="0"/>
          <w:color w:val="auto"/>
          <w:sz w:val="32"/>
          <w:szCs w:val="32"/>
          <w:highlight w:val="none"/>
          <w:lang w:eastAsia="zh-CN"/>
        </w:rPr>
        <w:t>万元</w:t>
      </w:r>
      <w:r>
        <w:rPr>
          <w:rFonts w:hint="eastAsia" w:ascii="仿宋_GB2312" w:hAnsi="黑体" w:eastAsia="仿宋_GB2312"/>
          <w:b w:val="0"/>
          <w:bCs w:val="0"/>
          <w:color w:val="auto"/>
          <w:sz w:val="32"/>
          <w:szCs w:val="32"/>
          <w:highlight w:val="none"/>
        </w:rPr>
        <w:t>，预算执行率为</w:t>
      </w:r>
      <w:r>
        <w:rPr>
          <w:rFonts w:hint="eastAsia" w:ascii="仿宋_GB2312" w:hAnsi="黑体" w:eastAsia="仿宋_GB2312"/>
          <w:b w:val="0"/>
          <w:bCs w:val="0"/>
          <w:color w:val="auto"/>
          <w:sz w:val="32"/>
          <w:szCs w:val="32"/>
          <w:highlight w:val="none"/>
          <w:lang w:val="en-US" w:eastAsia="zh-CN"/>
        </w:rPr>
        <w:t>100</w:t>
      </w:r>
      <w:r>
        <w:rPr>
          <w:rFonts w:hint="eastAsia" w:ascii="仿宋_GB2312" w:hAnsi="黑体" w:eastAsia="仿宋_GB2312"/>
          <w:b w:val="0"/>
          <w:bCs w:val="0"/>
          <w:color w:val="auto"/>
          <w:sz w:val="32"/>
          <w:szCs w:val="32"/>
          <w:highlight w:val="none"/>
        </w:rPr>
        <w:t>%，项目绩效指标总体完成率为</w:t>
      </w:r>
      <w:r>
        <w:rPr>
          <w:rFonts w:hint="eastAsia" w:ascii="仿宋_GB2312" w:hAnsi="黑体" w:eastAsia="仿宋_GB2312"/>
          <w:b w:val="0"/>
          <w:bCs w:val="0"/>
          <w:color w:val="auto"/>
          <w:sz w:val="32"/>
          <w:szCs w:val="32"/>
          <w:highlight w:val="none"/>
          <w:lang w:val="en-US" w:eastAsia="zh-CN"/>
        </w:rPr>
        <w:t>100</w:t>
      </w:r>
      <w:r>
        <w:rPr>
          <w:rFonts w:hint="eastAsia" w:ascii="仿宋_GB2312" w:hAnsi="黑体" w:eastAsia="仿宋_GB2312"/>
          <w:b w:val="0"/>
          <w:bCs w:val="0"/>
          <w:color w:val="auto"/>
          <w:sz w:val="32"/>
          <w:szCs w:val="32"/>
          <w:highlight w:val="none"/>
        </w:rPr>
        <w:t>%</w:t>
      </w:r>
      <w:r>
        <w:rPr>
          <w:rFonts w:hint="eastAsia" w:ascii="仿宋_GB2312" w:hAnsi="黑体" w:eastAsia="仿宋_GB2312"/>
          <w:b w:val="0"/>
          <w:bCs w:val="0"/>
          <w:color w:val="auto"/>
          <w:sz w:val="32"/>
          <w:szCs w:val="32"/>
          <w:highlight w:val="none"/>
          <w:lang w:eastAsia="zh-CN"/>
        </w:rPr>
        <w:t>，</w:t>
      </w:r>
      <w:r>
        <w:rPr>
          <w:rFonts w:hint="eastAsia" w:ascii="仿宋_GB2312" w:hAnsi="黑体" w:eastAsia="仿宋_GB2312"/>
          <w:b w:val="0"/>
          <w:bCs w:val="0"/>
          <w:color w:val="auto"/>
          <w:sz w:val="32"/>
          <w:szCs w:val="32"/>
          <w:highlight w:val="none"/>
          <w:lang w:val="en-US" w:eastAsia="zh-CN"/>
        </w:rPr>
        <w:t>无偏差。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default" w:ascii="仿宋_GB2312" w:hAnsi="黑体" w:eastAsia="仿宋_GB2312"/>
          <w:b/>
          <w:bCs/>
          <w:color w:val="auto"/>
          <w:sz w:val="32"/>
          <w:szCs w:val="32"/>
          <w:highlight w:val="none"/>
          <w:lang w:val="en-US" w:eastAsia="zh-CN"/>
        </w:rPr>
      </w:pPr>
      <w:r>
        <w:rPr>
          <w:rFonts w:hint="eastAsia" w:ascii="仿宋_GB2312" w:hAnsi="黑体" w:eastAsia="仿宋_GB2312"/>
          <w:b/>
          <w:bCs/>
          <w:color w:val="auto"/>
          <w:sz w:val="32"/>
          <w:szCs w:val="32"/>
          <w:highlight w:val="none"/>
          <w:lang w:val="en-US" w:eastAsia="zh-CN"/>
        </w:rPr>
        <w:t>五、综合评价结论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运用项目组制</w:t>
      </w:r>
      <w:r>
        <w:rPr>
          <w:rFonts w:hint="eastAsia" w:ascii="仿宋_GB2312" w:hAnsi="黑体" w:eastAsia="仿宋_GB2312"/>
          <w:b w:val="0"/>
          <w:bCs w:val="0"/>
          <w:color w:val="auto"/>
          <w:sz w:val="32"/>
          <w:szCs w:val="32"/>
          <w:highlight w:val="none"/>
          <w:lang w:eastAsia="zh-CN"/>
        </w:rPr>
        <w:t>定</w:t>
      </w:r>
      <w:r>
        <w:rPr>
          <w:rFonts w:hint="eastAsia" w:ascii="仿宋_GB2312" w:hAnsi="黑体" w:eastAsia="仿宋_GB2312"/>
          <w:b w:val="0"/>
          <w:bCs w:val="0"/>
          <w:color w:val="auto"/>
          <w:sz w:val="32"/>
          <w:szCs w:val="32"/>
          <w:highlight w:val="none"/>
        </w:rPr>
        <w:t>评价指标体系及财政部《项目支出绩效评价管理办法》（财预〔2020〕10号）</w:t>
      </w:r>
      <w:r>
        <w:rPr>
          <w:rFonts w:hint="eastAsia" w:ascii="仿宋_GB2312" w:hAnsi="黑体" w:eastAsia="仿宋_GB2312"/>
          <w:b w:val="0"/>
          <w:bCs w:val="0"/>
          <w:color w:val="auto"/>
          <w:sz w:val="32"/>
          <w:szCs w:val="32"/>
          <w:highlight w:val="none"/>
          <w:lang w:eastAsia="zh-CN"/>
        </w:rPr>
        <w:t>文件</w:t>
      </w:r>
      <w:r>
        <w:rPr>
          <w:rFonts w:hint="eastAsia" w:ascii="仿宋_GB2312" w:hAnsi="黑体" w:eastAsia="仿宋_GB2312"/>
          <w:b w:val="0"/>
          <w:bCs w:val="0"/>
          <w:color w:val="auto"/>
          <w:sz w:val="32"/>
          <w:szCs w:val="32"/>
          <w:highlight w:val="none"/>
        </w:rPr>
        <w:t>评分标准</w:t>
      </w:r>
      <w:r>
        <w:rPr>
          <w:rFonts w:hint="eastAsia" w:ascii="仿宋_GB2312" w:hAnsi="黑体" w:eastAsia="仿宋_GB2312"/>
          <w:b w:val="0"/>
          <w:bCs w:val="0"/>
          <w:color w:val="auto"/>
          <w:sz w:val="32"/>
          <w:szCs w:val="32"/>
          <w:highlight w:val="none"/>
          <w:lang w:eastAsia="zh-CN"/>
        </w:rPr>
        <w:t>进行评价</w:t>
      </w:r>
      <w:r>
        <w:rPr>
          <w:rFonts w:hint="eastAsia" w:ascii="仿宋_GB2312" w:hAnsi="黑体" w:eastAsia="仿宋_GB2312"/>
          <w:b w:val="0"/>
          <w:bCs w:val="0"/>
          <w:color w:val="auto"/>
          <w:sz w:val="32"/>
          <w:szCs w:val="32"/>
          <w:highlight w:val="none"/>
        </w:rPr>
        <w:t>，本次绩效评价</w:t>
      </w:r>
      <w:r>
        <w:rPr>
          <w:rFonts w:hint="eastAsia" w:ascii="仿宋_GB2312" w:hAnsi="黑体" w:eastAsia="仿宋_GB2312"/>
          <w:b w:val="0"/>
          <w:bCs w:val="0"/>
          <w:color w:val="auto"/>
          <w:sz w:val="32"/>
          <w:szCs w:val="32"/>
          <w:highlight w:val="none"/>
          <w:lang w:val="en-US" w:eastAsia="zh-CN"/>
        </w:rPr>
        <w:t>结果</w:t>
      </w:r>
      <w:r>
        <w:rPr>
          <w:rFonts w:hint="eastAsia" w:ascii="仿宋_GB2312" w:hAnsi="黑体" w:eastAsia="仿宋_GB2312"/>
          <w:b w:val="0"/>
          <w:bCs w:val="0"/>
          <w:color w:val="auto"/>
          <w:sz w:val="32"/>
          <w:szCs w:val="32"/>
          <w:highlight w:val="none"/>
        </w:rPr>
        <w:t>主要</w:t>
      </w:r>
      <w:r>
        <w:rPr>
          <w:rFonts w:hint="eastAsia" w:ascii="仿宋_GB2312" w:hAnsi="黑体" w:eastAsia="仿宋_GB2312"/>
          <w:b w:val="0"/>
          <w:bCs w:val="0"/>
          <w:color w:val="auto"/>
          <w:sz w:val="32"/>
          <w:szCs w:val="32"/>
          <w:highlight w:val="none"/>
          <w:lang w:val="en-US" w:eastAsia="zh-CN"/>
        </w:rPr>
        <w:t>采取评分和评级相结合的方式</w:t>
      </w:r>
      <w:r>
        <w:rPr>
          <w:rFonts w:hint="eastAsia" w:ascii="仿宋_GB2312" w:hAnsi="黑体" w:eastAsia="仿宋_GB2312"/>
          <w:b w:val="0"/>
          <w:bCs w:val="0"/>
          <w:color w:val="auto"/>
          <w:sz w:val="32"/>
          <w:szCs w:val="32"/>
          <w:highlight w:val="none"/>
        </w:rPr>
        <w:t>，</w:t>
      </w:r>
      <w:r>
        <w:rPr>
          <w:rFonts w:hint="eastAsia" w:ascii="仿宋_GB2312" w:hAnsi="黑体" w:eastAsia="仿宋_GB2312"/>
          <w:b w:val="0"/>
          <w:bCs w:val="0"/>
          <w:color w:val="auto"/>
          <w:sz w:val="32"/>
          <w:szCs w:val="32"/>
          <w:highlight w:val="none"/>
          <w:lang w:val="en-US" w:eastAsia="zh-CN"/>
        </w:rPr>
        <w:t>具体分值和等级可根据不同评价的内容设定。总分一般设置为</w:t>
      </w:r>
      <w:r>
        <w:rPr>
          <w:rFonts w:hint="eastAsia" w:ascii="仿宋_GB2312" w:hAnsi="黑体" w:eastAsia="仿宋_GB2312"/>
          <w:b w:val="0"/>
          <w:bCs w:val="0"/>
          <w:color w:val="auto"/>
          <w:sz w:val="32"/>
          <w:szCs w:val="32"/>
          <w:highlight w:val="none"/>
        </w:rPr>
        <w:t>100分，其中项目决策2</w:t>
      </w:r>
      <w:r>
        <w:rPr>
          <w:rFonts w:hint="eastAsia" w:ascii="仿宋_GB2312" w:hAnsi="黑体" w:eastAsia="仿宋_GB2312"/>
          <w:b w:val="0"/>
          <w:bCs w:val="0"/>
          <w:color w:val="auto"/>
          <w:sz w:val="32"/>
          <w:szCs w:val="32"/>
          <w:highlight w:val="none"/>
          <w:lang w:val="en-US" w:eastAsia="zh-CN"/>
        </w:rPr>
        <w:t>0</w:t>
      </w:r>
      <w:r>
        <w:rPr>
          <w:rFonts w:hint="eastAsia" w:ascii="仿宋_GB2312" w:hAnsi="黑体" w:eastAsia="仿宋_GB2312"/>
          <w:b w:val="0"/>
          <w:bCs w:val="0"/>
          <w:color w:val="auto"/>
          <w:sz w:val="32"/>
          <w:szCs w:val="32"/>
          <w:highlight w:val="none"/>
        </w:rPr>
        <w:t>分</w:t>
      </w:r>
      <w:r>
        <w:rPr>
          <w:rFonts w:hint="eastAsia" w:ascii="仿宋_GB2312" w:hAnsi="黑体" w:eastAsia="仿宋_GB2312"/>
          <w:b w:val="0"/>
          <w:bCs w:val="0"/>
          <w:color w:val="auto"/>
          <w:sz w:val="32"/>
          <w:szCs w:val="32"/>
          <w:highlight w:val="none"/>
          <w:lang w:eastAsia="zh-CN"/>
        </w:rPr>
        <w:t>、</w:t>
      </w:r>
      <w:r>
        <w:rPr>
          <w:rFonts w:hint="eastAsia" w:ascii="仿宋_GB2312" w:hAnsi="黑体" w:eastAsia="仿宋_GB2312"/>
          <w:b w:val="0"/>
          <w:bCs w:val="0"/>
          <w:color w:val="auto"/>
          <w:sz w:val="32"/>
          <w:szCs w:val="32"/>
          <w:highlight w:val="none"/>
        </w:rPr>
        <w:t>项目</w:t>
      </w:r>
      <w:r>
        <w:rPr>
          <w:rFonts w:hint="eastAsia" w:ascii="仿宋_GB2312" w:hAnsi="黑体" w:eastAsia="仿宋_GB2312"/>
          <w:b w:val="0"/>
          <w:bCs w:val="0"/>
          <w:color w:val="auto"/>
          <w:sz w:val="32"/>
          <w:szCs w:val="32"/>
          <w:highlight w:val="none"/>
          <w:lang w:val="en-US" w:eastAsia="zh-CN"/>
        </w:rPr>
        <w:t>过程20</w:t>
      </w:r>
      <w:r>
        <w:rPr>
          <w:rFonts w:hint="eastAsia" w:ascii="仿宋_GB2312" w:hAnsi="黑体" w:eastAsia="仿宋_GB2312"/>
          <w:b w:val="0"/>
          <w:bCs w:val="0"/>
          <w:color w:val="auto"/>
          <w:sz w:val="32"/>
          <w:szCs w:val="32"/>
          <w:highlight w:val="none"/>
        </w:rPr>
        <w:t>分</w:t>
      </w:r>
      <w:r>
        <w:rPr>
          <w:rFonts w:hint="eastAsia" w:ascii="仿宋_GB2312" w:hAnsi="黑体" w:eastAsia="仿宋_GB2312"/>
          <w:b w:val="0"/>
          <w:bCs w:val="0"/>
          <w:color w:val="auto"/>
          <w:sz w:val="32"/>
          <w:szCs w:val="32"/>
          <w:highlight w:val="none"/>
          <w:lang w:eastAsia="zh-CN"/>
        </w:rPr>
        <w:t>、</w:t>
      </w:r>
      <w:r>
        <w:rPr>
          <w:rFonts w:hint="eastAsia" w:ascii="仿宋_GB2312" w:hAnsi="黑体" w:eastAsia="仿宋_GB2312"/>
          <w:b w:val="0"/>
          <w:bCs w:val="0"/>
          <w:color w:val="auto"/>
          <w:sz w:val="32"/>
          <w:szCs w:val="32"/>
          <w:highlight w:val="none"/>
        </w:rPr>
        <w:t>项目</w:t>
      </w:r>
      <w:r>
        <w:rPr>
          <w:rFonts w:hint="eastAsia" w:ascii="仿宋_GB2312" w:hAnsi="黑体" w:eastAsia="仿宋_GB2312"/>
          <w:b w:val="0"/>
          <w:bCs w:val="0"/>
          <w:color w:val="auto"/>
          <w:sz w:val="32"/>
          <w:szCs w:val="32"/>
          <w:highlight w:val="none"/>
          <w:lang w:val="en-US" w:eastAsia="zh-CN"/>
        </w:rPr>
        <w:t>产出40分、项目效益20</w:t>
      </w:r>
      <w:r>
        <w:rPr>
          <w:rFonts w:hint="eastAsia" w:ascii="仿宋_GB2312" w:hAnsi="黑体" w:eastAsia="仿宋_GB2312"/>
          <w:b w:val="0"/>
          <w:bCs w:val="0"/>
          <w:color w:val="auto"/>
          <w:sz w:val="32"/>
          <w:szCs w:val="32"/>
          <w:highlight w:val="none"/>
        </w:rPr>
        <w:t>分。评价结果分为优、良、中、差四个等级：优（90分（含）—100分）；良（80分（含）—90分）；中（60分（含）—80分）；差（0分—60分）。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r>
        <w:rPr>
          <w:rFonts w:hint="eastAsia" w:ascii="仿宋_GB2312" w:hAnsi="黑体" w:eastAsia="仿宋_GB2312"/>
          <w:b w:val="0"/>
          <w:bCs w:val="0"/>
          <w:color w:val="auto"/>
          <w:sz w:val="32"/>
          <w:szCs w:val="32"/>
          <w:highlight w:val="none"/>
        </w:rPr>
        <w:t>小额贷款贴息项目</w:t>
      </w:r>
      <w:r>
        <w:rPr>
          <w:rFonts w:hint="default" w:ascii="仿宋_GB2312" w:hAnsi="黑体" w:eastAsia="仿宋_GB2312"/>
          <w:b w:val="0"/>
          <w:bCs w:val="0"/>
          <w:color w:val="auto"/>
          <w:sz w:val="32"/>
          <w:szCs w:val="32"/>
          <w:highlight w:val="none"/>
          <w:lang w:val="en-US" w:eastAsia="zh-CN"/>
        </w:rPr>
        <w:t>已完成</w:t>
      </w:r>
      <w:r>
        <w:rPr>
          <w:rFonts w:hint="eastAsia" w:ascii="仿宋_GB2312" w:hAnsi="黑体" w:eastAsia="仿宋_GB2312"/>
          <w:b w:val="0"/>
          <w:bCs w:val="0"/>
          <w:color w:val="auto"/>
          <w:sz w:val="32"/>
          <w:szCs w:val="32"/>
          <w:highlight w:val="none"/>
          <w:lang w:val="en-US" w:eastAsia="zh-CN"/>
        </w:rPr>
        <w:t>，</w:t>
      </w:r>
      <w:r>
        <w:rPr>
          <w:rFonts w:hint="eastAsia" w:ascii="仿宋_GB2312" w:hAnsi="黑体" w:eastAsia="仿宋_GB2312"/>
          <w:b w:val="0"/>
          <w:bCs w:val="0"/>
          <w:color w:val="auto"/>
          <w:sz w:val="32"/>
          <w:szCs w:val="32"/>
          <w:highlight w:val="none"/>
        </w:rPr>
        <w:t>支持本县产业发展和改善乡村基层治理等方面发挥积极作用，巩固拓展脱贫攻坚成果同乡村振兴有效衔接，切实满足脱贫人口、边缘易致贫人口小额信贷需求，支持脱贫人口、边缘易致贫人口发展生产不返贫、不致贫，使脱贫人口、边缘易致贫人口享受</w:t>
      </w:r>
      <w:r>
        <w:rPr>
          <w:rFonts w:hint="eastAsia" w:ascii="仿宋_GB2312" w:hAnsi="黑体" w:eastAsia="仿宋_GB2312"/>
          <w:b w:val="0"/>
          <w:bCs w:val="0"/>
          <w:color w:val="auto"/>
          <w:sz w:val="32"/>
          <w:szCs w:val="32"/>
          <w:highlight w:val="none"/>
          <w:lang w:eastAsia="zh-CN"/>
        </w:rPr>
        <w:t>小额贷款贴息</w:t>
      </w:r>
      <w:r>
        <w:rPr>
          <w:rFonts w:hint="eastAsia" w:ascii="仿宋_GB2312" w:hAnsi="黑体" w:eastAsia="仿宋_GB2312"/>
          <w:b w:val="0"/>
          <w:bCs w:val="0"/>
          <w:color w:val="auto"/>
          <w:sz w:val="32"/>
          <w:szCs w:val="32"/>
          <w:highlight w:val="none"/>
        </w:rPr>
        <w:t>项目</w:t>
      </w:r>
      <w:r>
        <w:rPr>
          <w:rFonts w:hint="eastAsia" w:ascii="仿宋_GB2312" w:hAnsi="黑体" w:eastAsia="仿宋_GB2312"/>
          <w:b w:val="0"/>
          <w:bCs w:val="0"/>
          <w:color w:val="auto"/>
          <w:sz w:val="32"/>
          <w:szCs w:val="32"/>
          <w:highlight w:val="none"/>
          <w:lang w:val="en-US" w:eastAsia="zh-CN"/>
        </w:rPr>
        <w:t>。</w:t>
      </w:r>
      <w:r>
        <w:rPr>
          <w:rFonts w:hint="eastAsia" w:ascii="仿宋_GB2312" w:hAnsi="黑体" w:eastAsia="仿宋_GB2312"/>
          <w:b w:val="0"/>
          <w:bCs w:val="0"/>
          <w:color w:val="auto"/>
          <w:sz w:val="32"/>
          <w:szCs w:val="32"/>
          <w:highlight w:val="none"/>
          <w:lang w:eastAsia="zh-CN"/>
        </w:rPr>
        <w:t>该项目最终评分</w:t>
      </w:r>
      <w:r>
        <w:rPr>
          <w:rFonts w:hint="eastAsia" w:ascii="仿宋_GB2312" w:hAnsi="黑体" w:eastAsia="仿宋_GB2312"/>
          <w:b w:val="0"/>
          <w:bCs w:val="0"/>
          <w:color w:val="auto"/>
          <w:sz w:val="32"/>
          <w:szCs w:val="32"/>
          <w:highlight w:val="none"/>
          <w:lang w:val="en-US" w:eastAsia="zh-CN"/>
        </w:rPr>
        <w:t>100</w:t>
      </w:r>
      <w:r>
        <w:rPr>
          <w:rFonts w:hint="eastAsia" w:ascii="仿宋_GB2312" w:hAnsi="黑体" w:eastAsia="仿宋_GB2312"/>
          <w:b w:val="0"/>
          <w:bCs w:val="0"/>
          <w:color w:val="auto"/>
          <w:sz w:val="32"/>
          <w:szCs w:val="32"/>
          <w:highlight w:val="none"/>
          <w:lang w:eastAsia="zh-CN"/>
        </w:rPr>
        <w:t>分，绩效评级为“</w:t>
      </w:r>
      <w:r>
        <w:rPr>
          <w:rFonts w:hint="eastAsia" w:ascii="仿宋_GB2312" w:hAnsi="黑体" w:eastAsia="仿宋_GB2312"/>
          <w:b w:val="0"/>
          <w:bCs w:val="0"/>
          <w:color w:val="auto"/>
          <w:sz w:val="32"/>
          <w:szCs w:val="32"/>
          <w:highlight w:val="none"/>
          <w:lang w:val="en-US" w:eastAsia="zh-CN"/>
        </w:rPr>
        <w:t>优</w:t>
      </w:r>
      <w:r>
        <w:rPr>
          <w:rFonts w:hint="eastAsia" w:ascii="仿宋_GB2312" w:hAnsi="黑体" w:eastAsia="仿宋_GB2312"/>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rPr>
      </w:pPr>
      <w:r>
        <w:rPr>
          <w:rFonts w:hint="eastAsia" w:ascii="仿宋_GB2312" w:hAnsi="黑体" w:eastAsia="仿宋_GB2312"/>
          <w:b/>
          <w:bCs/>
          <w:color w:val="auto"/>
          <w:sz w:val="32"/>
          <w:szCs w:val="32"/>
          <w:highlight w:val="none"/>
          <w:lang w:val="en-US" w:eastAsia="zh-CN"/>
        </w:rPr>
        <w:t>六、</w:t>
      </w:r>
      <w:r>
        <w:rPr>
          <w:rFonts w:hint="eastAsia" w:ascii="仿宋_GB2312" w:hAnsi="黑体" w:eastAsia="仿宋_GB2312"/>
          <w:b/>
          <w:bCs/>
          <w:color w:val="auto"/>
          <w:sz w:val="32"/>
          <w:szCs w:val="32"/>
          <w:highlight w:val="none"/>
        </w:rPr>
        <w:t>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lang w:val="en-US" w:eastAsia="zh-CN"/>
        </w:rPr>
      </w:pPr>
      <w:r>
        <w:rPr>
          <w:rFonts w:hint="eastAsia" w:ascii="仿宋_GB2312" w:hAnsi="黑体" w:eastAsia="仿宋_GB2312"/>
          <w:b/>
          <w:bCs/>
          <w:color w:val="auto"/>
          <w:sz w:val="32"/>
          <w:szCs w:val="32"/>
          <w:highlight w:val="none"/>
          <w:lang w:val="en-US" w:eastAsia="zh-CN"/>
        </w:rPr>
        <w:t>（一）对衔接推进乡村振兴补助资金项目、绩效公告公示情况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lang w:val="en-US" w:eastAsia="zh-CN"/>
        </w:rPr>
      </w:pPr>
      <w:r>
        <w:rPr>
          <w:rFonts w:hint="eastAsia" w:ascii="仿宋_GB2312" w:hAnsi="黑体" w:eastAsia="仿宋_GB2312"/>
          <w:b w:val="0"/>
          <w:bCs w:val="0"/>
          <w:color w:val="auto"/>
          <w:sz w:val="32"/>
          <w:szCs w:val="32"/>
          <w:highlight w:val="none"/>
          <w:lang w:val="en-US" w:eastAsia="zh-CN"/>
        </w:rPr>
        <w:t>按照《国务院办公厅关于印发2017年政务公开工作要点的通知》（国发办【2017】24号）、《新疆维吾尔自治区财政衔接推进乡村振兴补助资金管理办法》（新材规【2021】11号）文件要求：由叶城县财政局扶贫股核对本项目资金及建设内容、由叶城县财政局绩效评价中心于2022年1月19日对项目绩效目标在叶城县人民政府网（http://www.xjyc.gov.cn/ycx/c107308/zwgk.shtml）进行公开，项目实施前在相关乡镇进行了张榜公开，接受社会监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lang w:val="en-US" w:eastAsia="zh-CN"/>
        </w:rPr>
      </w:pPr>
      <w:r>
        <w:rPr>
          <w:rFonts w:hint="eastAsia" w:ascii="仿宋_GB2312" w:hAnsi="黑体" w:eastAsia="仿宋_GB2312"/>
          <w:b/>
          <w:bCs/>
          <w:color w:val="auto"/>
          <w:sz w:val="32"/>
          <w:szCs w:val="32"/>
          <w:highlight w:val="none"/>
          <w:lang w:val="en-US" w:eastAsia="zh-CN"/>
        </w:rPr>
        <w:t>（二）对绩效自评结果拟应用情况进行说明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lang w:val="en-US" w:eastAsia="zh-CN"/>
        </w:rPr>
      </w:pPr>
      <w:r>
        <w:rPr>
          <w:rFonts w:hint="eastAsia" w:ascii="仿宋_GB2312" w:hAnsi="黑体" w:eastAsia="仿宋_GB2312"/>
          <w:b w:val="0"/>
          <w:bCs w:val="0"/>
          <w:color w:val="auto"/>
          <w:sz w:val="32"/>
          <w:szCs w:val="32"/>
          <w:highlight w:val="none"/>
          <w:lang w:val="en-US" w:eastAsia="zh-CN"/>
        </w:rPr>
        <w:t xml:space="preserve">绩效自评的结果应用，既是开展绩效评价工作的基本前提，又是加强财政支出管理、增强资金绩效理念、合理配置公共资源、优化财政支出结构、强化资金管理水平、提高资金使用效益的重要手段。为使绩效评价结果得到合理应用，将此次绩效评价结果作为以后年度建设资金分配的重要依据。绩效评价是对效果的评价，评价结果直接反应项目实施的效益。评价结果优秀并绩效突出的：对于实施过程评价的项目，财政部门要在安排该项目后续资金时给予优先保障；对于完成结果评价的项目，财政部门要在安排该部门其他项目资金时给予综合考虑。评价结果为不合格的：对于实施过程评价的项目，财政部门要及时提出整改意见，整改期间暂停已安排资金的拨款或支付，未按要求落实整改的，要会同有关部门向同级人民政府提出暂停该项目实施的建议，由同级人民政府确定该项目是否继续实施；对于完成结果评价的项目，在安排该部门新增项目资金时，应从紧考虑，并加强项目前期论证和综合分析，以确保项目资金使用的安全有效。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lang w:val="en-US" w:eastAsia="zh-CN"/>
        </w:rPr>
      </w:pPr>
      <w:r>
        <w:rPr>
          <w:rFonts w:hint="eastAsia" w:ascii="仿宋_GB2312" w:hAnsi="黑体" w:eastAsia="仿宋_GB2312"/>
          <w:b w:val="0"/>
          <w:bCs w:val="0"/>
          <w:color w:val="auto"/>
          <w:sz w:val="32"/>
          <w:szCs w:val="32"/>
          <w:highlight w:val="none"/>
          <w:lang w:val="en-US" w:eastAsia="zh-CN"/>
        </w:rPr>
        <w:t>该项目结果应用：一是将自评结果报送县财政局及地区财政局，根据绩效自评结果作为下一年度资金安排参考。二是今后我单位会注重结果导向、强调成本效益、硬化责任约束，不断加强绩效管理队伍建设，提升业务素质，提高预算管理水平和政策实施效果，实现预算和绩效管理一体化，着力提高财政资源配置效率和使用效益，全面提升我单位公共服务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lang w:val="en-US" w:eastAsia="zh-CN"/>
        </w:rPr>
      </w:pPr>
      <w:r>
        <w:rPr>
          <w:rFonts w:hint="eastAsia" w:ascii="仿宋_GB2312" w:hAnsi="黑体" w:eastAsia="仿宋_GB2312"/>
          <w:b w:val="0"/>
          <w:bCs w:val="0"/>
          <w:color w:val="auto"/>
          <w:sz w:val="32"/>
          <w:szCs w:val="32"/>
          <w:highlight w:val="none"/>
          <w:lang w:val="en-US" w:eastAsia="zh-CN"/>
        </w:rPr>
        <w:t>本项目在本年度实施过程中，严格按照衔接补助资金管理办法，部门实行监督管理制度和项目负责人终生追责制等管理方法，夯实各级部门职责，对被评价项目的绩效情况、完成程度和存在的问题与建议加以综合分析，建立评价结果在部门预算安排中的激励与约束机制，逐步发挥绩效评价工作的应有作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黑体" w:eastAsia="仿宋_GB2312"/>
          <w:b/>
          <w:bCs/>
          <w:color w:val="auto"/>
          <w:sz w:val="32"/>
          <w:szCs w:val="32"/>
          <w:highlight w:val="none"/>
          <w:lang w:val="en-US" w:eastAsia="zh-CN"/>
        </w:rPr>
      </w:pPr>
      <w:r>
        <w:rPr>
          <w:rFonts w:hint="eastAsia" w:ascii="仿宋_GB2312" w:hAnsi="黑体" w:eastAsia="仿宋_GB2312"/>
          <w:b/>
          <w:bCs/>
          <w:color w:val="auto"/>
          <w:sz w:val="32"/>
          <w:szCs w:val="32"/>
          <w:highlight w:val="none"/>
          <w:lang w:val="en-US" w:eastAsia="zh-CN"/>
        </w:rPr>
        <w:t>（三）对二级指标权重(分值)分配情况进行说明，赋权的方法或者原则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lang w:val="en-US" w:eastAsia="zh-CN"/>
        </w:rPr>
      </w:pPr>
      <w:r>
        <w:rPr>
          <w:rFonts w:hint="eastAsia" w:ascii="仿宋_GB2312" w:hAnsi="黑体" w:eastAsia="仿宋_GB2312"/>
          <w:b w:val="0"/>
          <w:bCs w:val="0"/>
          <w:color w:val="auto"/>
          <w:sz w:val="32"/>
          <w:szCs w:val="32"/>
          <w:highlight w:val="none"/>
          <w:lang w:val="en-US" w:eastAsia="zh-CN"/>
        </w:rPr>
        <w:t>绩效评价指标体系中各指标的权重和分值由本项目绩效评价小组根据绩效评价原理和评价需求，在调研基础上，考虑本项目绩效评价的侧重点和关键环节，依据指标的重要性产生，并经充分讨论后，报绩效评价小组进行审查，根据审查意见，对相关指标权重和分值调整后确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黑体" w:eastAsia="仿宋_GB2312"/>
          <w:b w:val="0"/>
          <w:bCs w:val="0"/>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FiMzEyZTU4NDY2YTVlZTc5NDE2YWRlZWI0YjIxMzMifQ=="/>
  </w:docVars>
  <w:rsids>
    <w:rsidRoot w:val="00F20A26"/>
    <w:rsid w:val="003E0379"/>
    <w:rsid w:val="0055176E"/>
    <w:rsid w:val="00F20A26"/>
    <w:rsid w:val="059A592B"/>
    <w:rsid w:val="0A4540C4"/>
    <w:rsid w:val="121A67F7"/>
    <w:rsid w:val="14653122"/>
    <w:rsid w:val="187A025D"/>
    <w:rsid w:val="1937751C"/>
    <w:rsid w:val="1ABF7AF2"/>
    <w:rsid w:val="1F7F8360"/>
    <w:rsid w:val="25A2567A"/>
    <w:rsid w:val="29EC0C5C"/>
    <w:rsid w:val="2D5F13D7"/>
    <w:rsid w:val="2E51749D"/>
    <w:rsid w:val="31AE0AA6"/>
    <w:rsid w:val="36676830"/>
    <w:rsid w:val="383B79EB"/>
    <w:rsid w:val="3A667D78"/>
    <w:rsid w:val="41871287"/>
    <w:rsid w:val="43BA045C"/>
    <w:rsid w:val="4EA77358"/>
    <w:rsid w:val="54575230"/>
    <w:rsid w:val="5C0C6855"/>
    <w:rsid w:val="651A36AB"/>
    <w:rsid w:val="7E984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qFormat/>
    <w:uiPriority w:val="9"/>
    <w:pPr>
      <w:keepNext/>
      <w:keepLines/>
      <w:spacing w:before="260" w:after="260" w:line="416" w:lineRule="auto"/>
      <w:jc w:val="left"/>
      <w:outlineLvl w:val="2"/>
    </w:pPr>
    <w:rPr>
      <w:rFonts w:cs="Times New Roman"/>
      <w:bCs/>
      <w:kern w:val="0"/>
      <w:szCs w:val="32"/>
    </w:rPr>
  </w:style>
  <w:style w:type="character" w:default="1" w:styleId="13">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99"/>
    <w:pPr>
      <w:spacing w:after="120"/>
      <w:ind w:left="420" w:leftChars="200"/>
    </w:pPr>
    <w:rPr>
      <w:rFonts w:cs="Times New Roman"/>
      <w:kern w:val="0"/>
      <w:szCs w:val="20"/>
    </w:rPr>
  </w:style>
  <w:style w:type="paragraph" w:styleId="7">
    <w:name w:val="Body Text"/>
    <w:basedOn w:val="1"/>
    <w:qFormat/>
    <w:uiPriority w:val="0"/>
    <w:pPr>
      <w:spacing w:before="240" w:after="240" w:line="360" w:lineRule="auto"/>
      <w:jc w:val="center"/>
    </w:pPr>
    <w:rPr>
      <w:b/>
      <w:sz w:val="44"/>
    </w:rPr>
  </w:style>
  <w:style w:type="paragraph" w:styleId="8">
    <w:name w:val="Plain Text"/>
    <w:basedOn w:val="1"/>
    <w:unhideWhenUsed/>
    <w:qFormat/>
    <w:uiPriority w:val="99"/>
    <w:rPr>
      <w:rFonts w:ascii="宋体" w:hAnsi="Courier New"/>
    </w:rPr>
  </w:style>
  <w:style w:type="paragraph" w:styleId="9">
    <w:name w:val="Body Text Indent 2"/>
    <w:basedOn w:val="1"/>
    <w:qFormat/>
    <w:uiPriority w:val="0"/>
    <w:pPr>
      <w:ind w:firstLine="280"/>
    </w:pPr>
    <w:rPr>
      <w:rFonts w:ascii="仿宋_GB2312" w:hAnsi="仿宋_GB2312" w:eastAsia="仿宋_GB2312"/>
      <w:kern w:val="1"/>
      <w:sz w:val="28"/>
    </w:rPr>
  </w:style>
  <w:style w:type="paragraph" w:styleId="10">
    <w:name w:val="footer"/>
    <w:basedOn w:val="1"/>
    <w:unhideWhenUsed/>
    <w:qFormat/>
    <w:uiPriority w:val="99"/>
    <w:pPr>
      <w:tabs>
        <w:tab w:val="center" w:pos="4153"/>
        <w:tab w:val="right" w:pos="8306"/>
      </w:tabs>
      <w:snapToGrid w:val="0"/>
      <w:jc w:val="left"/>
    </w:pPr>
    <w:rPr>
      <w:rFonts w:cs="Times New Roman"/>
      <w:kern w:val="0"/>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character" w:styleId="14">
    <w:name w:val="Strong"/>
    <w:basedOn w:val="13"/>
    <w:qFormat/>
    <w:uiPriority w:val="0"/>
    <w:rPr>
      <w:b/>
      <w:bCs/>
    </w:rPr>
  </w:style>
  <w:style w:type="paragraph" w:customStyle="1" w:styleId="15">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6">
    <w:name w:val="闻政-正文二级标题"/>
    <w:basedOn w:val="5"/>
    <w:next w:val="15"/>
    <w:qFormat/>
    <w:uiPriority w:val="3"/>
    <w:pPr>
      <w:spacing w:before="120" w:after="60" w:line="500" w:lineRule="exact"/>
      <w:ind w:left="200" w:leftChars="200" w:firstLine="0" w:firstLineChars="0"/>
    </w:pPr>
    <w:rPr>
      <w:rFonts w:ascii="Times New Roman" w:hAnsi="Times New Roman"/>
      <w:sz w:val="28"/>
    </w:rPr>
  </w:style>
  <w:style w:type="paragraph" w:customStyle="1" w:styleId="17">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5306</Words>
  <Characters>5603</Characters>
  <Lines>2</Lines>
  <Paragraphs>1</Paragraphs>
  <TotalTime>0</TotalTime>
  <ScaleCrop>false</ScaleCrop>
  <LinksUpToDate>false</LinksUpToDate>
  <CharactersWithSpaces>5657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2019-10-08T13:02:00Z</dcterms:created>
  <dc:creator>姜波</dc:creator>
  <cp:lastModifiedBy>Administrator</cp:lastModifiedBy>
  <dcterms:modified xsi:type="dcterms:W3CDTF">2025-02-13T08:05:14Z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8AE0BB4FAC404E67BADE074C65E53CEC</vt:lpwstr>
  </property>
</Properties>
</file>