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jc w:val="center"/>
        <w:textAlignment w:val="auto"/>
        <w:outlineLvl w:val="0"/>
        <w:rPr>
          <w:rFonts w:hint="eastAsia" w:ascii="黑体" w:hAnsi="黑体" w:eastAsia="黑体"/>
          <w:b/>
          <w:bCs/>
          <w:color w:val="auto"/>
          <w:sz w:val="36"/>
          <w:szCs w:val="36"/>
          <w:highlight w:val="none"/>
          <w:lang w:eastAsia="zh-CN"/>
        </w:rPr>
      </w:pPr>
      <w:r>
        <w:rPr>
          <w:rFonts w:hint="eastAsia" w:ascii="黑体" w:hAnsi="黑体" w:eastAsia="黑体"/>
          <w:b/>
          <w:bCs/>
          <w:color w:val="auto"/>
          <w:sz w:val="36"/>
          <w:szCs w:val="36"/>
          <w:highlight w:val="none"/>
          <w:lang w:eastAsia="zh-CN"/>
        </w:rPr>
        <w:t>叶城县小麦、玉米繁种基地建设项目支出自评总结报告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6"/>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spacing w:line="560" w:lineRule="exact"/>
        <w:textAlignment w:val="auto"/>
        <w:rPr>
          <w:rFonts w:hint="eastAsia" w:eastAsiaTheme="minorEastAsia"/>
          <w:color w:val="auto"/>
          <w:highlight w:val="none"/>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auto"/>
          <w:kern w:val="2"/>
          <w:sz w:val="32"/>
          <w:szCs w:val="32"/>
          <w:highlight w:val="none"/>
          <w:lang w:val="en-US" w:eastAsia="zh-CN" w:bidi="ar-SA"/>
        </w:rPr>
      </w:pP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项目名称：叶城县小麦、玉米繁种基地建设项目</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项目单位：叶城县农业农村局</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主管部门：叶城县农业农村局（本级）</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项目负责人：庞宏彬</w:t>
      </w:r>
    </w:p>
    <w:p>
      <w:pPr>
        <w:pageBreakBefore w:val="0"/>
        <w:kinsoku/>
        <w:wordWrap/>
        <w:topLinePunct w:val="0"/>
        <w:autoSpaceDE/>
        <w:autoSpaceDN/>
        <w:bidi w:val="0"/>
        <w:spacing w:line="560" w:lineRule="exact"/>
        <w:ind w:firstLine="1411" w:firstLineChars="441"/>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填报时间： 2023年 1 月 11 日</w:t>
      </w:r>
    </w:p>
    <w:p>
      <w:pPr>
        <w:spacing w:line="480" w:lineRule="auto"/>
        <w:ind w:firstLine="1280" w:firstLineChars="400"/>
        <w:jc w:val="left"/>
        <w:rPr>
          <w:rFonts w:hint="eastAsia" w:ascii="仿宋_GB2312" w:hAnsi="黑体" w:eastAsia="仿宋_GB2312" w:cstheme="minorBidi"/>
          <w:color w:val="auto"/>
          <w:kern w:val="2"/>
          <w:sz w:val="32"/>
          <w:szCs w:val="32"/>
          <w:highlight w:val="none"/>
          <w:lang w:val="en-US" w:eastAsia="zh-CN" w:bidi="ar-SA"/>
        </w:rPr>
      </w:pPr>
    </w:p>
    <w:p>
      <w:pPr>
        <w:pStyle w:val="2"/>
        <w:rPr>
          <w:rFonts w:hint="eastAsia" w:ascii="仿宋_GB2312" w:hAnsi="黑体" w:eastAsia="仿宋_GB2312" w:cstheme="minorBidi"/>
          <w:color w:val="auto"/>
          <w:kern w:val="2"/>
          <w:sz w:val="32"/>
          <w:szCs w:val="32"/>
          <w:highlight w:val="none"/>
          <w:lang w:val="en-US" w:eastAsia="zh-CN" w:bidi="ar-SA"/>
        </w:rPr>
      </w:pPr>
    </w:p>
    <w:p>
      <w:pPr>
        <w:pStyle w:val="2"/>
        <w:rPr>
          <w:rFonts w:hint="eastAsia" w:ascii="仿宋_GB2312" w:hAnsi="黑体" w:eastAsia="仿宋_GB2312" w:cstheme="minorBidi"/>
          <w:color w:val="auto"/>
          <w:kern w:val="2"/>
          <w:sz w:val="32"/>
          <w:szCs w:val="32"/>
          <w:highlight w:val="none"/>
          <w:lang w:val="en-US" w:eastAsia="zh-CN" w:bidi="ar-SA"/>
        </w:rPr>
      </w:pPr>
    </w:p>
    <w:p>
      <w:pPr>
        <w:pStyle w:val="2"/>
        <w:rPr>
          <w:rFonts w:hint="eastAsia" w:ascii="仿宋_GB2312" w:hAnsi="黑体" w:eastAsia="仿宋_GB2312" w:cstheme="minorBidi"/>
          <w:color w:val="auto"/>
          <w:kern w:val="2"/>
          <w:sz w:val="32"/>
          <w:szCs w:val="32"/>
          <w:highlight w:val="none"/>
          <w:lang w:val="en-US" w:eastAsia="zh-CN" w:bidi="ar-SA"/>
        </w:rPr>
      </w:pPr>
    </w:p>
    <w:p>
      <w:pPr>
        <w:pStyle w:val="2"/>
        <w:rPr>
          <w:rFonts w:hint="eastAsia" w:ascii="仿宋_GB2312" w:hAnsi="黑体" w:eastAsia="仿宋_GB2312" w:cstheme="minorBidi"/>
          <w:color w:val="auto"/>
          <w:kern w:val="2"/>
          <w:sz w:val="32"/>
          <w:szCs w:val="32"/>
          <w:highlight w:val="none"/>
          <w:lang w:val="en-US" w:eastAsia="zh-CN" w:bidi="ar-SA"/>
        </w:rPr>
      </w:pPr>
    </w:p>
    <w:p>
      <w:pPr>
        <w:pageBreakBefore w:val="0"/>
        <w:widowControl w:val="0"/>
        <w:kinsoku/>
        <w:overflowPunct/>
        <w:topLinePunct w:val="0"/>
        <w:autoSpaceDN/>
        <w:bidi w:val="0"/>
        <w:spacing w:line="560" w:lineRule="exact"/>
        <w:ind w:firstLine="643" w:firstLineChars="200"/>
        <w:jc w:val="center"/>
        <w:textAlignment w:val="auto"/>
        <w:rPr>
          <w:rFonts w:ascii="黑体" w:hAnsi="黑体" w:eastAsia="黑体"/>
          <w:b/>
          <w:bCs/>
          <w:color w:val="auto"/>
          <w:sz w:val="32"/>
          <w:szCs w:val="32"/>
          <w:highlight w:val="none"/>
        </w:rPr>
      </w:pPr>
      <w:r>
        <w:rPr>
          <w:rFonts w:hint="eastAsia" w:ascii="黑体" w:hAnsi="黑体" w:eastAsia="黑体"/>
          <w:b/>
          <w:bCs/>
          <w:color w:val="auto"/>
          <w:sz w:val="32"/>
          <w:szCs w:val="32"/>
          <w:highlight w:val="none"/>
          <w:lang w:val="en-US" w:eastAsia="zh-CN"/>
        </w:rPr>
        <w:t>叶城县农业农村局2022</w:t>
      </w:r>
      <w:r>
        <w:rPr>
          <w:rFonts w:hint="eastAsia" w:ascii="黑体" w:hAnsi="黑体" w:eastAsia="黑体"/>
          <w:b/>
          <w:bCs/>
          <w:color w:val="auto"/>
          <w:sz w:val="32"/>
          <w:szCs w:val="32"/>
          <w:highlight w:val="none"/>
        </w:rPr>
        <w:t>年</w:t>
      </w:r>
      <w:r>
        <w:rPr>
          <w:rFonts w:hint="eastAsia" w:ascii="黑体" w:hAnsi="黑体" w:eastAsia="黑体"/>
          <w:b/>
          <w:bCs/>
          <w:color w:val="auto"/>
          <w:sz w:val="32"/>
          <w:szCs w:val="32"/>
          <w:highlight w:val="none"/>
          <w:lang w:eastAsia="zh-CN"/>
        </w:rPr>
        <w:t>财政衔接推进乡村振兴补助资金</w:t>
      </w:r>
      <w:r>
        <w:rPr>
          <w:rFonts w:hint="eastAsia" w:ascii="黑体" w:hAnsi="黑体" w:eastAsia="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下达预算及项目情况。</w:t>
      </w:r>
    </w:p>
    <w:p>
      <w:pPr>
        <w:pStyle w:val="19"/>
        <w:pageBreakBefore w:val="0"/>
        <w:kinsoku/>
        <w:wordWrap/>
        <w:topLinePunct w:val="0"/>
        <w:autoSpaceDE/>
        <w:autoSpaceDN/>
        <w:bidi w:val="0"/>
        <w:spacing w:line="560" w:lineRule="exact"/>
        <w:ind w:firstLine="64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小麦、玉米繁种基地建设项目，项目总投资为3265.53万元，通过该项目的实施，建成后提高种子的产业化，推动农业经济的 快速发展，解决富余劳动力就业，增加当地财政收入。良种的繁育推广是提高农业生产力、农业市场竞争力和增加农民收入的重要途径。</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项目绩效目标设定情况。</w:t>
      </w:r>
    </w:p>
    <w:p>
      <w:pPr>
        <w:pStyle w:val="21"/>
        <w:spacing w:line="500" w:lineRule="exact"/>
        <w:ind w:firstLine="56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建设主要服务于当地农业生产的发展。在阿克塔什镇建设小麦、玉米繁种基地一个，占地约110亩。土建工程：彩钢加工车间1栋约2500㎡；配套品种展示厅（检验室、发芽室）及地面硬化（晾晒场）；成品库2栋约3000㎡；种子恒温库（烤种室）约 600 ㎡；货棚3个约5400 ㎡；水、电、消防设施等；附属设施（沉降室，配电室等）。2、设备：小麦、玉米主生产加工线一条；玉米脱粒设备1套；玉米剥皮机1台；移动式小麦生产加工线6套；钢板仓6座（每座仓储 1000 吨）；地磅1台；玉米抽雄设备1台；玉米专业打药机1台及相关设备。项目的实施有效提高种子的产业化，提高农业生产力、农业市场竞争力和增加农民收入。</w:t>
      </w:r>
    </w:p>
    <w:p>
      <w:pPr>
        <w:spacing w:line="500" w:lineRule="exact"/>
        <w:ind w:firstLine="643" w:firstLineChars="200"/>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spacing w:line="500" w:lineRule="exact"/>
        <w:ind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总投资3265.53万元，在阿克塔什镇建设小麦、玉米繁种基地一个，占地约110亩。1、土建工程：彩钢加工车间1栋约2500㎡；配套品种展示厅（检验室、发芽室）及地面硬化（晾晒场）；成品库2栋约3000㎡；种子恒温库（烤种室）约 600 ㎡；货棚3个约5400 ㎡；水、电、消防设施及附属设施（沉降室，配电室等）。2、设备：小麦、玉米主生产加工线一条；玉米脱粒设备1套；玉米剥皮机1台；移动式小麦生产加工线6套；钢板仓6座（每座仓储 1000 吨）；地磅1台；玉米抽雄设备1台；玉米专业打药机1台及相关设备。实现低收入群体富裕劳动力转移就业增收。本项目通过繁种基地的建设，发展巩固良种繁育产业，项目实施后，预计可带动增加受益脱贫人口全年总收入156万元。厂内解决就业岗位10人，解决制种基地长期就业25人，季节性就业300人。</w:t>
      </w:r>
    </w:p>
    <w:p>
      <w:pPr>
        <w:spacing w:line="500" w:lineRule="exact"/>
        <w:ind w:firstLine="643" w:firstLineChars="200"/>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spacing w:line="500" w:lineRule="exact"/>
        <w:ind w:firstLine="640" w:firstLineChars="200"/>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为新建项目。项目实施主要依据为《叶城县2022年第一批巩固拓展脱贫攻坚成果同乡村振兴项目实施方案》叶党农领字〔2022〕1号、《关于喀什地区叶城县小麦、玉米繁种基地建设项目实施方案的批复》叶发改〔2022〕212号。2022年1月-2月开始对拟建地块进行核实对接、项目调研论证、编制可研报告、项目审批，2021年3月进行项目图纸设计等前期工作，2022年4月-5月进行项目采购招标挂网和基建招标挂网，2022年6月-7月确定施工、监理等，按施工计划施工，2022年12月完成项目验收，项目的实施有效提高种子的产业化，提高农业生产力、农业市场竞争力和增加农民收入。</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二、绩效自评工作开展情况</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绩效评价范围</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3.绩效评价时间</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2023年1月3日-2023年1月30日</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绩效评价方法</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本次绩效评价方法的选用坚持简便有效的原则采用综合分析法。</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5. 绩效评价标准</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0" w:name="_Toc31464"/>
      <w:bookmarkStart w:id="1" w:name="_Toc17882"/>
      <w:r>
        <w:rPr>
          <w:rFonts w:hint="eastAsia" w:ascii="仿宋_GB2312" w:hAnsi="黑体" w:eastAsia="仿宋_GB2312" w:cstheme="minorBidi"/>
          <w:color w:val="auto"/>
          <w:kern w:val="2"/>
          <w:sz w:val="32"/>
          <w:szCs w:val="32"/>
          <w:highlight w:val="none"/>
          <w:lang w:val="en-US" w:eastAsia="zh-CN" w:bidi="ar-SA"/>
        </w:rPr>
        <w:t>计划标准：指以预先制定的目标、计划、预算、定额等作为评价标准。</w:t>
      </w:r>
      <w:bookmarkEnd w:id="0"/>
      <w:bookmarkEnd w:id="1"/>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2" w:name="_Toc5633"/>
      <w:bookmarkStart w:id="3" w:name="_Toc2318"/>
      <w:r>
        <w:rPr>
          <w:rFonts w:hint="eastAsia" w:ascii="仿宋_GB2312" w:hAnsi="黑体" w:eastAsia="仿宋_GB2312" w:cstheme="minorBidi"/>
          <w:color w:val="auto"/>
          <w:kern w:val="2"/>
          <w:sz w:val="32"/>
          <w:szCs w:val="32"/>
          <w:highlight w:val="none"/>
          <w:lang w:val="en-US" w:eastAsia="zh-CN" w:bidi="ar-SA"/>
        </w:rPr>
        <w:t>行业标准：指参照国家公布的行业指标数据制定的评价标准。</w:t>
      </w:r>
      <w:bookmarkEnd w:id="2"/>
      <w:bookmarkEnd w:id="3"/>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4" w:name="_Toc16028"/>
      <w:bookmarkStart w:id="5" w:name="_Toc430"/>
      <w:r>
        <w:rPr>
          <w:rFonts w:hint="eastAsia" w:ascii="仿宋_GB2312" w:hAnsi="黑体" w:eastAsia="仿宋_GB2312" w:cstheme="minorBidi"/>
          <w:color w:val="auto"/>
          <w:kern w:val="2"/>
          <w:sz w:val="32"/>
          <w:szCs w:val="32"/>
          <w:highlight w:val="none"/>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1.项目资金到位情况分析。</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喀地财扶【2021】9号、喀地财建【2021】36号、喀地财债【2022】17号、喀地财建【2021】136号、新财资环[2021]140号、喀地财建【2021】133号、喀地财建[2022]58号、喀地财建[2022]31号、喀地财振[2022]3号共安排下达资金3265.53万元，其中债券资金1000万元，衔接资金2265.53万元，最终确定项目资金总数为3265.53万元。</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9"/>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Style w:val="16"/>
          <w:rFonts w:hint="default" w:ascii="仿宋_GB2312" w:hAnsi="仿宋_GB2312" w:eastAsia="仿宋_GB2312" w:cs="仿宋_GB2312"/>
          <w:b w:val="0"/>
          <w:color w:val="auto"/>
          <w:kern w:val="2"/>
          <w:sz w:val="32"/>
          <w:szCs w:val="32"/>
          <w:highlight w:val="none"/>
          <w:lang w:val="en-US" w:eastAsia="zh-CN" w:bidi="ar"/>
        </w:rPr>
      </w:pPr>
      <w:r>
        <w:rPr>
          <w:rStyle w:val="16"/>
          <w:rFonts w:hint="eastAsia" w:ascii="仿宋_GB2312" w:hAnsi="仿宋_GB2312" w:eastAsia="仿宋_GB2312" w:cs="仿宋_GB2312"/>
          <w:b w:val="0"/>
          <w:color w:val="auto"/>
          <w:kern w:val="2"/>
          <w:sz w:val="32"/>
          <w:szCs w:val="32"/>
          <w:highlight w:val="none"/>
          <w:lang w:val="en-US" w:eastAsia="zh-CN" w:bidi="ar"/>
        </w:rPr>
        <w:t>截至2022年12月31日，实际支出3258.09万元，预算执行率</w:t>
      </w:r>
      <w:r>
        <w:rPr>
          <w:rStyle w:val="16"/>
          <w:rFonts w:hint="eastAsia" w:ascii="仿宋_GB2312" w:hAnsi="仿宋_GB2312" w:cs="仿宋_GB2312"/>
          <w:b w:val="0"/>
          <w:color w:val="auto"/>
          <w:kern w:val="2"/>
          <w:sz w:val="32"/>
          <w:szCs w:val="32"/>
          <w:highlight w:val="none"/>
          <w:lang w:val="en-US" w:eastAsia="zh-CN" w:bidi="ar"/>
        </w:rPr>
        <w:t>99.77</w:t>
      </w:r>
      <w:r>
        <w:rPr>
          <w:rStyle w:val="16"/>
          <w:rFonts w:hint="eastAsia" w:ascii="仿宋_GB2312" w:hAnsi="仿宋_GB2312" w:eastAsia="仿宋_GB2312" w:cs="仿宋_GB2312"/>
          <w:b w:val="0"/>
          <w:color w:val="auto"/>
          <w:kern w:val="2"/>
          <w:sz w:val="32"/>
          <w:szCs w:val="32"/>
          <w:highlight w:val="none"/>
          <w:lang w:val="en-US" w:eastAsia="zh-CN" w:bidi="ar"/>
        </w:rPr>
        <w:t>%。剩余资金已退回国库，结转至下一年。</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9"/>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本项目支出符合《喀什地区财政巩固拓展脱贫攻坚成果同乡村振兴有效衔接资金管理办法（试行）》</w:t>
      </w:r>
      <w:bookmarkStart w:id="6" w:name="_GoBack"/>
      <w:bookmarkEnd w:id="6"/>
      <w:r>
        <w:rPr>
          <w:rFonts w:hint="eastAsia" w:ascii="仿宋_GB2312" w:hAnsi="黑体" w:eastAsia="仿宋_GB2312" w:cstheme="minorBidi"/>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color w:val="auto"/>
          <w:highlight w:val="none"/>
        </w:rPr>
      </w:pPr>
      <w:r>
        <w:rPr>
          <w:rFonts w:hint="eastAsia" w:ascii="仿宋_GB2312" w:hAnsi="黑体" w:eastAsia="仿宋_GB2312"/>
          <w:b/>
          <w:bCs/>
          <w:color w:val="auto"/>
          <w:sz w:val="32"/>
          <w:szCs w:val="32"/>
          <w:highlight w:val="none"/>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（1）对于“产出数量”</w:t>
      </w:r>
    </w:p>
    <w:p>
      <w:pPr>
        <w:keepNext w:val="0"/>
        <w:keepLines w:val="0"/>
        <w:widowControl/>
        <w:suppressLineNumbers w:val="0"/>
        <w:wordWrap w:val="0"/>
        <w:spacing w:before="0" w:beforeAutospacing="0" w:after="0" w:afterAutospacing="0" w:line="18" w:lineRule="atLeast"/>
        <w:ind w:left="0" w:right="0" w:firstLine="640" w:firstLineChars="200"/>
        <w:jc w:val="left"/>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新建小麦、玉米繁种基地建筑面积11500平方米</w:t>
      </w:r>
      <w:r>
        <w:rPr>
          <w:rFonts w:hint="eastAsia" w:ascii="仿宋_GB2312" w:hAnsi="宋体" w:eastAsia="仿宋_GB2312" w:cs="Times New Roman"/>
          <w:color w:val="auto"/>
          <w:kern w:val="2"/>
          <w:sz w:val="32"/>
          <w:szCs w:val="32"/>
          <w:highlight w:val="none"/>
          <w:lang w:val="en-US" w:eastAsia="zh-CN" w:bidi="ar"/>
        </w:rPr>
        <w:t>，</w:t>
      </w:r>
      <w:r>
        <w:rPr>
          <w:rFonts w:hint="eastAsia" w:ascii="仿宋_GB2312" w:hAnsi="黑体" w:eastAsia="仿宋_GB2312" w:cstheme="minorBidi"/>
          <w:color w:val="auto"/>
          <w:kern w:val="2"/>
          <w:sz w:val="32"/>
          <w:szCs w:val="32"/>
          <w:highlight w:val="none"/>
          <w:lang w:val="en-US" w:eastAsia="zh-CN" w:bidi="ar-SA"/>
        </w:rPr>
        <w:t>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小麦、玉米种植基地购置设备数量18套，与预期目标一致，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根据评分标准，该指标不扣分，得3分。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其他资金数量10笔，与预期目标一致，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2.5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根据评分标准，该指标不扣分，得4分。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合计得12.5分。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项目验收合格率100%，与预期目标一致，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设备采购验收合格率100%，与预期目标一致，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项目开工时间2022年6月，与预期目标一致，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项目完工时间2022年12月，与预期目标一致，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项目完工及时率100%，与预期目标一致，</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工程建筑成本1781.46万元，实际工程建筑成本1781.46万元，偏差原因：因项目招标有控价，再招标资金有结余，改进措施：加强资金概算，优化绩效指标，</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根据评分标准，该指标扣0.02分，得4.98分。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设备购置成本1355.65万元，项目经费都能控制绩效目标范围内，</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其他费用成本120.98万元，项目经费都能控制绩效目标范围内，</w:t>
      </w:r>
      <w:r>
        <w:rPr>
          <w:rFonts w:ascii="仿宋_GB2312" w:hAnsi="宋体" w:eastAsia="仿宋_GB2312" w:cs="仿宋_GB2312"/>
          <w:color w:val="auto"/>
          <w:kern w:val="2"/>
          <w:sz w:val="32"/>
          <w:szCs w:val="32"/>
          <w:highlight w:val="none"/>
          <w:lang w:val="en-US" w:eastAsia="zh-CN" w:bidi="ar"/>
        </w:rPr>
        <w:t>指标标杆分值为</w:t>
      </w:r>
      <w:r>
        <w:rPr>
          <w:rFonts w:hint="eastAsia" w:ascii="仿宋_GB2312" w:hAnsi="宋体" w:eastAsia="仿宋_GB2312" w:cs="仿宋_GB2312"/>
          <w:color w:val="auto"/>
          <w:kern w:val="2"/>
          <w:sz w:val="32"/>
          <w:szCs w:val="32"/>
          <w:highlight w:val="none"/>
          <w:lang w:val="en-US" w:eastAsia="zh-CN" w:bidi="ar"/>
        </w:rPr>
        <w:t>2.5</w:t>
      </w:r>
      <w:r>
        <w:rPr>
          <w:rFonts w:hint="eastAsia" w:ascii="仿宋_GB2312" w:hAnsi="宋体" w:eastAsia="仿宋_GB2312" w:cs="Times New Roman"/>
          <w:color w:val="auto"/>
          <w:kern w:val="2"/>
          <w:sz w:val="32"/>
          <w:szCs w:val="32"/>
          <w:highlight w:val="none"/>
          <w:lang w:val="en-US" w:eastAsia="zh-CN" w:bidi="ar"/>
        </w:rPr>
        <w:t>分,</w:t>
      </w:r>
      <w:r>
        <w:rPr>
          <w:rFonts w:hint="eastAsia" w:ascii="仿宋_GB2312" w:hAnsi="黑体" w:eastAsia="仿宋_GB2312" w:cstheme="minorBidi"/>
          <w:color w:val="auto"/>
          <w:kern w:val="2"/>
          <w:sz w:val="32"/>
          <w:szCs w:val="32"/>
          <w:highlight w:val="none"/>
          <w:lang w:val="en-US" w:eastAsia="zh-CN" w:bidi="ar-SA"/>
        </w:rPr>
        <w:t>根据评分标准，该指标不扣分，得2.5分。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合计得12.48分。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带动基地长期就业人口数25人，与预期指标一致，指标标杆分值为5分，根据评分标准，该指标不扣分，得5分。   厂内解决就业岗位10人，与预期指标一致，指标标杆分值为5分，根据评分标准，该指标不扣分，得5分。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季节性就业人数300人，与预期指标一致，指标标杆分值为5分，根据评分标准，该指标不扣分，得5分。</w:t>
      </w:r>
    </w:p>
    <w:p>
      <w:pPr>
        <w:pStyle w:val="2"/>
        <w:keepNext w:val="0"/>
        <w:keepLines w:val="0"/>
        <w:pageBreakBefore w:val="0"/>
        <w:widowControl w:val="0"/>
        <w:kinsoku/>
        <w:overflowPunct/>
        <w:topLinePunct w:val="0"/>
        <w:autoSpaceDN/>
        <w:bidi w:val="0"/>
        <w:adjustRightInd/>
        <w:snapToGrid/>
        <w:spacing w:line="560" w:lineRule="exact"/>
        <w:textAlignment w:val="auto"/>
        <w:rPr>
          <w:rFonts w:hint="default"/>
          <w:color w:val="auto"/>
          <w:highlight w:val="none"/>
          <w:lang w:val="en-US" w:eastAsia="zh-CN"/>
        </w:rPr>
      </w:pPr>
      <w:r>
        <w:rPr>
          <w:rFonts w:hint="eastAsia" w:ascii="仿宋_GB2312" w:hAnsi="黑体" w:eastAsia="仿宋_GB2312" w:cstheme="minorBidi"/>
          <w:color w:val="auto"/>
          <w:kern w:val="2"/>
          <w:sz w:val="32"/>
          <w:szCs w:val="32"/>
          <w:highlight w:val="none"/>
          <w:lang w:val="en-US" w:eastAsia="zh-CN" w:bidi="ar-SA"/>
        </w:rPr>
        <w:t>合计得分15分。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带动就业人口全年总收入156万元，与预期指标一致，指标标杆分值为5分，根据评分标准，该指标不扣分，得5分。</w:t>
      </w:r>
    </w:p>
    <w:p>
      <w:pPr>
        <w:pStyle w:val="2"/>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合计得分5分。</w:t>
      </w:r>
    </w:p>
    <w:p>
      <w:pPr>
        <w:pStyle w:val="2"/>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设施设备可持续使用年限10年，与预期目标一致，指标标杆分值为5分,根据评分标准，该指标不扣分，得5分。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工程设计可持续使用年限30年，与预期目标一致，指标标杆分值为5分,根据评分标准，该指标不扣分，得5分。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对于“满意度指标：受益村镇人民满意度95%，与预期目标一致，根据评分标准，该指标不扣分,得10分。</w:t>
      </w:r>
    </w:p>
    <w:p>
      <w:pPr>
        <w:pStyle w:val="18"/>
        <w:ind w:left="0" w:leftChars="0" w:firstLine="640" w:firstLineChars="200"/>
        <w:rPr>
          <w:rFonts w:hint="default"/>
          <w:color w:val="auto"/>
          <w:highlight w:val="none"/>
          <w:lang w:val="en-US" w:eastAsia="zh-CN"/>
        </w:rPr>
      </w:pPr>
      <w:r>
        <w:rPr>
          <w:rFonts w:hint="eastAsia" w:ascii="仿宋_GB2312" w:hAnsi="黑体" w:cstheme="minorBidi"/>
          <w:color w:val="auto"/>
          <w:kern w:val="2"/>
          <w:sz w:val="32"/>
          <w:szCs w:val="32"/>
          <w:highlight w:val="none"/>
          <w:lang w:val="en-US" w:eastAsia="zh-CN" w:bidi="ar-SA"/>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四、偏离绩效目标的原因和下一步改进措施</w:t>
      </w:r>
    </w:p>
    <w:p>
      <w:pPr>
        <w:pStyle w:val="19"/>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highlight w:val="none"/>
        </w:rPr>
      </w:pPr>
      <w:r>
        <w:rPr>
          <w:rFonts w:hint="eastAsia" w:ascii="仿宋_GB2312" w:hAnsi="黑体" w:eastAsia="仿宋_GB2312" w:cstheme="minorBidi"/>
          <w:color w:val="auto"/>
          <w:kern w:val="2"/>
          <w:sz w:val="32"/>
          <w:szCs w:val="32"/>
          <w:highlight w:val="none"/>
          <w:lang w:val="en-US" w:eastAsia="zh-CN" w:bidi="ar-SA"/>
        </w:rPr>
        <w:t>叶城县小麦、玉米繁种基地建设项目预算3265.53万元，到位3265.53万元，实际支出3258.09万元，预算执行率为99.77%，项目绩效指标总体完成率为99.98%，无偏差。</w:t>
      </w:r>
    </w:p>
    <w:p>
      <w:pPr>
        <w:pStyle w:val="20"/>
        <w:keepNext/>
        <w:keepLines/>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方正楷体_GBK" w:hAnsi="方正楷体_GBK" w:eastAsia="方正楷体_GBK" w:cs="方正楷体_GBK"/>
          <w:b/>
          <w:bCs/>
          <w:color w:val="auto"/>
          <w:sz w:val="32"/>
          <w:highlight w:val="none"/>
        </w:rPr>
      </w:pPr>
      <w:r>
        <w:rPr>
          <w:rFonts w:hint="eastAsia" w:eastAsia="方正仿宋_GBK" w:cs="方正仿宋_GBK"/>
          <w:b/>
          <w:bCs/>
          <w:color w:val="auto"/>
          <w:kern w:val="2"/>
          <w:sz w:val="32"/>
          <w:szCs w:val="32"/>
          <w:highlight w:val="none"/>
          <w:lang w:val="en-US" w:eastAsia="zh-CN" w:bidi="ar-SA"/>
        </w:rPr>
        <w:t>五、</w:t>
      </w:r>
      <w:r>
        <w:rPr>
          <w:rFonts w:hint="eastAsia" w:ascii="Times New Roman" w:hAnsi="Times New Roman" w:eastAsia="方正仿宋_GBK" w:cs="方正仿宋_GBK"/>
          <w:b/>
          <w:bCs/>
          <w:color w:val="auto"/>
          <w:kern w:val="2"/>
          <w:sz w:val="32"/>
          <w:szCs w:val="32"/>
          <w:highlight w:val="none"/>
          <w:lang w:val="en-US" w:eastAsia="zh-CN" w:bidi="ar-SA"/>
        </w:rPr>
        <w:t>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21"/>
        <w:spacing w:line="500" w:lineRule="exact"/>
        <w:ind w:firstLine="560"/>
        <w:rPr>
          <w:rFonts w:hint="eastAsia" w:ascii="Times New Roman" w:hAnsi="Times New Roman" w:eastAsia="方正仿宋_GBK" w:cs="方正仿宋_GBK"/>
          <w:color w:val="auto"/>
          <w:sz w:val="32"/>
          <w:szCs w:val="32"/>
          <w:highlight w:val="none"/>
        </w:rPr>
      </w:pPr>
      <w:r>
        <w:rPr>
          <w:rFonts w:hint="eastAsia" w:ascii="仿宋_GB2312" w:hAnsi="黑体" w:eastAsia="仿宋_GB2312" w:cstheme="minorBidi"/>
          <w:color w:val="auto"/>
          <w:kern w:val="2"/>
          <w:sz w:val="32"/>
          <w:szCs w:val="32"/>
          <w:highlight w:val="none"/>
          <w:lang w:val="en-US" w:eastAsia="zh-CN" w:bidi="ar-SA"/>
        </w:rPr>
        <w:t>叶城县小麦、玉米繁种基地建设项目</w:t>
      </w:r>
      <w:r>
        <w:rPr>
          <w:rFonts w:hint="default" w:ascii="仿宋_GB2312" w:hAnsi="黑体" w:eastAsia="仿宋_GB2312" w:cstheme="minorBidi"/>
          <w:color w:val="auto"/>
          <w:kern w:val="2"/>
          <w:sz w:val="32"/>
          <w:szCs w:val="32"/>
          <w:highlight w:val="none"/>
          <w:lang w:val="en-US" w:eastAsia="zh-CN" w:bidi="ar-SA"/>
        </w:rPr>
        <w:t>已完成</w:t>
      </w:r>
      <w:r>
        <w:rPr>
          <w:rFonts w:hint="eastAsia" w:ascii="仿宋_GB2312" w:hAnsi="黑体" w:eastAsia="仿宋_GB2312" w:cstheme="minorBidi"/>
          <w:color w:val="auto"/>
          <w:kern w:val="2"/>
          <w:sz w:val="32"/>
          <w:szCs w:val="32"/>
          <w:highlight w:val="none"/>
          <w:lang w:val="en-US" w:eastAsia="zh-CN" w:bidi="ar-SA"/>
        </w:rPr>
        <w:t>，实施有效提高种子的产业化，提高农业生产力、农业市场竞争力和。该项目最终评分99.96分，绩效评级为“优”。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lang w:val="en-US" w:eastAsia="zh-CN"/>
        </w:rPr>
        <w:t>六、</w:t>
      </w:r>
      <w:r>
        <w:rPr>
          <w:rFonts w:hint="eastAsia" w:ascii="仿宋_GB2312" w:hAnsi="黑体" w:eastAsia="仿宋_GB2312"/>
          <w:b/>
          <w:color w:val="auto"/>
          <w:sz w:val="32"/>
          <w:szCs w:val="32"/>
          <w:highlight w:val="none"/>
        </w:rPr>
        <w:t>绩效自评结果拟应用和公开情况</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（一）对衔接推进乡村振兴补助资金项目、绩效公告公示情况</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（二）对绩效自评结果拟应用情况进行说明</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（三）对二级指标权重(分值)分配情况进行说明，赋权的方法或者原则</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9"/>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2"/>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color w:val="auto"/>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MzEyZTU4NDY2YTVlZTc5NDE2YWRlZWI0YjIxMzMifQ=="/>
  </w:docVars>
  <w:rsids>
    <w:rsidRoot w:val="00F20A26"/>
    <w:rsid w:val="003E0379"/>
    <w:rsid w:val="0055176E"/>
    <w:rsid w:val="00861488"/>
    <w:rsid w:val="00F20A26"/>
    <w:rsid w:val="015A600F"/>
    <w:rsid w:val="059A592B"/>
    <w:rsid w:val="08EC01DC"/>
    <w:rsid w:val="12A245A9"/>
    <w:rsid w:val="14653122"/>
    <w:rsid w:val="17F82735"/>
    <w:rsid w:val="187A025D"/>
    <w:rsid w:val="1937751C"/>
    <w:rsid w:val="19CC7701"/>
    <w:rsid w:val="1ABF7AF2"/>
    <w:rsid w:val="1B4D6D35"/>
    <w:rsid w:val="20183F4F"/>
    <w:rsid w:val="20C02ABC"/>
    <w:rsid w:val="22084AEF"/>
    <w:rsid w:val="22E936F1"/>
    <w:rsid w:val="24A3706C"/>
    <w:rsid w:val="27DF620C"/>
    <w:rsid w:val="28110DB5"/>
    <w:rsid w:val="29EC0C5C"/>
    <w:rsid w:val="2B1E4C6A"/>
    <w:rsid w:val="2D5F13D7"/>
    <w:rsid w:val="2E51749D"/>
    <w:rsid w:val="31A02A0C"/>
    <w:rsid w:val="31AE0AA6"/>
    <w:rsid w:val="31C76241"/>
    <w:rsid w:val="386D751C"/>
    <w:rsid w:val="3A667D78"/>
    <w:rsid w:val="3DE00B1B"/>
    <w:rsid w:val="3EDE66B4"/>
    <w:rsid w:val="4040105E"/>
    <w:rsid w:val="41871287"/>
    <w:rsid w:val="432C4713"/>
    <w:rsid w:val="468C3FA5"/>
    <w:rsid w:val="4BA819CC"/>
    <w:rsid w:val="54575230"/>
    <w:rsid w:val="54C978C3"/>
    <w:rsid w:val="55643465"/>
    <w:rsid w:val="55DA66E7"/>
    <w:rsid w:val="5CEF0BA5"/>
    <w:rsid w:val="5DB920D9"/>
    <w:rsid w:val="614F4951"/>
    <w:rsid w:val="647906B5"/>
    <w:rsid w:val="651A36AB"/>
    <w:rsid w:val="68665F57"/>
    <w:rsid w:val="6AC53C59"/>
    <w:rsid w:val="7132728B"/>
    <w:rsid w:val="761975A1"/>
    <w:rsid w:val="7B580975"/>
    <w:rsid w:val="7E984E50"/>
    <w:rsid w:val="EEEB9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8">
    <w:name w:val="annotation text"/>
    <w:basedOn w:val="1"/>
    <w:unhideWhenUsed/>
    <w:qFormat/>
    <w:uiPriority w:val="99"/>
    <w:rPr>
      <w:rFonts w:cs="Times New Roman"/>
      <w:kern w:val="0"/>
      <w:sz w:val="20"/>
      <w:szCs w:val="20"/>
    </w:rPr>
  </w:style>
  <w:style w:type="paragraph" w:styleId="9">
    <w:name w:val="Body Text"/>
    <w:basedOn w:val="1"/>
    <w:qFormat/>
    <w:uiPriority w:val="0"/>
    <w:pPr>
      <w:spacing w:before="240" w:after="240" w:line="360" w:lineRule="auto"/>
      <w:jc w:val="center"/>
    </w:pPr>
    <w:rPr>
      <w:b/>
      <w:sz w:val="44"/>
    </w:rPr>
  </w:style>
  <w:style w:type="paragraph" w:styleId="10">
    <w:name w:val="Plain Text"/>
    <w:basedOn w:val="1"/>
    <w:unhideWhenUsed/>
    <w:qFormat/>
    <w:uiPriority w:val="99"/>
    <w:rPr>
      <w:rFonts w:ascii="宋体" w:hAnsi="Courier New"/>
    </w:rPr>
  </w:style>
  <w:style w:type="paragraph" w:styleId="11">
    <w:name w:val="Body Text Indent 2"/>
    <w:basedOn w:val="1"/>
    <w:qFormat/>
    <w:uiPriority w:val="0"/>
    <w:pPr>
      <w:ind w:firstLine="280"/>
    </w:pPr>
    <w:rPr>
      <w:rFonts w:ascii="仿宋_GB2312" w:hAnsi="仿宋_GB2312" w:eastAsia="仿宋_GB2312"/>
      <w:kern w:val="1"/>
      <w:sz w:val="28"/>
    </w:rPr>
  </w:style>
  <w:style w:type="paragraph" w:styleId="12">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6">
    <w:name w:val="Strong"/>
    <w:basedOn w:val="15"/>
    <w:qFormat/>
    <w:uiPriority w:val="0"/>
    <w:rPr>
      <w:b/>
      <w:bCs/>
    </w:rPr>
  </w:style>
  <w:style w:type="paragraph" w:customStyle="1" w:styleId="17">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8">
    <w:name w:val="1 正文"/>
    <w:basedOn w:val="1"/>
    <w:qFormat/>
    <w:uiPriority w:val="0"/>
    <w:pPr>
      <w:ind w:firstLine="200"/>
    </w:pPr>
    <w:rPr>
      <w:rFonts w:eastAsia="仿宋_GB2312" w:cs="Times New Roman"/>
      <w:szCs w:val="28"/>
    </w:rPr>
  </w:style>
  <w:style w:type="paragraph" w:customStyle="1" w:styleId="19">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20">
    <w:name w:val="闻政-正文二级标题"/>
    <w:basedOn w:val="5"/>
    <w:next w:val="19"/>
    <w:qFormat/>
    <w:uiPriority w:val="3"/>
    <w:pPr>
      <w:spacing w:before="120" w:after="60" w:line="500" w:lineRule="exact"/>
      <w:ind w:left="200" w:leftChars="200" w:firstLine="0" w:firstLineChars="0"/>
    </w:pPr>
    <w:rPr>
      <w:rFonts w:ascii="Times New Roman" w:hAnsi="Times New Roman"/>
      <w:sz w:val="28"/>
    </w:rPr>
  </w:style>
  <w:style w:type="paragraph" w:customStyle="1" w:styleId="2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4739</Words>
  <Characters>5145</Characters>
  <Lines>2</Lines>
  <Paragraphs>1</Paragraphs>
  <TotalTime>0</TotalTime>
  <ScaleCrop>false</ScaleCrop>
  <LinksUpToDate>false</LinksUpToDate>
  <CharactersWithSpaces>5210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2025-02-13T08:07:25Z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B0A323D9167C4258B602B8FADF570B46</vt:lpwstr>
  </property>
</Properties>
</file>