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tabs>
          <w:tab w:val="left" w:pos="1680"/>
        </w:tabs>
        <w:kinsoku/>
        <w:wordWrap/>
        <w:overflowPunct/>
        <w:topLinePunct w:val="0"/>
        <w:autoSpaceDE/>
        <w:autoSpaceDN/>
        <w:bidi w:val="0"/>
        <w:spacing w:before="120" w:after="120" w:line="560" w:lineRule="exact"/>
        <w:ind w:firstLine="643"/>
        <w:jc w:val="center"/>
        <w:textAlignment w:val="auto"/>
        <w:outlineLvl w:val="0"/>
        <w:rPr>
          <w:rFonts w:hint="eastAsia" w:ascii="黑体" w:hAnsi="黑体" w:eastAsia="黑体"/>
          <w:b/>
          <w:bCs/>
          <w:color w:val="auto"/>
          <w:sz w:val="36"/>
          <w:szCs w:val="36"/>
          <w:highlight w:val="none"/>
          <w:lang w:eastAsia="zh-CN"/>
        </w:rPr>
      </w:pPr>
      <w:r>
        <w:rPr>
          <w:rFonts w:hint="eastAsia" w:ascii="黑体" w:hAnsi="黑体" w:eastAsia="黑体"/>
          <w:b/>
          <w:bCs/>
          <w:color w:val="auto"/>
          <w:sz w:val="36"/>
          <w:szCs w:val="36"/>
          <w:highlight w:val="none"/>
          <w:lang w:eastAsia="zh-CN"/>
        </w:rPr>
        <w:t>叶城县特色产业一期道路建设基础设施配套项目支出自评总结报告</w:t>
      </w:r>
    </w:p>
    <w:p>
      <w:pPr>
        <w:pageBreakBefore w:val="0"/>
        <w:widowControl w:val="0"/>
        <w:kinsoku/>
        <w:wordWrap/>
        <w:overflowPunct/>
        <w:topLinePunct w:val="0"/>
        <w:autoSpaceDE/>
        <w:autoSpaceDN/>
        <w:bidi w:val="0"/>
        <w:spacing w:line="560" w:lineRule="exact"/>
        <w:ind w:firstLine="0" w:firstLineChars="0"/>
        <w:jc w:val="center"/>
        <w:textAlignment w:val="auto"/>
        <w:rPr>
          <w:rFonts w:hint="eastAsia" w:ascii="Times New Roman" w:hAnsi="Times New Roman" w:eastAsia="方正仿宋_GBK" w:cs="方正仿宋_GBK"/>
          <w:b/>
          <w:color w:val="auto"/>
          <w:kern w:val="0"/>
          <w:sz w:val="32"/>
          <w:szCs w:val="32"/>
          <w:highlight w:val="none"/>
          <w:lang w:bidi="en-US"/>
        </w:rPr>
      </w:pPr>
    </w:p>
    <w:p>
      <w:pPr>
        <w:pStyle w:val="6"/>
        <w:pageBreakBefore w:val="0"/>
        <w:widowControl w:val="0"/>
        <w:kinsoku/>
        <w:wordWrap/>
        <w:overflowPunct/>
        <w:topLinePunct w:val="0"/>
        <w:autoSpaceDE/>
        <w:autoSpaceDN/>
        <w:bidi w:val="0"/>
        <w:spacing w:line="560" w:lineRule="exact"/>
        <w:textAlignment w:val="auto"/>
        <w:rPr>
          <w:rFonts w:hint="eastAsia" w:ascii="Times New Roman" w:hAnsi="Times New Roman" w:eastAsia="方正仿宋_GBK" w:cs="方正仿宋_GBK"/>
          <w:b/>
          <w:color w:val="auto"/>
          <w:kern w:val="0"/>
          <w:sz w:val="32"/>
          <w:szCs w:val="32"/>
          <w:highlight w:val="none"/>
          <w:lang w:bidi="en-US"/>
        </w:rPr>
      </w:pPr>
    </w:p>
    <w:p>
      <w:pPr>
        <w:pageBreakBefore w:val="0"/>
        <w:widowControl w:val="0"/>
        <w:kinsoku/>
        <w:overflowPunct/>
        <w:topLinePunct w:val="0"/>
        <w:autoSpaceDN/>
        <w:bidi w:val="0"/>
        <w:spacing w:line="560" w:lineRule="exact"/>
        <w:textAlignment w:val="auto"/>
        <w:rPr>
          <w:rFonts w:hint="eastAsia"/>
          <w:color w:val="auto"/>
          <w:highlight w:val="none"/>
        </w:rPr>
      </w:pPr>
    </w:p>
    <w:p>
      <w:pPr>
        <w:pStyle w:val="2"/>
        <w:pageBreakBefore w:val="0"/>
        <w:widowControl w:val="0"/>
        <w:kinsoku/>
        <w:overflowPunct/>
        <w:topLinePunct w:val="0"/>
        <w:autoSpaceDN/>
        <w:bidi w:val="0"/>
        <w:spacing w:line="560" w:lineRule="exact"/>
        <w:textAlignment w:val="auto"/>
        <w:rPr>
          <w:rFonts w:hint="eastAsia" w:eastAsiaTheme="minorEastAsia"/>
          <w:color w:val="auto"/>
          <w:highlight w:val="none"/>
          <w:lang w:eastAsia="zh-CN"/>
        </w:rPr>
      </w:pPr>
    </w:p>
    <w:p>
      <w:pPr>
        <w:pStyle w:val="2"/>
        <w:pageBreakBefore w:val="0"/>
        <w:widowControl w:val="0"/>
        <w:kinsoku/>
        <w:overflowPunct/>
        <w:topLinePunct w:val="0"/>
        <w:autoSpaceDN/>
        <w:bidi w:val="0"/>
        <w:spacing w:line="560" w:lineRule="exact"/>
        <w:textAlignment w:val="auto"/>
        <w:rPr>
          <w:rFonts w:hint="eastAsia" w:eastAsiaTheme="minorEastAsia"/>
          <w:color w:val="auto"/>
          <w:highlight w:val="none"/>
          <w:lang w:eastAsia="zh-CN"/>
        </w:rPr>
      </w:pPr>
    </w:p>
    <w:p>
      <w:pPr>
        <w:pStyle w:val="2"/>
        <w:pageBreakBefore w:val="0"/>
        <w:widowControl w:val="0"/>
        <w:kinsoku/>
        <w:overflowPunct/>
        <w:topLinePunct w:val="0"/>
        <w:autoSpaceDN/>
        <w:bidi w:val="0"/>
        <w:spacing w:line="560" w:lineRule="exact"/>
        <w:textAlignment w:val="auto"/>
        <w:rPr>
          <w:rFonts w:hint="eastAsia" w:eastAsiaTheme="minorEastAsia"/>
          <w:color w:val="auto"/>
          <w:highlight w:val="none"/>
          <w:lang w:eastAsia="zh-CN"/>
        </w:rPr>
      </w:pPr>
    </w:p>
    <w:p>
      <w:pPr>
        <w:pageBreakBefore w:val="0"/>
        <w:widowControl w:val="0"/>
        <w:kinsoku/>
        <w:wordWrap/>
        <w:overflowPunct/>
        <w:topLinePunct w:val="0"/>
        <w:autoSpaceDE/>
        <w:autoSpaceDN/>
        <w:bidi w:val="0"/>
        <w:spacing w:line="560" w:lineRule="exact"/>
        <w:textAlignment w:val="auto"/>
        <w:rPr>
          <w:rFonts w:hint="eastAsia"/>
          <w:color w:val="auto"/>
          <w:highlight w:val="none"/>
        </w:rPr>
      </w:pPr>
    </w:p>
    <w:p>
      <w:pPr>
        <w:pageBreakBefore w:val="0"/>
        <w:widowControl w:val="0"/>
        <w:kinsoku/>
        <w:wordWrap/>
        <w:overflowPunct/>
        <w:topLinePunct w:val="0"/>
        <w:autoSpaceDE/>
        <w:autoSpaceDN/>
        <w:bidi w:val="0"/>
        <w:spacing w:line="560" w:lineRule="exact"/>
        <w:ind w:firstLine="0" w:firstLineChars="0"/>
        <w:jc w:val="both"/>
        <w:textAlignment w:val="auto"/>
        <w:rPr>
          <w:rFonts w:hint="eastAsia" w:ascii="Times New Roman" w:hAnsi="Times New Roman" w:eastAsia="方正仿宋_GBK" w:cs="方正仿宋_GBK"/>
          <w:color w:val="auto"/>
          <w:kern w:val="0"/>
          <w:sz w:val="32"/>
          <w:szCs w:val="32"/>
          <w:highlight w:val="none"/>
          <w:lang w:bidi="en-US"/>
        </w:rPr>
      </w:pPr>
    </w:p>
    <w:p>
      <w:pPr>
        <w:keepNext w:val="0"/>
        <w:keepLines w:val="0"/>
        <w:pageBreakBefore w:val="0"/>
        <w:widowControl w:val="0"/>
        <w:numPr>
          <w:ilvl w:val="0"/>
          <w:numId w:val="0"/>
        </w:numPr>
        <w:kinsoku/>
        <w:overflowPunct/>
        <w:topLinePunct w:val="0"/>
        <w:autoSpaceDN/>
        <w:bidi w:val="0"/>
        <w:adjustRightInd/>
        <w:snapToGrid/>
        <w:spacing w:line="560" w:lineRule="exact"/>
        <w:jc w:val="left"/>
        <w:textAlignment w:val="auto"/>
        <w:rPr>
          <w:rFonts w:hint="eastAsia" w:ascii="仿宋_GB2312" w:hAnsi="黑体" w:eastAsia="仿宋_GB2312" w:cstheme="minorBidi"/>
          <w:color w:val="auto"/>
          <w:kern w:val="2"/>
          <w:sz w:val="32"/>
          <w:szCs w:val="32"/>
          <w:highlight w:val="none"/>
          <w:lang w:val="en-US" w:eastAsia="zh-CN" w:bidi="ar-SA"/>
        </w:rPr>
      </w:pPr>
    </w:p>
    <w:p>
      <w:pPr>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项目名称：叶城县特色产业一期道路建设基础设施配套项目</w:t>
      </w:r>
    </w:p>
    <w:p>
      <w:pPr>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项目单位：叶城县农业农村局</w:t>
      </w:r>
    </w:p>
    <w:p>
      <w:pPr>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主管部门：叶城县农业农村局（本级）</w:t>
      </w:r>
    </w:p>
    <w:p>
      <w:pPr>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default"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项目负责人：辛玉保</w:t>
      </w:r>
    </w:p>
    <w:p>
      <w:pPr>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填报时间： 2023年 1 月 11 日</w:t>
      </w:r>
    </w:p>
    <w:p>
      <w:pPr>
        <w:pStyle w:val="8"/>
        <w:pageBreakBefore w:val="0"/>
        <w:widowControl w:val="0"/>
        <w:kinsoku/>
        <w:wordWrap/>
        <w:overflowPunct/>
        <w:topLinePunct w:val="0"/>
        <w:autoSpaceDE/>
        <w:autoSpaceDN/>
        <w:bidi w:val="0"/>
        <w:spacing w:line="560" w:lineRule="exact"/>
        <w:textAlignment w:val="auto"/>
        <w:rPr>
          <w:rFonts w:hint="eastAsia" w:ascii="Times New Roman" w:hAnsi="Times New Roman" w:eastAsia="方正仿宋_GBK" w:cs="方正仿宋_GBK"/>
          <w:color w:val="auto"/>
          <w:highlight w:val="none"/>
          <w:lang w:eastAsia="zh-CN"/>
        </w:rPr>
      </w:pPr>
    </w:p>
    <w:p>
      <w:pPr>
        <w:pageBreakBefore w:val="0"/>
        <w:widowControl w:val="0"/>
        <w:kinsoku/>
        <w:overflowPunct/>
        <w:topLinePunct w:val="0"/>
        <w:autoSpaceDN/>
        <w:bidi w:val="0"/>
        <w:spacing w:line="560" w:lineRule="exact"/>
        <w:ind w:firstLine="643" w:firstLineChars="200"/>
        <w:jc w:val="center"/>
        <w:textAlignment w:val="auto"/>
        <w:rPr>
          <w:rFonts w:hint="eastAsia" w:ascii="黑体" w:hAnsi="黑体" w:eastAsia="黑体"/>
          <w:b/>
          <w:bCs/>
          <w:color w:val="auto"/>
          <w:sz w:val="32"/>
          <w:szCs w:val="32"/>
          <w:highlight w:val="none"/>
          <w:lang w:eastAsia="zh-CN"/>
        </w:rPr>
      </w:pPr>
    </w:p>
    <w:p>
      <w:pPr>
        <w:pageBreakBefore w:val="0"/>
        <w:widowControl w:val="0"/>
        <w:kinsoku/>
        <w:overflowPunct/>
        <w:topLinePunct w:val="0"/>
        <w:autoSpaceDN/>
        <w:bidi w:val="0"/>
        <w:spacing w:line="560" w:lineRule="exact"/>
        <w:ind w:firstLine="643" w:firstLineChars="200"/>
        <w:jc w:val="center"/>
        <w:textAlignment w:val="auto"/>
        <w:rPr>
          <w:rFonts w:hint="eastAsia" w:ascii="黑体" w:hAnsi="黑体" w:eastAsia="黑体"/>
          <w:b/>
          <w:bCs/>
          <w:color w:val="auto"/>
          <w:sz w:val="32"/>
          <w:szCs w:val="32"/>
          <w:highlight w:val="none"/>
          <w:lang w:eastAsia="zh-CN"/>
        </w:rPr>
      </w:pPr>
    </w:p>
    <w:p>
      <w:pPr>
        <w:pageBreakBefore w:val="0"/>
        <w:widowControl w:val="0"/>
        <w:kinsoku/>
        <w:overflowPunct/>
        <w:topLinePunct w:val="0"/>
        <w:autoSpaceDN/>
        <w:bidi w:val="0"/>
        <w:spacing w:line="560" w:lineRule="exact"/>
        <w:ind w:firstLine="643" w:firstLineChars="200"/>
        <w:jc w:val="center"/>
        <w:textAlignment w:val="auto"/>
        <w:rPr>
          <w:rFonts w:hint="eastAsia" w:ascii="黑体" w:hAnsi="黑体" w:eastAsia="黑体"/>
          <w:b/>
          <w:bCs/>
          <w:color w:val="auto"/>
          <w:sz w:val="32"/>
          <w:szCs w:val="32"/>
          <w:highlight w:val="none"/>
          <w:lang w:eastAsia="zh-CN"/>
        </w:rPr>
      </w:pPr>
    </w:p>
    <w:p>
      <w:pPr>
        <w:pageBreakBefore w:val="0"/>
        <w:widowControl w:val="0"/>
        <w:kinsoku/>
        <w:overflowPunct/>
        <w:topLinePunct w:val="0"/>
        <w:autoSpaceDN/>
        <w:bidi w:val="0"/>
        <w:spacing w:line="560" w:lineRule="exact"/>
        <w:ind w:firstLine="643" w:firstLineChars="200"/>
        <w:jc w:val="center"/>
        <w:textAlignment w:val="auto"/>
        <w:rPr>
          <w:rFonts w:hint="eastAsia" w:ascii="黑体" w:hAnsi="黑体" w:eastAsia="黑体"/>
          <w:b/>
          <w:bCs/>
          <w:color w:val="auto"/>
          <w:sz w:val="32"/>
          <w:szCs w:val="32"/>
          <w:highlight w:val="none"/>
          <w:lang w:eastAsia="zh-CN"/>
        </w:rPr>
      </w:pPr>
    </w:p>
    <w:p>
      <w:pPr>
        <w:pageBreakBefore w:val="0"/>
        <w:widowControl w:val="0"/>
        <w:kinsoku/>
        <w:overflowPunct/>
        <w:topLinePunct w:val="0"/>
        <w:autoSpaceDN/>
        <w:bidi w:val="0"/>
        <w:spacing w:line="560" w:lineRule="exact"/>
        <w:ind w:firstLine="643" w:firstLineChars="200"/>
        <w:jc w:val="center"/>
        <w:textAlignment w:val="auto"/>
        <w:rPr>
          <w:rFonts w:hint="eastAsia" w:ascii="黑体" w:hAnsi="黑体" w:eastAsia="黑体"/>
          <w:b/>
          <w:bCs/>
          <w:color w:val="auto"/>
          <w:sz w:val="32"/>
          <w:szCs w:val="32"/>
          <w:highlight w:val="none"/>
          <w:lang w:eastAsia="zh-CN"/>
        </w:rPr>
      </w:pPr>
    </w:p>
    <w:p>
      <w:pPr>
        <w:pageBreakBefore w:val="0"/>
        <w:widowControl w:val="0"/>
        <w:kinsoku/>
        <w:overflowPunct/>
        <w:topLinePunct w:val="0"/>
        <w:autoSpaceDN/>
        <w:bidi w:val="0"/>
        <w:spacing w:line="560" w:lineRule="exact"/>
        <w:ind w:firstLine="643" w:firstLineChars="200"/>
        <w:jc w:val="center"/>
        <w:textAlignment w:val="auto"/>
        <w:rPr>
          <w:rFonts w:ascii="黑体" w:hAnsi="黑体" w:eastAsia="黑体"/>
          <w:b/>
          <w:bCs/>
          <w:color w:val="auto"/>
          <w:sz w:val="32"/>
          <w:szCs w:val="32"/>
          <w:highlight w:val="none"/>
        </w:rPr>
      </w:pPr>
      <w:r>
        <w:rPr>
          <w:rFonts w:hint="eastAsia" w:ascii="黑体" w:hAnsi="黑体" w:eastAsia="黑体"/>
          <w:b/>
          <w:bCs/>
          <w:color w:val="auto"/>
          <w:sz w:val="32"/>
          <w:szCs w:val="32"/>
          <w:highlight w:val="none"/>
          <w:lang w:val="en-US" w:eastAsia="zh-CN"/>
        </w:rPr>
        <w:t>叶城县农业农村局2022</w:t>
      </w:r>
      <w:r>
        <w:rPr>
          <w:rFonts w:hint="eastAsia" w:ascii="黑体" w:hAnsi="黑体" w:eastAsia="黑体"/>
          <w:b/>
          <w:bCs/>
          <w:color w:val="auto"/>
          <w:sz w:val="32"/>
          <w:szCs w:val="32"/>
          <w:highlight w:val="none"/>
        </w:rPr>
        <w:t>年</w:t>
      </w:r>
      <w:r>
        <w:rPr>
          <w:rFonts w:hint="eastAsia" w:ascii="黑体" w:hAnsi="黑体" w:eastAsia="黑体"/>
          <w:b/>
          <w:bCs/>
          <w:color w:val="auto"/>
          <w:sz w:val="32"/>
          <w:szCs w:val="32"/>
          <w:highlight w:val="none"/>
          <w:lang w:eastAsia="zh-CN"/>
        </w:rPr>
        <w:t>财政衔接推进乡村振兴补助资金</w:t>
      </w:r>
      <w:r>
        <w:rPr>
          <w:rFonts w:hint="eastAsia" w:ascii="黑体" w:hAnsi="黑体" w:eastAsia="黑体"/>
          <w:b/>
          <w:bCs/>
          <w:color w:val="auto"/>
          <w:sz w:val="32"/>
          <w:szCs w:val="32"/>
          <w:highlight w:val="none"/>
        </w:rPr>
        <w:t>绩效自评总结报告</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一、绩效目标分解下达情况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1.</w:t>
      </w:r>
      <w:r>
        <w:rPr>
          <w:rFonts w:hint="eastAsia" w:ascii="仿宋_GB2312" w:hAnsi="黑体" w:eastAsia="仿宋_GB2312"/>
          <w:b/>
          <w:bCs/>
          <w:color w:val="auto"/>
          <w:sz w:val="32"/>
          <w:szCs w:val="32"/>
          <w:highlight w:val="none"/>
          <w:lang w:eastAsia="zh-CN"/>
        </w:rPr>
        <w:t>财政衔接推进乡村振兴补助资金</w:t>
      </w:r>
      <w:r>
        <w:rPr>
          <w:rFonts w:hint="eastAsia" w:ascii="仿宋_GB2312" w:hAnsi="黑体" w:eastAsia="仿宋_GB2312"/>
          <w:b/>
          <w:bCs/>
          <w:color w:val="auto"/>
          <w:sz w:val="32"/>
          <w:szCs w:val="32"/>
          <w:highlight w:val="none"/>
        </w:rPr>
        <w:t>下达预算及项目情况。</w:t>
      </w:r>
    </w:p>
    <w:p>
      <w:pPr>
        <w:pStyle w:val="17"/>
        <w:pageBreakBefore w:val="0"/>
        <w:kinsoku/>
        <w:wordWrap/>
        <w:topLinePunct w:val="0"/>
        <w:autoSpaceDE/>
        <w:autoSpaceDN/>
        <w:bidi w:val="0"/>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根据《关于下达2022年自治区财政衔接推进乡村振兴补助资金预算的通知》（新财振〔2022〕18号），下达2022年自治区财政衔接推进乡村振兴补助资金，叶城县特色产业一期道路建设基础设施配套项目，项目总投资为1025万元，通过该项目的实施，对提高人民生活水平和促进当地工、农、牧、商、建、贸的迅速发展起着重要的作用。该项目的建成将极大提高这段公路的安全性和舒适性，为公路沿线乡村的经济发展提供便利的条件，为周边区域居民的出行提供便利条件，建设意义重大。</w:t>
      </w:r>
    </w:p>
    <w:p>
      <w:pPr>
        <w:keepNext w:val="0"/>
        <w:keepLines w:val="0"/>
        <w:pageBreakBefore w:val="0"/>
        <w:widowControl w:val="0"/>
        <w:numPr>
          <w:ilvl w:val="0"/>
          <w:numId w:val="0"/>
        </w:numPr>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b/>
          <w:bCs/>
          <w:color w:val="auto"/>
          <w:sz w:val="32"/>
          <w:szCs w:val="32"/>
          <w:highlight w:val="none"/>
          <w:lang w:val="en-US" w:eastAsia="zh-CN"/>
        </w:rPr>
        <w:t>2.</w:t>
      </w:r>
      <w:r>
        <w:rPr>
          <w:rFonts w:hint="eastAsia" w:ascii="仿宋_GB2312" w:hAnsi="黑体" w:eastAsia="仿宋_GB2312"/>
          <w:b/>
          <w:bCs/>
          <w:color w:val="auto"/>
          <w:sz w:val="32"/>
          <w:szCs w:val="32"/>
          <w:highlight w:val="none"/>
          <w:lang w:eastAsia="zh-CN"/>
        </w:rPr>
        <w:t>财政衔接推进乡村振兴补助资金</w:t>
      </w:r>
      <w:r>
        <w:rPr>
          <w:rFonts w:hint="eastAsia" w:ascii="仿宋_GB2312" w:hAnsi="黑体" w:eastAsia="仿宋_GB2312"/>
          <w:b/>
          <w:bCs/>
          <w:color w:val="auto"/>
          <w:sz w:val="32"/>
          <w:szCs w:val="32"/>
          <w:highlight w:val="none"/>
        </w:rPr>
        <w:t>项目绩效目标设定情况。</w:t>
      </w:r>
    </w:p>
    <w:p>
      <w:pPr>
        <w:pStyle w:val="19"/>
        <w:spacing w:line="500" w:lineRule="exact"/>
        <w:ind w:firstLine="560"/>
        <w:rPr>
          <w:rFonts w:hint="eastAsia" w:ascii="仿宋_GB2312" w:hAnsi="黑体" w:eastAsia="仿宋_GB2312" w:cstheme="minorBidi"/>
          <w:b w:val="0"/>
          <w:bCs/>
          <w:color w:val="auto"/>
          <w:kern w:val="2"/>
          <w:sz w:val="32"/>
          <w:szCs w:val="32"/>
          <w:highlight w:val="none"/>
          <w:lang w:val="en-US" w:eastAsia="zh-CN" w:bidi="ar-SA"/>
        </w:rPr>
      </w:pPr>
      <w:r>
        <w:rPr>
          <w:rFonts w:hint="eastAsia" w:ascii="仿宋_GB2312" w:hAnsi="黑体" w:eastAsia="仿宋_GB2312" w:cstheme="minorBidi"/>
          <w:b w:val="0"/>
          <w:bCs/>
          <w:color w:val="auto"/>
          <w:kern w:val="2"/>
          <w:sz w:val="32"/>
          <w:szCs w:val="32"/>
          <w:highlight w:val="none"/>
          <w:lang w:val="en-US" w:eastAsia="zh-CN" w:bidi="ar-SA"/>
        </w:rPr>
        <w:t>本项目建设主要服务于当地农业生产的发展。在叶城县新门卡渠4.5万亩特色产业（鲜果）基地配套道路建设等基础设施，改扩建砂砾路43.5公里，建成后将极大提高此段道路的安全性和舒适性，为公路沿线乡村的经济发展提供便利的条件。</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1.项目绩效总目标</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总投资1025万元，叶城县新门卡渠4.5万亩特色产业（鲜果）基地配套道路建设等基础设施，改扩建砂砾路43.5公里，建成后将极大提高此段道路的安全性和舒适性，为公路沿线乡村的经济发展提供便利的条件。</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2.阶段性目标</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为新建项目。项目实施主要依据为《叶城县2022年第一批巩固拓展脱贫攻坚成果同乡村振兴项目实施方案》（叶党农领字〔2022〕1号）、《关于叶城县特色产业一期道路建设基础设施配套可行性研究报告（代项目建议书）的批复》叶发改〔2022〕35号。2022年3月完成项目立项审批工作，2022年4月完成招投标工作，2022年4月底开工建设，2022年12月底完成项目建设工作，完成审计结算并交付使用。项目的实施将极大提高此段道路的安全性和舒适性，为公路沿线乡村的经济发展提供便利的条件。</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二、绩效自评工作开展情况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包括自评工作开展范围、对象、时间及方式等。</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 绩效评价范围</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本次评价范围涵盖项目总体绩效目标、各项绩效指标完成情况以及预算执行情况。覆盖项目预算资金支出的所有内容进行评价。包括项目决策、项目实施和项目成果验收流程等。</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 绩效评价对象</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3.绩效评价时间</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2023年1月3日-2023年1月30日</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4. 绩效评价方法</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本次绩效评价方法的选用坚持简便有效的原则采用综合分析法。</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5. 绩效评价标准</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绩效评价标准通常包括计划标准、行业标准、历史标准等，用于对绩效指标完成情况进行比较、分析、评价。本次评价主要采用了计划标准。</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0" w:name="_Toc31464"/>
      <w:bookmarkStart w:id="1" w:name="_Toc17882"/>
      <w:r>
        <w:rPr>
          <w:rFonts w:hint="eastAsia" w:ascii="仿宋_GB2312" w:hAnsi="黑体" w:eastAsia="仿宋_GB2312" w:cstheme="minorBidi"/>
          <w:color w:val="auto"/>
          <w:kern w:val="2"/>
          <w:sz w:val="32"/>
          <w:szCs w:val="32"/>
          <w:highlight w:val="none"/>
          <w:lang w:val="en-US" w:eastAsia="zh-CN" w:bidi="ar-SA"/>
        </w:rPr>
        <w:t>计划标准：指以预先制定的目标、计划、预算、定额等作为评价标准。</w:t>
      </w:r>
      <w:bookmarkEnd w:id="0"/>
      <w:bookmarkEnd w:id="1"/>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2" w:name="_Toc2318"/>
      <w:bookmarkStart w:id="3" w:name="_Toc5633"/>
      <w:r>
        <w:rPr>
          <w:rFonts w:hint="eastAsia" w:ascii="仿宋_GB2312" w:hAnsi="黑体" w:eastAsia="仿宋_GB2312" w:cstheme="minorBidi"/>
          <w:color w:val="auto"/>
          <w:kern w:val="2"/>
          <w:sz w:val="32"/>
          <w:szCs w:val="32"/>
          <w:highlight w:val="none"/>
          <w:lang w:val="en-US" w:eastAsia="zh-CN" w:bidi="ar-SA"/>
        </w:rPr>
        <w:t>行业标准：指参照国家公布的行业指标数据制定的评价标准。</w:t>
      </w:r>
      <w:bookmarkEnd w:id="2"/>
      <w:bookmarkEnd w:id="3"/>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4" w:name="_Toc16028"/>
      <w:bookmarkStart w:id="5" w:name="_Toc430"/>
      <w:r>
        <w:rPr>
          <w:rFonts w:hint="eastAsia" w:ascii="仿宋_GB2312" w:hAnsi="黑体" w:eastAsia="仿宋_GB2312" w:cstheme="minorBidi"/>
          <w:color w:val="auto"/>
          <w:kern w:val="2"/>
          <w:sz w:val="32"/>
          <w:szCs w:val="32"/>
          <w:highlight w:val="none"/>
          <w:lang w:val="en-US" w:eastAsia="zh-CN" w:bidi="ar-SA"/>
        </w:rPr>
        <w:t>历史标准：指参照历史数据制定的评价标准，为体现绩效改进的原则，在可实现的条件下应当确定相对较高的评价标准。</w:t>
      </w:r>
      <w:bookmarkEnd w:id="4"/>
      <w:bookmarkEnd w:id="5"/>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三、绩效目标自评完成情况分析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(一）资金投入情况分析。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1.项目资金到位情况分析。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叶党农领字[2022]1号安排下达资金105万元，为衔接资金，叶财债[2022]6号安排下达资金920万元，为债券资金，最终确定项目资金总数为1025万元。</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2.项目资金执行情况分析。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Style w:val="15"/>
          <w:rFonts w:hint="eastAsia" w:ascii="仿宋_GB2312" w:hAnsi="仿宋_GB2312" w:eastAsia="仿宋_GB2312" w:cs="仿宋_GB2312"/>
          <w:b w:val="0"/>
          <w:color w:val="auto"/>
          <w:kern w:val="2"/>
          <w:sz w:val="32"/>
          <w:szCs w:val="32"/>
          <w:highlight w:val="none"/>
          <w:lang w:val="en-US" w:eastAsia="zh-CN" w:bidi="ar"/>
        </w:rPr>
      </w:pPr>
      <w:r>
        <w:rPr>
          <w:rStyle w:val="15"/>
          <w:rFonts w:hint="eastAsia" w:ascii="仿宋_GB2312" w:hAnsi="仿宋_GB2312" w:eastAsia="仿宋_GB2312" w:cs="仿宋_GB2312"/>
          <w:b w:val="0"/>
          <w:color w:val="auto"/>
          <w:kern w:val="2"/>
          <w:sz w:val="32"/>
          <w:szCs w:val="32"/>
          <w:highlight w:val="none"/>
          <w:lang w:val="en-US" w:eastAsia="zh-CN" w:bidi="ar"/>
        </w:rPr>
        <w:t>截至2022年12月31日，实际支出</w:t>
      </w:r>
      <w:r>
        <w:rPr>
          <w:rFonts w:hint="eastAsia" w:eastAsia="方正仿宋_GBK" w:cs="方正仿宋_GBK"/>
          <w:color w:val="auto"/>
          <w:sz w:val="32"/>
          <w:szCs w:val="32"/>
          <w:highlight w:val="none"/>
          <w:lang w:val="en-US" w:eastAsia="zh-CN"/>
        </w:rPr>
        <w:t>1014.12</w:t>
      </w:r>
      <w:r>
        <w:rPr>
          <w:rStyle w:val="15"/>
          <w:rFonts w:hint="eastAsia" w:ascii="仿宋_GB2312" w:hAnsi="仿宋_GB2312" w:eastAsia="仿宋_GB2312" w:cs="仿宋_GB2312"/>
          <w:b w:val="0"/>
          <w:color w:val="auto"/>
          <w:kern w:val="2"/>
          <w:sz w:val="32"/>
          <w:szCs w:val="32"/>
          <w:highlight w:val="none"/>
          <w:lang w:val="en-US" w:eastAsia="zh-CN" w:bidi="ar"/>
        </w:rPr>
        <w:t>万元，预算执行率</w:t>
      </w:r>
      <w:r>
        <w:rPr>
          <w:rStyle w:val="15"/>
          <w:rFonts w:hint="eastAsia" w:ascii="仿宋_GB2312" w:hAnsi="仿宋_GB2312" w:cs="仿宋_GB2312"/>
          <w:b w:val="0"/>
          <w:color w:val="auto"/>
          <w:kern w:val="2"/>
          <w:sz w:val="32"/>
          <w:szCs w:val="32"/>
          <w:highlight w:val="none"/>
          <w:lang w:val="en-US" w:eastAsia="zh-CN" w:bidi="ar"/>
        </w:rPr>
        <w:t>98.95</w:t>
      </w:r>
      <w:r>
        <w:rPr>
          <w:rStyle w:val="15"/>
          <w:rFonts w:hint="eastAsia" w:ascii="仿宋_GB2312" w:hAnsi="仿宋_GB2312" w:eastAsia="仿宋_GB2312" w:cs="仿宋_GB2312"/>
          <w:b w:val="0"/>
          <w:color w:val="auto"/>
          <w:kern w:val="2"/>
          <w:sz w:val="32"/>
          <w:szCs w:val="32"/>
          <w:highlight w:val="none"/>
          <w:lang w:val="en-US" w:eastAsia="zh-CN" w:bidi="ar"/>
        </w:rPr>
        <w:t>%。</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3.项目资金管理情况分析。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本项目支出符合《喀什地区财政巩固拓展脱贫攻坚成果同乡村振兴有效衔接资金管理办法（试行）》</w:t>
      </w:r>
      <w:bookmarkStart w:id="6" w:name="_GoBack"/>
      <w:bookmarkEnd w:id="6"/>
      <w:r>
        <w:rPr>
          <w:rFonts w:hint="eastAsia" w:ascii="仿宋_GB2312" w:hAnsi="黑体" w:eastAsia="仿宋_GB2312" w:cstheme="minorBidi"/>
          <w:color w:val="auto"/>
          <w:kern w:val="2"/>
          <w:sz w:val="32"/>
          <w:szCs w:val="32"/>
          <w:highlight w:val="none"/>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(二）绩效目标完成情况分析。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color w:val="auto"/>
          <w:highlight w:val="none"/>
        </w:rPr>
      </w:pPr>
      <w:r>
        <w:rPr>
          <w:rFonts w:hint="eastAsia" w:ascii="仿宋_GB2312" w:hAnsi="黑体" w:eastAsia="仿宋_GB2312"/>
          <w:b/>
          <w:bCs/>
          <w:color w:val="auto"/>
          <w:sz w:val="32"/>
          <w:szCs w:val="32"/>
          <w:highlight w:val="none"/>
        </w:rPr>
        <w:t>1.产出指标完成情况分析。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（1）对于“产出数量”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宋体" w:eastAsia="仿宋_GB2312" w:cs="Times New Roman"/>
          <w:color w:val="auto"/>
          <w:kern w:val="2"/>
          <w:sz w:val="32"/>
          <w:szCs w:val="32"/>
          <w:highlight w:val="none"/>
          <w:lang w:val="en-US" w:eastAsia="zh-CN" w:bidi="ar"/>
        </w:rPr>
      </w:pPr>
      <w:r>
        <w:rPr>
          <w:rFonts w:hint="eastAsia" w:ascii="仿宋_GB2312" w:hAnsi="黑体" w:eastAsia="仿宋_GB2312" w:cstheme="minorBidi"/>
          <w:color w:val="auto"/>
          <w:kern w:val="2"/>
          <w:sz w:val="32"/>
          <w:szCs w:val="32"/>
          <w:highlight w:val="none"/>
          <w:lang w:val="en-US" w:eastAsia="zh-CN" w:bidi="ar-SA"/>
        </w:rPr>
        <w:t>改扩建砂砾路里程43.5公里，与预期目标一致，指标标杆分值为10分，根据评分标准，该指标不扣分。得10分</w:t>
      </w:r>
      <w:r>
        <w:rPr>
          <w:rFonts w:hint="eastAsia" w:ascii="仿宋_GB2312" w:hAnsi="宋体" w:eastAsia="仿宋_GB2312" w:cs="Times New Roman"/>
          <w:color w:val="auto"/>
          <w:kern w:val="2"/>
          <w:sz w:val="32"/>
          <w:szCs w:val="32"/>
          <w:highlight w:val="none"/>
          <w:lang w:val="en-US" w:eastAsia="zh-CN" w:bidi="ar"/>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（2）对于“产出质量”：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项目验收合格率100%，与预期目标一致，指标标杆分值为10分,根据评分标准，该指标不扣分，得10分。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（3）对于“产出时效”：</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项目开工时间2022年4月，与预期目标指标一致，指标标杆分值为5分,根据评分标准，该指标不扣分，得5分。   项目完工时间2022年12月，与预期目标指标一致，指标标杆分值为5分,根据评分标准，该指标不扣分，得5分。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项目（工程）完成及时率100%，与预期目标一致，指标标杆分值为10分，根据评分标准，该指标不扣分，得10分。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合计得20分。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（4）对于“产出成本”：</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每公里道路补助标准23.56万元，实际每公里道路补助标准23.31万元，偏差原因：项目概算不精确，评审完有招标控制价，再招标资金有结余；改进措施：做好项目概算，加强项目管理，指标标杆分值为10分，根据评分标准，该指标扣0.89分，得9.11分。</w:t>
      </w:r>
    </w:p>
    <w:p>
      <w:pPr>
        <w:pStyle w:val="2"/>
        <w:keepNext w:val="0"/>
        <w:keepLines w:val="0"/>
        <w:pageBreakBefore w:val="0"/>
        <w:widowControl w:val="0"/>
        <w:kinsoku/>
        <w:overflowPunct/>
        <w:topLinePunct w:val="0"/>
        <w:autoSpaceDN/>
        <w:bidi w:val="0"/>
        <w:adjustRightInd/>
        <w:snapToGrid/>
        <w:spacing w:line="560" w:lineRule="exact"/>
        <w:textAlignment w:val="auto"/>
        <w:rPr>
          <w:rFonts w:hint="default"/>
          <w:color w:val="auto"/>
          <w:highlight w:val="none"/>
          <w:lang w:val="en-US" w:eastAsia="zh-CN"/>
        </w:rPr>
      </w:pPr>
      <w:r>
        <w:rPr>
          <w:rFonts w:hint="eastAsia" w:ascii="仿宋_GB2312" w:hAnsi="黑体" w:eastAsia="仿宋_GB2312" w:cstheme="minorBidi"/>
          <w:color w:val="auto"/>
          <w:kern w:val="2"/>
          <w:sz w:val="32"/>
          <w:szCs w:val="32"/>
          <w:highlight w:val="none"/>
          <w:lang w:val="en-US" w:eastAsia="zh-CN" w:bidi="ar-SA"/>
        </w:rPr>
        <w:t>合计得分9.11分。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2.效益指标完成情况分析。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1.实施效益指标：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（1）对于“社会效益指标”：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提高沿线公路综合运输和服务水平效果显著，与预期指标一致，指标标杆分值为7.5分，根据评分标准，该指标不扣分，得7.5分。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带动就业人口数20人，与预期指标一致，指标标杆分值为7.5分，根据评分标准，该指标不扣分，得7.5分。</w:t>
      </w:r>
    </w:p>
    <w:p>
      <w:pPr>
        <w:pStyle w:val="2"/>
        <w:keepNext w:val="0"/>
        <w:keepLines w:val="0"/>
        <w:pageBreakBefore w:val="0"/>
        <w:widowControl w:val="0"/>
        <w:kinsoku/>
        <w:overflowPunct/>
        <w:topLinePunct w:val="0"/>
        <w:autoSpaceDN/>
        <w:bidi w:val="0"/>
        <w:adjustRightInd/>
        <w:snapToGrid/>
        <w:spacing w:line="560" w:lineRule="exact"/>
        <w:textAlignment w:val="auto"/>
        <w:rPr>
          <w:rFonts w:hint="default"/>
          <w:color w:val="auto"/>
          <w:highlight w:val="none"/>
          <w:lang w:val="en-US" w:eastAsia="zh-CN"/>
        </w:rPr>
      </w:pPr>
      <w:r>
        <w:rPr>
          <w:rFonts w:hint="eastAsia" w:ascii="仿宋_GB2312" w:hAnsi="黑体" w:eastAsia="仿宋_GB2312" w:cstheme="minorBidi"/>
          <w:color w:val="auto"/>
          <w:kern w:val="2"/>
          <w:sz w:val="32"/>
          <w:szCs w:val="32"/>
          <w:highlight w:val="none"/>
          <w:lang w:val="en-US" w:eastAsia="zh-CN" w:bidi="ar-SA"/>
        </w:rPr>
        <w:t>合计得分15分。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（2）对于“经济效益指标”：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带动就业人口年收入18万元，与预期指标一致，指标标杆分值为7.5分，根据评分标准，该指标不扣分，得7.5分。</w:t>
      </w:r>
    </w:p>
    <w:p>
      <w:pPr>
        <w:pStyle w:val="2"/>
        <w:keepNext w:val="0"/>
        <w:keepLines w:val="0"/>
        <w:pageBreakBefore w:val="0"/>
        <w:widowControl w:val="0"/>
        <w:kinsoku/>
        <w:overflowPunct/>
        <w:topLinePunct w:val="0"/>
        <w:autoSpaceDN/>
        <w:bidi w:val="0"/>
        <w:adjustRightInd/>
        <w:snapToGrid/>
        <w:spacing w:line="560" w:lineRule="exac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合计得分7.5分。</w:t>
      </w:r>
    </w:p>
    <w:p>
      <w:pPr>
        <w:pStyle w:val="2"/>
        <w:keepNext w:val="0"/>
        <w:keepLines w:val="0"/>
        <w:pageBreakBefore w:val="0"/>
        <w:widowControl w:val="0"/>
        <w:numPr>
          <w:ilvl w:val="0"/>
          <w:numId w:val="1"/>
        </w:numPr>
        <w:kinsoku/>
        <w:overflowPunct/>
        <w:topLinePunct w:val="0"/>
        <w:autoSpaceDN/>
        <w:bidi w:val="0"/>
        <w:adjustRightInd/>
        <w:snapToGrid/>
        <w:spacing w:line="560" w:lineRule="exact"/>
        <w:ind w:left="0" w:leftChars="0" w:firstLine="640" w:firstLineChars="20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对于“生态效益指标”：</w:t>
      </w:r>
    </w:p>
    <w:p>
      <w:pPr>
        <w:pStyle w:val="2"/>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textAlignment w:val="auto"/>
        <w:rPr>
          <w:rFonts w:hint="default"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该项目无生态效益指标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（4）对于“可持续影响指标”：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工程设计使用年限8年，与预期指标一致，指标标杆分值为7.5分，根据评分标准，该指标不扣分，得7.5分。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实施效益指标合计得30分。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3.满意度指标完成情况分析。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对于“满意度指标：受益巩固脱贫人员满意度95%，与预期目标一致，根据评分标准，该指标不扣分,得10分。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四、偏离绩效目标的原因和下一步改进措施</w:t>
      </w:r>
    </w:p>
    <w:p>
      <w:pPr>
        <w:pStyle w:val="17"/>
        <w:pageBreakBefore w:val="0"/>
        <w:kinsoku/>
        <w:wordWrap/>
        <w:topLinePunct w:val="0"/>
        <w:autoSpaceDE/>
        <w:autoSpaceDN/>
        <w:bidi w:val="0"/>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叶城县特色产业一期道路建设基础设施配套项目预算1025万元，到位1014.20万元，实际支出1014.20万元，预算执行率为98.95%。项目绩效指标总体完成率为99.89%。无偏差。</w:t>
      </w:r>
    </w:p>
    <w:p>
      <w:pPr>
        <w:pStyle w:val="18"/>
        <w:keepNext/>
        <w:keepLines/>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方正楷体_GBK" w:hAnsi="方正楷体_GBK" w:eastAsia="方正楷体_GBK" w:cs="方正楷体_GBK"/>
          <w:b/>
          <w:bCs/>
          <w:color w:val="auto"/>
          <w:sz w:val="32"/>
          <w:highlight w:val="none"/>
        </w:rPr>
      </w:pPr>
      <w:r>
        <w:rPr>
          <w:rFonts w:hint="eastAsia" w:eastAsia="方正仿宋_GBK" w:cs="方正仿宋_GBK"/>
          <w:b/>
          <w:bCs/>
          <w:color w:val="auto"/>
          <w:kern w:val="2"/>
          <w:sz w:val="32"/>
          <w:szCs w:val="32"/>
          <w:highlight w:val="none"/>
          <w:lang w:val="en-US" w:eastAsia="zh-CN" w:bidi="ar-SA"/>
        </w:rPr>
        <w:t>五、</w:t>
      </w:r>
      <w:r>
        <w:rPr>
          <w:rFonts w:hint="eastAsia" w:ascii="Times New Roman" w:hAnsi="Times New Roman" w:eastAsia="方正仿宋_GBK" w:cs="方正仿宋_GBK"/>
          <w:b/>
          <w:bCs/>
          <w:color w:val="auto"/>
          <w:kern w:val="2"/>
          <w:sz w:val="32"/>
          <w:szCs w:val="32"/>
          <w:highlight w:val="none"/>
          <w:lang w:val="en-US" w:eastAsia="zh-CN" w:bidi="ar-SA"/>
        </w:rPr>
        <w:t>综合评价结论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pageBreakBefore w:val="0"/>
        <w:kinsoku/>
        <w:wordWrap/>
        <w:topLinePunct w:val="0"/>
        <w:autoSpaceDE/>
        <w:autoSpaceDN/>
        <w:bidi w:val="0"/>
        <w:spacing w:line="560" w:lineRule="exact"/>
        <w:ind w:firstLine="960" w:firstLineChars="300"/>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叶城县特色产业一期道路建设基础设施配套项目</w:t>
      </w:r>
      <w:r>
        <w:rPr>
          <w:rFonts w:hint="default" w:ascii="仿宋_GB2312" w:hAnsi="黑体" w:eastAsia="仿宋_GB2312" w:cstheme="minorBidi"/>
          <w:color w:val="auto"/>
          <w:kern w:val="2"/>
          <w:sz w:val="32"/>
          <w:szCs w:val="32"/>
          <w:highlight w:val="none"/>
          <w:lang w:val="en-US" w:eastAsia="zh-CN" w:bidi="ar-SA"/>
        </w:rPr>
        <w:t>已完成</w:t>
      </w:r>
      <w:r>
        <w:rPr>
          <w:rFonts w:hint="eastAsia" w:ascii="仿宋_GB2312" w:hAnsi="黑体" w:eastAsia="仿宋_GB2312" w:cstheme="minorBidi"/>
          <w:color w:val="auto"/>
          <w:kern w:val="2"/>
          <w:sz w:val="32"/>
          <w:szCs w:val="32"/>
          <w:highlight w:val="none"/>
          <w:lang w:val="en-US" w:eastAsia="zh-CN" w:bidi="ar-SA"/>
        </w:rPr>
        <w:t>，将极大提高此段道路的安全性和舒适性，为公路沿线乡村的经济发展提供便利的条件。该项目最终评分99.89分，绩效评级为“优”。</w:t>
      </w:r>
    </w:p>
    <w:p>
      <w:pPr>
        <w:keepNext w:val="0"/>
        <w:keepLines w:val="0"/>
        <w:pageBreakBefore w:val="0"/>
        <w:widowControl w:val="0"/>
        <w:numPr>
          <w:ilvl w:val="0"/>
          <w:numId w:val="0"/>
        </w:numPr>
        <w:kinsoku/>
        <w:overflowPunct/>
        <w:topLinePunct w:val="0"/>
        <w:autoSpaceDN/>
        <w:bidi w:val="0"/>
        <w:adjustRightInd/>
        <w:snapToGrid/>
        <w:spacing w:line="560" w:lineRule="exact"/>
        <w:ind w:leftChars="200"/>
        <w:jc w:val="left"/>
        <w:textAlignment w:val="auto"/>
        <w:rPr>
          <w:rFonts w:hint="eastAsia"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lang w:val="en-US" w:eastAsia="zh-CN"/>
        </w:rPr>
        <w:t>六、</w:t>
      </w:r>
      <w:r>
        <w:rPr>
          <w:rFonts w:hint="eastAsia" w:ascii="仿宋_GB2312" w:hAnsi="黑体" w:eastAsia="仿宋_GB2312"/>
          <w:b/>
          <w:color w:val="auto"/>
          <w:sz w:val="32"/>
          <w:szCs w:val="32"/>
          <w:highlight w:val="none"/>
        </w:rPr>
        <w:t>绩效自评结果拟应用和公开情况</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（一）对衔接推进乡村振兴补助资金项目、绩效公告公示情况</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按照《国务院办公厅关于印发2017年政务公开工作要点的通知》（国发办【2017】24号）、《新疆维吾尔自治区财政衔接推进乡村振兴补助资金管理办法》（新材规【2021】11号）文件要求：由叶城县财政局扶贫股核对本项目资金及建设内容、由叶城县财政局绩效评价中心于2022年1月19日对项目绩效目标在叶城县人民政府网（http://www.xjyc.gov.cn/ycx/c107308/zwgk.shtml）进行公开，项目实施前在相关乡镇进行了张榜公开，接受社会监督。</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（二）对绩效自评结果拟应用情况进行说明</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（三）对二级指标权重(分值)分配情况进行说明，赋权的方法或者原则</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p>
    <w:p>
      <w:pPr>
        <w:pStyle w:val="2"/>
        <w:keepNext w:val="0"/>
        <w:keepLines w:val="0"/>
        <w:pageBreakBefore w:val="0"/>
        <w:widowControl w:val="0"/>
        <w:numPr>
          <w:ilvl w:val="0"/>
          <w:numId w:val="0"/>
        </w:numPr>
        <w:kinsoku/>
        <w:overflowPunct/>
        <w:topLinePunct w:val="0"/>
        <w:autoSpaceDN/>
        <w:bidi w:val="0"/>
        <w:adjustRightInd/>
        <w:snapToGrid/>
        <w:spacing w:line="560" w:lineRule="exact"/>
        <w:ind w:leftChars="200"/>
        <w:textAlignment w:val="auto"/>
        <w:rPr>
          <w:color w:val="auto"/>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90F69C"/>
    <w:multiLevelType w:val="singleLevel"/>
    <w:tmpl w:val="8D90F69C"/>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A26"/>
    <w:rsid w:val="003E0379"/>
    <w:rsid w:val="0055176E"/>
    <w:rsid w:val="00F20A26"/>
    <w:rsid w:val="059A592B"/>
    <w:rsid w:val="08EC01DC"/>
    <w:rsid w:val="12A245A9"/>
    <w:rsid w:val="14653122"/>
    <w:rsid w:val="17F82735"/>
    <w:rsid w:val="187A025D"/>
    <w:rsid w:val="1937751C"/>
    <w:rsid w:val="1ABF7AF2"/>
    <w:rsid w:val="1B4D6D35"/>
    <w:rsid w:val="22E936F1"/>
    <w:rsid w:val="29EC0C5C"/>
    <w:rsid w:val="2B1E4C6A"/>
    <w:rsid w:val="2D5F13D7"/>
    <w:rsid w:val="2E51749D"/>
    <w:rsid w:val="31A02A0C"/>
    <w:rsid w:val="31AE0AA6"/>
    <w:rsid w:val="32F845BA"/>
    <w:rsid w:val="35C620E6"/>
    <w:rsid w:val="386D751C"/>
    <w:rsid w:val="3A667D78"/>
    <w:rsid w:val="3FBC3492"/>
    <w:rsid w:val="41871287"/>
    <w:rsid w:val="513E4AF0"/>
    <w:rsid w:val="54575230"/>
    <w:rsid w:val="5CEF0BA5"/>
    <w:rsid w:val="614F4951"/>
    <w:rsid w:val="651A36AB"/>
    <w:rsid w:val="7E984E50"/>
    <w:rsid w:val="BFFFA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99"/>
    <w:pPr>
      <w:spacing w:after="120"/>
      <w:ind w:left="420" w:leftChars="200"/>
    </w:pPr>
    <w:rPr>
      <w:rFonts w:cs="Times New Roman"/>
      <w:kern w:val="0"/>
      <w:szCs w:val="20"/>
    </w:rPr>
  </w:style>
  <w:style w:type="paragraph" w:styleId="7">
    <w:name w:val="annotation text"/>
    <w:basedOn w:val="1"/>
    <w:unhideWhenUsed/>
    <w:qFormat/>
    <w:uiPriority w:val="99"/>
    <w:rPr>
      <w:rFonts w:cs="Times New Roman"/>
      <w:kern w:val="0"/>
      <w:sz w:val="20"/>
      <w:szCs w:val="20"/>
    </w:rPr>
  </w:style>
  <w:style w:type="paragraph" w:styleId="8">
    <w:name w:val="Body Text"/>
    <w:basedOn w:val="1"/>
    <w:qFormat/>
    <w:uiPriority w:val="0"/>
    <w:pPr>
      <w:spacing w:before="240" w:after="240" w:line="360" w:lineRule="auto"/>
      <w:jc w:val="center"/>
    </w:pPr>
    <w:rPr>
      <w:b/>
      <w:sz w:val="44"/>
    </w:rPr>
  </w:style>
  <w:style w:type="paragraph" w:styleId="9">
    <w:name w:val="Plain Text"/>
    <w:basedOn w:val="1"/>
    <w:unhideWhenUsed/>
    <w:qFormat/>
    <w:uiPriority w:val="99"/>
    <w:rPr>
      <w:rFonts w:ascii="宋体" w:hAnsi="Courier New"/>
    </w:rPr>
  </w:style>
  <w:style w:type="paragraph" w:styleId="10">
    <w:name w:val="Body Text Indent 2"/>
    <w:basedOn w:val="1"/>
    <w:qFormat/>
    <w:uiPriority w:val="0"/>
    <w:pPr>
      <w:ind w:firstLine="280"/>
    </w:pPr>
    <w:rPr>
      <w:rFonts w:ascii="仿宋_GB2312" w:hAnsi="仿宋_GB2312" w:eastAsia="仿宋_GB2312"/>
      <w:kern w:val="1"/>
      <w:sz w:val="28"/>
    </w:rPr>
  </w:style>
  <w:style w:type="paragraph" w:styleId="11">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5">
    <w:name w:val="Strong"/>
    <w:basedOn w:val="14"/>
    <w:qFormat/>
    <w:uiPriority w:val="0"/>
    <w:rPr>
      <w:b/>
      <w:bCs/>
    </w:rPr>
  </w:style>
  <w:style w:type="paragraph" w:customStyle="1" w:styleId="16">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8">
    <w:name w:val="闻政-正文二级标题"/>
    <w:basedOn w:val="5"/>
    <w:next w:val="17"/>
    <w:qFormat/>
    <w:uiPriority w:val="3"/>
    <w:pPr>
      <w:spacing w:before="120" w:after="60" w:line="500" w:lineRule="exact"/>
      <w:ind w:left="200" w:leftChars="200" w:firstLine="0" w:firstLineChars="0"/>
    </w:pPr>
    <w:rPr>
      <w:rFonts w:ascii="Times New Roman" w:hAnsi="Times New Roman"/>
      <w:sz w:val="28"/>
    </w:rPr>
  </w:style>
  <w:style w:type="paragraph" w:customStyle="1" w:styleId="19">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52</Words>
  <Characters>301</Characters>
  <Lines>2</Lines>
  <Paragraphs>1</Paragraphs>
  <TotalTime>0</TotalTime>
  <ScaleCrop>false</ScaleCrop>
  <LinksUpToDate>false</LinksUpToDate>
  <CharactersWithSpaces>352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2019-10-08T13:02:00Z</dcterms:created>
  <dc:creator>姜波</dc:creator>
  <cp:lastModifiedBy>Administrator</cp:lastModifiedBy>
  <dcterms:modified xsi:type="dcterms:W3CDTF">2025-02-13T08:08:00Z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