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b/>
          <w:bCs/>
          <w:color w:val="000000"/>
          <w:sz w:val="36"/>
          <w:szCs w:val="36"/>
          <w:highlight w:val="none"/>
          <w:lang w:eastAsia="zh-CN"/>
        </w:rPr>
      </w:pPr>
      <w:r>
        <w:rPr>
          <w:rFonts w:hint="eastAsia" w:ascii="黑体" w:hAnsi="黑体" w:eastAsia="黑体"/>
          <w:b/>
          <w:bCs/>
          <w:color w:val="000000"/>
          <w:sz w:val="36"/>
          <w:szCs w:val="36"/>
          <w:highlight w:val="none"/>
          <w:lang w:eastAsia="zh-CN"/>
        </w:rPr>
        <w:t>叶城县特色产业基地保尔水库放水渠下段项目支出绩效</w:t>
      </w:r>
      <w:r>
        <w:rPr>
          <w:rFonts w:hint="eastAsia" w:ascii="黑体" w:hAnsi="黑体" w:eastAsia="黑体"/>
          <w:b/>
          <w:bCs/>
          <w:color w:val="000000"/>
          <w:sz w:val="36"/>
          <w:szCs w:val="36"/>
          <w:highlight w:val="none"/>
          <w:lang w:val="en-US" w:eastAsia="zh-CN"/>
        </w:rPr>
        <w:t>自评总结</w:t>
      </w:r>
      <w:r>
        <w:rPr>
          <w:rFonts w:hint="eastAsia" w:ascii="黑体" w:hAnsi="黑体" w:eastAsia="黑体"/>
          <w:b/>
          <w:bCs/>
          <w:color w:val="000000"/>
          <w:sz w:val="36"/>
          <w:szCs w:val="36"/>
          <w:highlight w:val="none"/>
          <w:lang w:eastAsia="zh-CN"/>
        </w:rPr>
        <w:t>报告</w:t>
      </w:r>
    </w:p>
    <w:p>
      <w:pPr>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Times New Roman" w:hAnsi="Times New Roman" w:eastAsia="方正仿宋_GBK" w:cs="方正仿宋_GBK"/>
          <w:b/>
          <w:color w:val="auto"/>
          <w:kern w:val="0"/>
          <w:sz w:val="32"/>
          <w:szCs w:val="32"/>
          <w:highlight w:val="none"/>
          <w:lang w:bidi="en-US"/>
        </w:rPr>
      </w:pPr>
    </w:p>
    <w:p>
      <w:pPr>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Times New Roman" w:hAnsi="Times New Roman" w:eastAsia="方正仿宋_GBK" w:cs="方正仿宋_GBK"/>
          <w:b/>
          <w:color w:val="auto"/>
          <w:kern w:val="0"/>
          <w:sz w:val="32"/>
          <w:szCs w:val="32"/>
          <w:highlight w:val="none"/>
          <w:lang w:bidi="en-US"/>
        </w:rPr>
      </w:pPr>
    </w:p>
    <w:p>
      <w:pPr>
        <w:pStyle w:val="7"/>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方正仿宋_GBK" w:cs="方正仿宋_GBK"/>
          <w:b/>
          <w:color w:val="auto"/>
          <w:kern w:val="0"/>
          <w:sz w:val="32"/>
          <w:szCs w:val="32"/>
          <w:highlight w:val="none"/>
          <w:lang w:bidi="en-US"/>
        </w:rPr>
      </w:pPr>
    </w:p>
    <w:p>
      <w:pPr>
        <w:pageBreakBefore w:val="0"/>
        <w:widowControl w:val="0"/>
        <w:kinsoku/>
        <w:overflowPunct/>
        <w:topLinePunct w:val="0"/>
        <w:autoSpaceDN/>
        <w:bidi w:val="0"/>
        <w:adjustRightInd/>
        <w:snapToGrid/>
        <w:spacing w:line="560" w:lineRule="exact"/>
        <w:textAlignment w:val="auto"/>
        <w:rPr>
          <w:rFonts w:hint="eastAsia"/>
          <w:color w:val="auto"/>
          <w:highlight w:val="none"/>
        </w:rPr>
      </w:pPr>
    </w:p>
    <w:p>
      <w:pPr>
        <w:pStyle w:val="2"/>
        <w:pageBreakBefore w:val="0"/>
        <w:widowControl w:val="0"/>
        <w:kinsoku/>
        <w:overflowPunct/>
        <w:topLinePunct w:val="0"/>
        <w:autoSpaceDN/>
        <w:bidi w:val="0"/>
        <w:adjustRightInd/>
        <w:snapToGrid/>
        <w:spacing w:line="560" w:lineRule="exact"/>
        <w:textAlignment w:val="auto"/>
        <w:rPr>
          <w:rFonts w:hint="eastAsia" w:eastAsiaTheme="minorEastAsia"/>
          <w:highlight w:val="none"/>
          <w:lang w:eastAsia="zh-CN"/>
        </w:rPr>
      </w:pPr>
    </w:p>
    <w:p>
      <w:pPr>
        <w:pStyle w:val="2"/>
        <w:pageBreakBefore w:val="0"/>
        <w:widowControl w:val="0"/>
        <w:kinsoku/>
        <w:overflowPunct/>
        <w:topLinePunct w:val="0"/>
        <w:autoSpaceDN/>
        <w:bidi w:val="0"/>
        <w:adjustRightInd/>
        <w:snapToGrid/>
        <w:spacing w:line="560" w:lineRule="exact"/>
        <w:textAlignment w:val="auto"/>
        <w:rPr>
          <w:rFonts w:hint="eastAsia" w:eastAsiaTheme="minorEastAsia"/>
          <w:highlight w:val="none"/>
          <w:lang w:eastAsia="zh-CN"/>
        </w:rPr>
      </w:pPr>
    </w:p>
    <w:p>
      <w:pPr>
        <w:pStyle w:val="2"/>
        <w:pageBreakBefore w:val="0"/>
        <w:widowControl w:val="0"/>
        <w:kinsoku/>
        <w:overflowPunct/>
        <w:topLinePunct w:val="0"/>
        <w:autoSpaceDN/>
        <w:bidi w:val="0"/>
        <w:adjustRightInd/>
        <w:snapToGrid/>
        <w:spacing w:line="560" w:lineRule="exact"/>
        <w:textAlignment w:val="auto"/>
        <w:rPr>
          <w:rFonts w:hint="eastAsia" w:eastAsiaTheme="minorEastAsia"/>
          <w:highlight w:val="none"/>
          <w:lang w:eastAsia="zh-CN"/>
        </w:rPr>
      </w:pPr>
    </w:p>
    <w:p>
      <w:pPr>
        <w:pageBreakBefore w:val="0"/>
        <w:widowControl w:val="0"/>
        <w:kinsoku/>
        <w:wordWrap/>
        <w:overflowPunct/>
        <w:topLinePunct w:val="0"/>
        <w:autoSpaceDE/>
        <w:autoSpaceDN/>
        <w:bidi w:val="0"/>
        <w:adjustRightInd/>
        <w:snapToGrid/>
        <w:spacing w:line="560" w:lineRule="exact"/>
        <w:textAlignment w:val="auto"/>
        <w:rPr>
          <w:rFonts w:hint="eastAsia"/>
          <w:color w:val="auto"/>
          <w:highlight w:val="none"/>
        </w:rPr>
      </w:pPr>
    </w:p>
    <w:p>
      <w:pPr>
        <w:pageBreakBefore w:val="0"/>
        <w:widowControl w:val="0"/>
        <w:kinsoku/>
        <w:wordWrap/>
        <w:overflowPunct/>
        <w:topLinePunct w:val="0"/>
        <w:autoSpaceDE/>
        <w:autoSpaceDN/>
        <w:bidi w:val="0"/>
        <w:adjustRightInd/>
        <w:snapToGrid/>
        <w:spacing w:line="560" w:lineRule="exact"/>
        <w:ind w:firstLine="0" w:firstLineChars="0"/>
        <w:jc w:val="both"/>
        <w:textAlignment w:val="auto"/>
        <w:rPr>
          <w:rFonts w:hint="eastAsia" w:ascii="Times New Roman" w:hAnsi="Times New Roman" w:eastAsia="方正仿宋_GBK" w:cs="方正仿宋_GBK"/>
          <w:color w:val="auto"/>
          <w:kern w:val="0"/>
          <w:sz w:val="32"/>
          <w:szCs w:val="32"/>
          <w:highlight w:val="none"/>
          <w:lang w:bidi="en-US"/>
        </w:rPr>
      </w:pPr>
    </w:p>
    <w:p>
      <w:pPr>
        <w:pageBreakBefore w:val="0"/>
        <w:widowControl w:val="0"/>
        <w:kinsoku/>
        <w:wordWrap/>
        <w:overflowPunct/>
        <w:topLinePunct w:val="0"/>
        <w:autoSpaceDE/>
        <w:autoSpaceDN/>
        <w:bidi w:val="0"/>
        <w:adjustRightInd/>
        <w:snapToGrid/>
        <w:spacing w:line="560" w:lineRule="exact"/>
        <w:ind w:firstLine="1411" w:firstLineChars="441"/>
        <w:jc w:val="left"/>
        <w:textAlignment w:val="auto"/>
        <w:rPr>
          <w:rFonts w:hint="default" w:ascii="仿宋_GB2312" w:hAnsi="黑体" w:eastAsia="仿宋_GB2312" w:cstheme="minorBidi"/>
          <w:color w:val="000000"/>
          <w:kern w:val="2"/>
          <w:sz w:val="32"/>
          <w:szCs w:val="32"/>
          <w:highlight w:val="none"/>
          <w:lang w:val="en-US" w:eastAsia="zh-CN" w:bidi="ar-SA"/>
        </w:rPr>
      </w:pPr>
      <w:r>
        <w:rPr>
          <w:rFonts w:hint="eastAsia" w:ascii="仿宋_GB2312" w:hAnsi="黑体" w:eastAsia="仿宋_GB2312" w:cstheme="minorBidi"/>
          <w:color w:val="000000"/>
          <w:kern w:val="2"/>
          <w:sz w:val="32"/>
          <w:szCs w:val="32"/>
          <w:highlight w:val="none"/>
          <w:lang w:val="en-US" w:eastAsia="zh-CN" w:bidi="ar-SA"/>
        </w:rPr>
        <w:t>项目名称：叶城县特色产业基地保尔水库放水渠下段项目</w:t>
      </w:r>
    </w:p>
    <w:p>
      <w:pPr>
        <w:pageBreakBefore w:val="0"/>
        <w:widowControl w:val="0"/>
        <w:kinsoku/>
        <w:wordWrap/>
        <w:overflowPunct/>
        <w:topLinePunct w:val="0"/>
        <w:autoSpaceDE/>
        <w:autoSpaceDN/>
        <w:bidi w:val="0"/>
        <w:adjustRightInd/>
        <w:snapToGrid/>
        <w:spacing w:line="560" w:lineRule="exact"/>
        <w:ind w:firstLine="1411" w:firstLineChars="441"/>
        <w:jc w:val="left"/>
        <w:textAlignment w:val="auto"/>
        <w:rPr>
          <w:rFonts w:hint="eastAsia" w:ascii="仿宋_GB2312" w:hAnsi="黑体" w:eastAsia="仿宋_GB2312" w:cstheme="minorBidi"/>
          <w:color w:val="000000"/>
          <w:kern w:val="2"/>
          <w:sz w:val="32"/>
          <w:szCs w:val="32"/>
          <w:highlight w:val="none"/>
          <w:lang w:val="en-US" w:eastAsia="zh-CN" w:bidi="ar-SA"/>
        </w:rPr>
      </w:pPr>
      <w:r>
        <w:rPr>
          <w:rFonts w:hint="eastAsia" w:ascii="仿宋_GB2312" w:hAnsi="黑体" w:eastAsia="仿宋_GB2312" w:cstheme="minorBidi"/>
          <w:color w:val="000000"/>
          <w:kern w:val="2"/>
          <w:sz w:val="32"/>
          <w:szCs w:val="32"/>
          <w:highlight w:val="none"/>
          <w:lang w:val="en-US" w:eastAsia="zh-CN" w:bidi="ar-SA"/>
        </w:rPr>
        <w:t>项目单位：叶城县农业农村局</w:t>
      </w:r>
    </w:p>
    <w:p>
      <w:pPr>
        <w:pageBreakBefore w:val="0"/>
        <w:widowControl w:val="0"/>
        <w:kinsoku/>
        <w:wordWrap/>
        <w:overflowPunct/>
        <w:topLinePunct w:val="0"/>
        <w:autoSpaceDE/>
        <w:autoSpaceDN/>
        <w:bidi w:val="0"/>
        <w:adjustRightInd/>
        <w:snapToGrid/>
        <w:spacing w:line="560" w:lineRule="exact"/>
        <w:ind w:firstLine="1411" w:firstLineChars="441"/>
        <w:jc w:val="left"/>
        <w:textAlignment w:val="auto"/>
        <w:rPr>
          <w:rFonts w:hint="eastAsia" w:ascii="仿宋_GB2312" w:hAnsi="黑体" w:eastAsia="仿宋_GB2312" w:cstheme="minorBidi"/>
          <w:color w:val="000000"/>
          <w:kern w:val="2"/>
          <w:sz w:val="32"/>
          <w:szCs w:val="32"/>
          <w:highlight w:val="none"/>
          <w:lang w:val="en-US" w:eastAsia="zh-CN" w:bidi="ar-SA"/>
        </w:rPr>
      </w:pPr>
      <w:r>
        <w:rPr>
          <w:rFonts w:hint="eastAsia" w:ascii="仿宋_GB2312" w:hAnsi="黑体" w:eastAsia="仿宋_GB2312" w:cstheme="minorBidi"/>
          <w:color w:val="000000"/>
          <w:kern w:val="2"/>
          <w:sz w:val="32"/>
          <w:szCs w:val="32"/>
          <w:highlight w:val="none"/>
          <w:lang w:val="en-US" w:eastAsia="zh-CN" w:bidi="ar-SA"/>
        </w:rPr>
        <w:t>主管部门：叶城县水利局</w:t>
      </w:r>
    </w:p>
    <w:p>
      <w:pPr>
        <w:pageBreakBefore w:val="0"/>
        <w:widowControl w:val="0"/>
        <w:kinsoku/>
        <w:wordWrap/>
        <w:overflowPunct/>
        <w:topLinePunct w:val="0"/>
        <w:autoSpaceDE/>
        <w:autoSpaceDN/>
        <w:bidi w:val="0"/>
        <w:adjustRightInd/>
        <w:snapToGrid/>
        <w:spacing w:line="560" w:lineRule="exact"/>
        <w:ind w:firstLine="1411" w:firstLineChars="441"/>
        <w:jc w:val="left"/>
        <w:textAlignment w:val="auto"/>
        <w:rPr>
          <w:rFonts w:hint="default" w:ascii="仿宋_GB2312" w:hAnsi="黑体" w:eastAsia="仿宋_GB2312" w:cstheme="minorBidi"/>
          <w:color w:val="000000"/>
          <w:kern w:val="2"/>
          <w:sz w:val="32"/>
          <w:szCs w:val="32"/>
          <w:highlight w:val="none"/>
          <w:lang w:val="en-US" w:eastAsia="zh-CN" w:bidi="ar-SA"/>
        </w:rPr>
      </w:pPr>
      <w:r>
        <w:rPr>
          <w:rFonts w:hint="eastAsia" w:ascii="仿宋_GB2312" w:hAnsi="黑体" w:eastAsia="仿宋_GB2312" w:cstheme="minorBidi"/>
          <w:color w:val="000000"/>
          <w:kern w:val="2"/>
          <w:sz w:val="32"/>
          <w:szCs w:val="32"/>
          <w:highlight w:val="none"/>
          <w:lang w:val="en-US" w:eastAsia="zh-CN" w:bidi="ar-SA"/>
        </w:rPr>
        <w:t>项目负责人：辛玉保</w:t>
      </w:r>
    </w:p>
    <w:p>
      <w:pPr>
        <w:pageBreakBefore w:val="0"/>
        <w:widowControl w:val="0"/>
        <w:kinsoku/>
        <w:wordWrap/>
        <w:overflowPunct/>
        <w:topLinePunct w:val="0"/>
        <w:autoSpaceDE/>
        <w:autoSpaceDN/>
        <w:bidi w:val="0"/>
        <w:adjustRightInd/>
        <w:snapToGrid/>
        <w:spacing w:line="560" w:lineRule="exact"/>
        <w:ind w:firstLine="1411" w:firstLineChars="441"/>
        <w:jc w:val="left"/>
        <w:textAlignment w:val="auto"/>
        <w:rPr>
          <w:rFonts w:hint="eastAsia" w:ascii="仿宋_GB2312" w:hAnsi="黑体" w:eastAsia="仿宋_GB2312" w:cstheme="minorBidi"/>
          <w:color w:val="000000"/>
          <w:kern w:val="2"/>
          <w:sz w:val="32"/>
          <w:szCs w:val="32"/>
          <w:highlight w:val="none"/>
          <w:lang w:val="en-US" w:eastAsia="zh-CN" w:bidi="ar-SA"/>
        </w:rPr>
      </w:pPr>
      <w:r>
        <w:rPr>
          <w:rFonts w:hint="eastAsia" w:ascii="仿宋_GB2312" w:hAnsi="黑体" w:eastAsia="仿宋_GB2312" w:cstheme="minorBidi"/>
          <w:color w:val="000000"/>
          <w:kern w:val="2"/>
          <w:sz w:val="32"/>
          <w:szCs w:val="32"/>
          <w:highlight w:val="none"/>
          <w:lang w:val="en-US" w:eastAsia="zh-CN" w:bidi="ar-SA"/>
        </w:rPr>
        <w:t>填报时间：  2023年1月 15 日</w:t>
      </w:r>
    </w:p>
    <w:p>
      <w:pPr>
        <w:pStyle w:val="4"/>
        <w:keepNext/>
        <w:keepLines/>
        <w:pageBreakBefore w:val="0"/>
        <w:widowControl w:val="0"/>
        <w:kinsoku/>
        <w:wordWrap/>
        <w:overflowPunct/>
        <w:topLinePunct w:val="0"/>
        <w:autoSpaceDE/>
        <w:autoSpaceDN/>
        <w:bidi w:val="0"/>
        <w:adjustRightInd/>
        <w:snapToGrid/>
        <w:spacing w:before="0" w:after="0" w:line="560" w:lineRule="exact"/>
        <w:textAlignment w:val="auto"/>
        <w:rPr>
          <w:rFonts w:hint="eastAsia" w:ascii="仿宋_GB2312" w:hAnsi="黑体" w:eastAsia="仿宋_GB2312" w:cstheme="minorBidi"/>
          <w:color w:val="000000"/>
          <w:kern w:val="2"/>
          <w:sz w:val="32"/>
          <w:szCs w:val="32"/>
          <w:highlight w:val="none"/>
          <w:lang w:val="en-US" w:eastAsia="zh-CN" w:bidi="ar-SA"/>
        </w:rPr>
        <w:sectPr>
          <w:headerReference r:id="rId3" w:type="default"/>
          <w:footerReference r:id="rId4" w:type="default"/>
          <w:pgSz w:w="11906" w:h="16838"/>
          <w:pgMar w:top="1984" w:right="1531" w:bottom="1701" w:left="1531" w:header="851" w:footer="992" w:gutter="0"/>
          <w:pgNumType w:fmt="decimal" w:start="1"/>
          <w:cols w:space="720" w:num="1"/>
          <w:rtlGutter w:val="0"/>
          <w:docGrid w:type="lines" w:linePitch="386" w:charSpace="0"/>
        </w:sectPr>
      </w:pPr>
    </w:p>
    <w:p>
      <w:pPr>
        <w:pageBreakBefore w:val="0"/>
        <w:widowControl w:val="0"/>
        <w:kinsoku/>
        <w:overflowPunct/>
        <w:topLinePunct w:val="0"/>
        <w:autoSpaceDN/>
        <w:bidi w:val="0"/>
        <w:adjustRightInd/>
        <w:snapToGrid/>
        <w:spacing w:line="560" w:lineRule="exact"/>
        <w:ind w:firstLine="643" w:firstLineChars="200"/>
        <w:jc w:val="center"/>
        <w:textAlignment w:val="auto"/>
        <w:rPr>
          <w:rFonts w:ascii="黑体" w:hAnsi="黑体" w:eastAsia="黑体"/>
          <w:b/>
          <w:bCs/>
          <w:color w:val="000000"/>
          <w:sz w:val="32"/>
          <w:szCs w:val="32"/>
          <w:highlight w:val="none"/>
        </w:rPr>
      </w:pPr>
      <w:r>
        <w:rPr>
          <w:rFonts w:hint="eastAsia" w:ascii="黑体" w:hAnsi="黑体" w:eastAsia="黑体"/>
          <w:b/>
          <w:bCs/>
          <w:color w:val="000000"/>
          <w:sz w:val="32"/>
          <w:szCs w:val="32"/>
          <w:highlight w:val="none"/>
          <w:lang w:val="en-US" w:eastAsia="zh-CN"/>
        </w:rPr>
        <w:t>叶城县农业农村局2022</w:t>
      </w:r>
      <w:r>
        <w:rPr>
          <w:rFonts w:hint="eastAsia" w:ascii="黑体" w:hAnsi="黑体" w:eastAsia="黑体"/>
          <w:b/>
          <w:bCs/>
          <w:color w:val="000000"/>
          <w:sz w:val="32"/>
          <w:szCs w:val="32"/>
          <w:highlight w:val="none"/>
        </w:rPr>
        <w:t>年</w:t>
      </w:r>
      <w:r>
        <w:rPr>
          <w:rFonts w:hint="eastAsia" w:ascii="黑体" w:hAnsi="黑体" w:eastAsia="黑体"/>
          <w:b/>
          <w:bCs/>
          <w:color w:val="000000"/>
          <w:sz w:val="32"/>
          <w:szCs w:val="32"/>
          <w:highlight w:val="none"/>
          <w:lang w:eastAsia="zh-CN"/>
        </w:rPr>
        <w:t>财政衔接推进乡村振兴补助资金</w:t>
      </w:r>
      <w:r>
        <w:rPr>
          <w:rFonts w:hint="eastAsia" w:ascii="黑体" w:hAnsi="黑体" w:eastAsia="黑体"/>
          <w:b/>
          <w:bCs/>
          <w:color w:val="000000"/>
          <w:sz w:val="32"/>
          <w:szCs w:val="32"/>
          <w:highlight w:val="none"/>
        </w:rPr>
        <w:t>资金绩效自评总结报告</w:t>
      </w:r>
    </w:p>
    <w:p>
      <w:pPr>
        <w:pageBreakBefore w:val="0"/>
        <w:widowControl w:val="0"/>
        <w:kinsoku/>
        <w:overflowPunct/>
        <w:topLinePunct w:val="0"/>
        <w:autoSpaceDN/>
        <w:bidi w:val="0"/>
        <w:adjustRightInd/>
        <w:snapToGrid/>
        <w:spacing w:line="560" w:lineRule="exact"/>
        <w:ind w:firstLine="643" w:firstLineChars="200"/>
        <w:jc w:val="left"/>
        <w:textAlignment w:val="auto"/>
        <w:rPr>
          <w:rFonts w:ascii="仿宋_GB2312" w:hAnsi="黑体" w:eastAsia="仿宋_GB2312"/>
          <w:b/>
          <w:color w:val="000000"/>
          <w:sz w:val="32"/>
          <w:szCs w:val="32"/>
          <w:highlight w:val="none"/>
        </w:rPr>
      </w:pPr>
      <w:r>
        <w:rPr>
          <w:rFonts w:hint="eastAsia" w:ascii="仿宋_GB2312" w:hAnsi="黑体" w:eastAsia="仿宋_GB2312"/>
          <w:b/>
          <w:color w:val="000000"/>
          <w:sz w:val="32"/>
          <w:szCs w:val="32"/>
          <w:highlight w:val="none"/>
        </w:rPr>
        <w:t>一、绩效目标分解下达情况</w:t>
      </w:r>
    </w:p>
    <w:p>
      <w:pPr>
        <w:pageBreakBefore w:val="0"/>
        <w:widowControl w:val="0"/>
        <w:kinsoku/>
        <w:overflowPunct/>
        <w:topLinePunct w:val="0"/>
        <w:autoSpaceDN/>
        <w:bidi w:val="0"/>
        <w:adjustRightInd/>
        <w:snapToGrid/>
        <w:spacing w:line="560" w:lineRule="exact"/>
        <w:ind w:firstLine="643" w:firstLineChars="200"/>
        <w:jc w:val="left"/>
        <w:textAlignment w:val="auto"/>
        <w:rPr>
          <w:rFonts w:hint="eastAsia" w:ascii="仿宋_GB2312" w:hAnsi="黑体" w:eastAsia="仿宋_GB2312"/>
          <w:b/>
          <w:bCs/>
          <w:color w:val="000000"/>
          <w:sz w:val="32"/>
          <w:szCs w:val="32"/>
          <w:highlight w:val="none"/>
        </w:rPr>
      </w:pPr>
      <w:r>
        <w:rPr>
          <w:rFonts w:hint="eastAsia" w:ascii="仿宋_GB2312" w:hAnsi="黑体" w:eastAsia="仿宋_GB2312"/>
          <w:b/>
          <w:bCs/>
          <w:color w:val="000000"/>
          <w:sz w:val="32"/>
          <w:szCs w:val="32"/>
          <w:highlight w:val="none"/>
        </w:rPr>
        <w:t>1.</w:t>
      </w:r>
      <w:r>
        <w:rPr>
          <w:rFonts w:hint="eastAsia" w:ascii="仿宋_GB2312" w:hAnsi="黑体" w:eastAsia="仿宋_GB2312"/>
          <w:b/>
          <w:bCs/>
          <w:color w:val="000000"/>
          <w:sz w:val="32"/>
          <w:szCs w:val="32"/>
          <w:highlight w:val="none"/>
          <w:lang w:eastAsia="zh-CN"/>
        </w:rPr>
        <w:t>财政衔接推进乡村振兴补助资金</w:t>
      </w:r>
      <w:r>
        <w:rPr>
          <w:rFonts w:hint="eastAsia" w:ascii="仿宋_GB2312" w:hAnsi="黑体" w:eastAsia="仿宋_GB2312"/>
          <w:b/>
          <w:bCs/>
          <w:color w:val="000000"/>
          <w:sz w:val="32"/>
          <w:szCs w:val="32"/>
          <w:highlight w:val="none"/>
        </w:rPr>
        <w:t>资金下达预算及项目情况。</w:t>
      </w:r>
    </w:p>
    <w:p>
      <w:pPr>
        <w:pageBreakBefore w:val="0"/>
        <w:widowControl w:val="0"/>
        <w:numPr>
          <w:ilvl w:val="0"/>
          <w:numId w:val="0"/>
        </w:numPr>
        <w:kinsoku/>
        <w:overflowPunct/>
        <w:topLinePunct w:val="0"/>
        <w:autoSpaceDN/>
        <w:bidi w:val="0"/>
        <w:adjustRightInd/>
        <w:snapToGrid/>
        <w:spacing w:line="560" w:lineRule="exact"/>
        <w:ind w:firstLine="640" w:firstLineChars="200"/>
        <w:jc w:val="left"/>
        <w:textAlignment w:val="auto"/>
        <w:rPr>
          <w:rFonts w:hint="eastAsia" w:ascii="仿宋_GB2312" w:hAnsi="黑体" w:eastAsia="仿宋_GB2312" w:cstheme="minorBidi"/>
          <w:color w:val="000000"/>
          <w:kern w:val="2"/>
          <w:sz w:val="32"/>
          <w:szCs w:val="32"/>
          <w:highlight w:val="none"/>
          <w:lang w:val="en-US" w:eastAsia="zh-CN" w:bidi="ar-SA"/>
        </w:rPr>
      </w:pPr>
      <w:r>
        <w:rPr>
          <w:rFonts w:hint="eastAsia" w:ascii="仿宋_GB2312" w:hAnsi="黑体" w:eastAsia="仿宋_GB2312" w:cstheme="minorBidi"/>
          <w:color w:val="000000"/>
          <w:kern w:val="2"/>
          <w:sz w:val="32"/>
          <w:szCs w:val="32"/>
          <w:highlight w:val="none"/>
          <w:lang w:val="en-US" w:eastAsia="zh-CN" w:bidi="ar-SA"/>
        </w:rPr>
        <w:t>根据《关于下达2022年自治区财政衔接推进乡村振兴补助资金预算的通知》（新财振〔2022〕18号），下达2022年自治区财政衔接推进乡村振兴补助资金，叶城县特色产业基地保尔水库放水渠下段项目，项目总投资为3022.01万元，通过该项目的实施，建成后可改善灌区的灌溉条件和生态环境，促进灌区经济发展。改善灌区的放水条件。渠道经过多年运行，存在诸多问题，已严重制约了本灌区的农业生产发展，并严重阻碍了该灌区的经济发展和人民群众生活水平的进一步提高。由于渠道上段处于戈壁滩，受山洪影响，渠线极不规整，随着灌区社会经济发展和人口的不断增加，灌区需水量不断增加，渠道上段在修建后并未能按设计流量对灌区进行输水，这就造成了灌区缺水严重现象，渠道受山洪影响经常被冲毁，需耗费人力物力进行修补，不但影响灌区正常引水，也对灌区管理工作也带来了很多困难。项目建设有利于带动农民增收，促进社会主义新农村建设。社会主义新农村建设，根本出发点在于农民经济发展，收入增加。灌区是少数民族聚居地，生产以农业为主，经济基础薄弱，财政困难，灌区人民群众的收入低于自治区的平均水平，属经济不发达的地区。边疆地区的民族团结，社会政治稳定，关系到地区安定团结的大局。项目的建设，可改善农业生产基础条件，为农民脱贫致富，增加经济收入创造条件，对叶城县的精神文明建设和物质文明建设起到积极的推动作用，从而有利于促进边疆地区的政治稳定，安定团结。有利于水资源的合理利用，有利于灌区用水管理。</w:t>
      </w:r>
    </w:p>
    <w:p>
      <w:pPr>
        <w:pageBreakBefore w:val="0"/>
        <w:widowControl w:val="0"/>
        <w:numPr>
          <w:ilvl w:val="0"/>
          <w:numId w:val="0"/>
        </w:numPr>
        <w:kinsoku/>
        <w:overflowPunct/>
        <w:topLinePunct w:val="0"/>
        <w:autoSpaceDN/>
        <w:bidi w:val="0"/>
        <w:adjustRightInd/>
        <w:snapToGrid/>
        <w:spacing w:line="560" w:lineRule="exact"/>
        <w:ind w:firstLine="643" w:firstLineChars="200"/>
        <w:jc w:val="left"/>
        <w:textAlignment w:val="auto"/>
        <w:rPr>
          <w:rFonts w:hint="eastAsia" w:ascii="仿宋_GB2312" w:hAnsi="黑体" w:eastAsia="仿宋_GB2312" w:cstheme="minorBidi"/>
          <w:color w:val="000000"/>
          <w:kern w:val="2"/>
          <w:sz w:val="32"/>
          <w:szCs w:val="32"/>
          <w:highlight w:val="none"/>
          <w:lang w:val="en-US" w:eastAsia="zh-CN" w:bidi="ar-SA"/>
        </w:rPr>
      </w:pPr>
      <w:r>
        <w:rPr>
          <w:rFonts w:hint="eastAsia" w:ascii="仿宋_GB2312" w:hAnsi="黑体" w:eastAsia="仿宋_GB2312"/>
          <w:b/>
          <w:bCs/>
          <w:color w:val="000000"/>
          <w:sz w:val="32"/>
          <w:szCs w:val="32"/>
          <w:highlight w:val="none"/>
          <w:lang w:val="en-US" w:eastAsia="zh-CN"/>
        </w:rPr>
        <w:t>2.</w:t>
      </w:r>
      <w:r>
        <w:rPr>
          <w:rFonts w:hint="eastAsia" w:ascii="仿宋_GB2312" w:hAnsi="黑体" w:eastAsia="仿宋_GB2312"/>
          <w:b/>
          <w:bCs/>
          <w:color w:val="000000"/>
          <w:sz w:val="32"/>
          <w:szCs w:val="32"/>
          <w:highlight w:val="none"/>
          <w:lang w:eastAsia="zh-CN"/>
        </w:rPr>
        <w:t>财政衔接推进乡村振兴补助资金</w:t>
      </w:r>
      <w:r>
        <w:rPr>
          <w:rFonts w:hint="eastAsia" w:ascii="仿宋_GB2312" w:hAnsi="黑体" w:eastAsia="仿宋_GB2312"/>
          <w:b/>
          <w:bCs/>
          <w:color w:val="000000"/>
          <w:sz w:val="32"/>
          <w:szCs w:val="32"/>
          <w:highlight w:val="none"/>
        </w:rPr>
        <w:t>资金项目绩效目标设定情况。</w:t>
      </w:r>
    </w:p>
    <w:p>
      <w:pPr>
        <w:pageBreakBefore w:val="0"/>
        <w:widowControl w:val="0"/>
        <w:numPr>
          <w:ilvl w:val="0"/>
          <w:numId w:val="0"/>
        </w:numPr>
        <w:kinsoku/>
        <w:overflowPunct/>
        <w:topLinePunct w:val="0"/>
        <w:autoSpaceDN/>
        <w:bidi w:val="0"/>
        <w:adjustRightInd/>
        <w:snapToGrid/>
        <w:spacing w:line="560" w:lineRule="exact"/>
        <w:ind w:firstLine="640" w:firstLineChars="200"/>
        <w:jc w:val="left"/>
        <w:textAlignment w:val="auto"/>
        <w:rPr>
          <w:rFonts w:hint="eastAsia" w:ascii="仿宋_GB2312" w:hAnsi="黑体" w:eastAsia="仿宋_GB2312" w:cstheme="minorBidi"/>
          <w:color w:val="000000"/>
          <w:kern w:val="2"/>
          <w:sz w:val="32"/>
          <w:szCs w:val="32"/>
          <w:highlight w:val="none"/>
          <w:lang w:val="en-US" w:eastAsia="zh-CN" w:bidi="ar-SA"/>
        </w:rPr>
      </w:pPr>
      <w:r>
        <w:rPr>
          <w:rFonts w:hint="eastAsia" w:ascii="仿宋_GB2312" w:hAnsi="黑体" w:eastAsia="仿宋_GB2312" w:cstheme="minorBidi"/>
          <w:color w:val="000000"/>
          <w:kern w:val="2"/>
          <w:sz w:val="32"/>
          <w:szCs w:val="32"/>
          <w:highlight w:val="none"/>
          <w:lang w:val="en-US" w:eastAsia="zh-CN" w:bidi="ar-SA"/>
        </w:rPr>
        <w:t>根据叶城县发改委经叶发改【2022】382号文批复，本项目建设内容为防渗衬砌改建长度5.488km，设计流量为4-5立方米每秒，配套改建18座渠系建筑物。本项目建设期为2022年，即2022年9月－2021年12月。计划在2022年9月完成合同签订及施工临建及其他各项准备工作，2022年10月至2022年12月完成工程施工。道土方工程、渠道砼工程、建筑物砼，收尾工作：2022年12月，完成施工场区及生活区场地平整，障碍物清除，整理有关技术资料，编制竣决算等，准备工程竣工验收。项目建成可提高渠道水利用系数，改善灌区的灌溉条件和生态环境，改善渠道戈壁滩上漫滩过水造成水量损失严重现象，改善渠道过流能力，渠道建成后可促进灌区经济发展，改善灌溉条件。项目的实施使灌区供水体系得到改善，用水矛盾得到缓解，有利于灌区用水管理及调配，可节省用水，增加农民收入，促进农村经济发展。</w:t>
      </w:r>
    </w:p>
    <w:p>
      <w:pPr>
        <w:pStyle w:val="16"/>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b/>
          <w:bCs/>
          <w:color w:val="000000"/>
          <w:kern w:val="2"/>
          <w:sz w:val="32"/>
          <w:szCs w:val="32"/>
          <w:highlight w:val="none"/>
          <w:lang w:val="en-US" w:eastAsia="zh-CN" w:bidi="ar-SA"/>
        </w:rPr>
      </w:pPr>
      <w:r>
        <w:rPr>
          <w:rFonts w:hint="eastAsia" w:ascii="仿宋_GB2312" w:hAnsi="黑体" w:eastAsia="仿宋_GB2312" w:cstheme="minorBidi"/>
          <w:b/>
          <w:bCs/>
          <w:color w:val="000000"/>
          <w:kern w:val="2"/>
          <w:sz w:val="32"/>
          <w:szCs w:val="32"/>
          <w:highlight w:val="none"/>
          <w:lang w:val="en-US" w:eastAsia="zh-CN" w:bidi="ar-SA"/>
        </w:rPr>
        <w:t>1.项目绩效总目标</w:t>
      </w:r>
    </w:p>
    <w:p>
      <w:pPr>
        <w:pStyle w:val="16"/>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color w:val="000000"/>
          <w:kern w:val="2"/>
          <w:sz w:val="32"/>
          <w:szCs w:val="32"/>
          <w:highlight w:val="none"/>
          <w:lang w:val="en-US" w:eastAsia="zh-CN" w:bidi="ar-SA"/>
        </w:rPr>
      </w:pPr>
      <w:r>
        <w:rPr>
          <w:rFonts w:hint="eastAsia" w:ascii="仿宋_GB2312" w:hAnsi="黑体" w:eastAsia="仿宋_GB2312" w:cstheme="minorBidi"/>
          <w:color w:val="000000"/>
          <w:kern w:val="2"/>
          <w:sz w:val="32"/>
          <w:szCs w:val="32"/>
          <w:highlight w:val="none"/>
          <w:lang w:val="en-US" w:eastAsia="zh-CN" w:bidi="ar-SA"/>
        </w:rPr>
        <w:t>该项目用于叶城县特色产业基地保尔水库放水渠下段防渗衬砌改建长度5.488km，设计流量为4-5立方米每秒，配套改建18座渠系建筑物。项目建成后，可改善灌区的灌溉条件和生态环境，促进灌区经济发展。</w:t>
      </w:r>
    </w:p>
    <w:p>
      <w:pPr>
        <w:pStyle w:val="16"/>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b/>
          <w:bCs/>
          <w:color w:val="000000"/>
          <w:kern w:val="2"/>
          <w:sz w:val="32"/>
          <w:szCs w:val="32"/>
          <w:highlight w:val="none"/>
          <w:lang w:val="en-US" w:eastAsia="zh-CN" w:bidi="ar-SA"/>
        </w:rPr>
      </w:pPr>
      <w:r>
        <w:rPr>
          <w:rFonts w:hint="eastAsia" w:ascii="仿宋_GB2312" w:hAnsi="黑体" w:eastAsia="仿宋_GB2312" w:cstheme="minorBidi"/>
          <w:b/>
          <w:bCs/>
          <w:color w:val="000000"/>
          <w:kern w:val="2"/>
          <w:sz w:val="32"/>
          <w:szCs w:val="32"/>
          <w:highlight w:val="none"/>
          <w:lang w:val="en-US" w:eastAsia="zh-CN" w:bidi="ar-SA"/>
        </w:rPr>
        <w:t>2.阶段性目标</w:t>
      </w:r>
    </w:p>
    <w:p>
      <w:pPr>
        <w:pStyle w:val="16"/>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color w:val="000000"/>
          <w:kern w:val="2"/>
          <w:sz w:val="32"/>
          <w:szCs w:val="32"/>
          <w:highlight w:val="none"/>
          <w:lang w:val="en-US" w:eastAsia="zh-CN" w:bidi="ar-SA"/>
        </w:rPr>
      </w:pPr>
      <w:r>
        <w:rPr>
          <w:rFonts w:hint="eastAsia" w:ascii="仿宋_GB2312" w:hAnsi="黑体" w:eastAsia="仿宋_GB2312" w:cstheme="minorBidi"/>
          <w:color w:val="000000"/>
          <w:kern w:val="2"/>
          <w:sz w:val="32"/>
          <w:szCs w:val="32"/>
          <w:highlight w:val="none"/>
          <w:lang w:val="en-US" w:eastAsia="zh-CN" w:bidi="ar-SA"/>
        </w:rPr>
        <w:t>本项目建设期为2022年。即2022年10月－2021年12月。</w:t>
      </w:r>
    </w:p>
    <w:p>
      <w:pPr>
        <w:pStyle w:val="16"/>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color w:val="000000"/>
          <w:kern w:val="2"/>
          <w:sz w:val="32"/>
          <w:szCs w:val="32"/>
          <w:highlight w:val="none"/>
          <w:lang w:val="en-US" w:eastAsia="zh-CN" w:bidi="ar-SA"/>
        </w:rPr>
      </w:pPr>
      <w:r>
        <w:rPr>
          <w:rFonts w:hint="eastAsia" w:ascii="仿宋_GB2312" w:hAnsi="黑体" w:eastAsia="仿宋_GB2312" w:cstheme="minorBidi"/>
          <w:color w:val="000000"/>
          <w:kern w:val="2"/>
          <w:sz w:val="32"/>
          <w:szCs w:val="32"/>
          <w:highlight w:val="none"/>
          <w:lang w:val="en-US" w:eastAsia="zh-CN" w:bidi="ar-SA"/>
        </w:rPr>
        <w:t>1、在2022年10月完成合同签订及施工临建及其他各项准备工作。</w:t>
      </w:r>
    </w:p>
    <w:p>
      <w:pPr>
        <w:pStyle w:val="16"/>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color w:val="000000"/>
          <w:kern w:val="2"/>
          <w:sz w:val="32"/>
          <w:szCs w:val="32"/>
          <w:highlight w:val="none"/>
          <w:lang w:val="en-US" w:eastAsia="zh-CN" w:bidi="ar-SA"/>
        </w:rPr>
      </w:pPr>
      <w:r>
        <w:rPr>
          <w:rFonts w:hint="eastAsia" w:ascii="仿宋_GB2312" w:hAnsi="黑体" w:eastAsia="仿宋_GB2312" w:cstheme="minorBidi"/>
          <w:color w:val="000000"/>
          <w:kern w:val="2"/>
          <w:sz w:val="32"/>
          <w:szCs w:val="32"/>
          <w:highlight w:val="none"/>
          <w:lang w:val="en-US" w:eastAsia="zh-CN" w:bidi="ar-SA"/>
        </w:rPr>
        <w:t xml:space="preserve">2、2022年10月至2022年12月完成工程施工。道土方工程、渠道砼工程、建筑物砼。 </w:t>
      </w:r>
    </w:p>
    <w:p>
      <w:pPr>
        <w:pStyle w:val="16"/>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color w:val="000000"/>
          <w:kern w:val="2"/>
          <w:sz w:val="32"/>
          <w:szCs w:val="32"/>
          <w:highlight w:val="none"/>
          <w:lang w:val="en-US" w:eastAsia="zh-CN" w:bidi="ar-SA"/>
        </w:rPr>
      </w:pPr>
      <w:r>
        <w:rPr>
          <w:rFonts w:hint="eastAsia" w:ascii="仿宋_GB2312" w:hAnsi="黑体" w:eastAsia="仿宋_GB2312" w:cstheme="minorBidi"/>
          <w:color w:val="000000"/>
          <w:kern w:val="2"/>
          <w:sz w:val="32"/>
          <w:szCs w:val="32"/>
          <w:highlight w:val="none"/>
          <w:lang w:val="en-US" w:eastAsia="zh-CN" w:bidi="ar-SA"/>
        </w:rPr>
        <w:t>3、收尾工作：2022年12月，完成施工场区及生活区场地平整，障碍物清除，整理有关技术资料，编制竣决算等，准备工程竣工验收。</w:t>
      </w:r>
    </w:p>
    <w:p>
      <w:pPr>
        <w:pageBreakBefore w:val="0"/>
        <w:widowControl w:val="0"/>
        <w:kinsoku/>
        <w:overflowPunct/>
        <w:topLinePunct w:val="0"/>
        <w:autoSpaceDN/>
        <w:bidi w:val="0"/>
        <w:adjustRightInd/>
        <w:snapToGrid/>
        <w:spacing w:line="560" w:lineRule="exact"/>
        <w:ind w:firstLine="643" w:firstLineChars="200"/>
        <w:jc w:val="left"/>
        <w:textAlignment w:val="auto"/>
        <w:rPr>
          <w:rFonts w:ascii="仿宋_GB2312" w:hAnsi="黑体" w:eastAsia="仿宋_GB2312"/>
          <w:b/>
          <w:color w:val="000000"/>
          <w:sz w:val="32"/>
          <w:szCs w:val="32"/>
          <w:highlight w:val="none"/>
        </w:rPr>
      </w:pPr>
      <w:r>
        <w:rPr>
          <w:rFonts w:hint="eastAsia" w:ascii="仿宋_GB2312" w:hAnsi="黑体" w:eastAsia="仿宋_GB2312"/>
          <w:b/>
          <w:color w:val="000000"/>
          <w:sz w:val="32"/>
          <w:szCs w:val="32"/>
          <w:highlight w:val="none"/>
        </w:rPr>
        <w:t>二、绩效自评工作开展情况</w:t>
      </w:r>
    </w:p>
    <w:p>
      <w:pPr>
        <w:pageBreakBefore w:val="0"/>
        <w:widowControl w:val="0"/>
        <w:kinsoku/>
        <w:overflowPunct/>
        <w:topLinePunct w:val="0"/>
        <w:autoSpaceDN/>
        <w:bidi w:val="0"/>
        <w:adjustRightInd/>
        <w:snapToGrid/>
        <w:spacing w:line="560" w:lineRule="exact"/>
        <w:ind w:firstLine="640" w:firstLineChars="200"/>
        <w:jc w:val="left"/>
        <w:textAlignment w:val="auto"/>
        <w:rPr>
          <w:rFonts w:hint="eastAsia" w:ascii="仿宋_GB2312" w:hAnsi="黑体" w:eastAsia="仿宋_GB2312"/>
          <w:color w:val="000000"/>
          <w:sz w:val="32"/>
          <w:szCs w:val="32"/>
          <w:highlight w:val="none"/>
        </w:rPr>
      </w:pPr>
      <w:r>
        <w:rPr>
          <w:rFonts w:hint="eastAsia" w:ascii="仿宋_GB2312" w:hAnsi="黑体" w:eastAsia="仿宋_GB2312"/>
          <w:color w:val="000000"/>
          <w:sz w:val="32"/>
          <w:szCs w:val="32"/>
          <w:highlight w:val="none"/>
        </w:rPr>
        <w:t>包括自评工作开展范围、对象、时间及方式等。</w:t>
      </w:r>
    </w:p>
    <w:p>
      <w:pPr>
        <w:pStyle w:val="16"/>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b/>
          <w:bCs/>
          <w:color w:val="000000"/>
          <w:kern w:val="2"/>
          <w:sz w:val="32"/>
          <w:szCs w:val="32"/>
          <w:highlight w:val="none"/>
          <w:lang w:val="en-US" w:eastAsia="zh-CN" w:bidi="ar-SA"/>
        </w:rPr>
      </w:pPr>
      <w:r>
        <w:rPr>
          <w:rFonts w:hint="eastAsia" w:ascii="仿宋_GB2312" w:hAnsi="黑体" w:eastAsia="仿宋_GB2312" w:cstheme="minorBidi"/>
          <w:b/>
          <w:bCs/>
          <w:color w:val="000000"/>
          <w:kern w:val="2"/>
          <w:sz w:val="32"/>
          <w:szCs w:val="32"/>
          <w:highlight w:val="none"/>
          <w:lang w:val="en-US" w:eastAsia="zh-CN" w:bidi="ar-SA"/>
        </w:rPr>
        <w:t>1. 绩效评价范围</w:t>
      </w:r>
    </w:p>
    <w:p>
      <w:pPr>
        <w:pStyle w:val="16"/>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color w:val="000000"/>
          <w:kern w:val="2"/>
          <w:sz w:val="32"/>
          <w:szCs w:val="32"/>
          <w:highlight w:val="none"/>
          <w:lang w:val="en-US" w:eastAsia="zh-CN" w:bidi="ar-SA"/>
        </w:rPr>
      </w:pPr>
      <w:r>
        <w:rPr>
          <w:rFonts w:hint="eastAsia" w:ascii="仿宋_GB2312" w:hAnsi="黑体" w:eastAsia="仿宋_GB2312" w:cstheme="minorBidi"/>
          <w:color w:val="000000"/>
          <w:kern w:val="2"/>
          <w:sz w:val="32"/>
          <w:szCs w:val="32"/>
          <w:highlight w:val="none"/>
          <w:lang w:val="en-US" w:eastAsia="zh-CN" w:bidi="ar-SA"/>
        </w:rPr>
        <w:t>本次评价范围涵盖项目总体绩效目标、各项绩效指标完成情况以及预算执行情况。覆盖项目预算资金支出的所有内容进行评价。包括项目决策、项目实施和项目成果验收流程等。</w:t>
      </w:r>
    </w:p>
    <w:p>
      <w:pPr>
        <w:pStyle w:val="16"/>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b/>
          <w:bCs/>
          <w:color w:val="000000"/>
          <w:kern w:val="2"/>
          <w:sz w:val="32"/>
          <w:szCs w:val="32"/>
          <w:highlight w:val="none"/>
          <w:lang w:val="en-US" w:eastAsia="zh-CN" w:bidi="ar-SA"/>
        </w:rPr>
      </w:pPr>
      <w:r>
        <w:rPr>
          <w:rFonts w:hint="eastAsia" w:ascii="仿宋_GB2312" w:hAnsi="黑体" w:eastAsia="仿宋_GB2312" w:cstheme="minorBidi"/>
          <w:b/>
          <w:bCs/>
          <w:color w:val="000000"/>
          <w:kern w:val="2"/>
          <w:sz w:val="32"/>
          <w:szCs w:val="32"/>
          <w:highlight w:val="none"/>
          <w:lang w:val="en-US" w:eastAsia="zh-CN" w:bidi="ar-SA"/>
        </w:rPr>
        <w:t>2. 绩效评价对象</w:t>
      </w:r>
    </w:p>
    <w:p>
      <w:pPr>
        <w:pStyle w:val="16"/>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color w:val="000000"/>
          <w:kern w:val="2"/>
          <w:sz w:val="32"/>
          <w:szCs w:val="32"/>
          <w:highlight w:val="none"/>
          <w:lang w:val="en-US" w:eastAsia="zh-CN" w:bidi="ar-SA"/>
        </w:rPr>
      </w:pPr>
      <w:r>
        <w:rPr>
          <w:rFonts w:hint="eastAsia" w:ascii="仿宋_GB2312" w:hAnsi="黑体" w:eastAsia="仿宋_GB2312" w:cstheme="minorBidi"/>
          <w:color w:val="000000"/>
          <w:kern w:val="2"/>
          <w:sz w:val="32"/>
          <w:szCs w:val="32"/>
          <w:highlight w:val="none"/>
          <w:lang w:val="en-US" w:eastAsia="zh-CN" w:bidi="ar-SA"/>
        </w:rP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p>
    <w:p>
      <w:pPr>
        <w:pStyle w:val="16"/>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b/>
          <w:bCs/>
          <w:color w:val="000000"/>
          <w:kern w:val="2"/>
          <w:sz w:val="32"/>
          <w:szCs w:val="32"/>
          <w:highlight w:val="none"/>
          <w:lang w:val="en-US" w:eastAsia="zh-CN" w:bidi="ar-SA"/>
        </w:rPr>
      </w:pPr>
      <w:r>
        <w:rPr>
          <w:rFonts w:hint="eastAsia" w:ascii="仿宋_GB2312" w:hAnsi="黑体" w:eastAsia="仿宋_GB2312" w:cstheme="minorBidi"/>
          <w:b/>
          <w:bCs/>
          <w:color w:val="000000"/>
          <w:kern w:val="2"/>
          <w:sz w:val="32"/>
          <w:szCs w:val="32"/>
          <w:highlight w:val="none"/>
          <w:lang w:val="en-US" w:eastAsia="zh-CN" w:bidi="ar-SA"/>
        </w:rPr>
        <w:t>3.绩效评价时间</w:t>
      </w:r>
    </w:p>
    <w:p>
      <w:pPr>
        <w:pStyle w:val="16"/>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color w:val="000000"/>
          <w:kern w:val="2"/>
          <w:sz w:val="32"/>
          <w:szCs w:val="32"/>
          <w:highlight w:val="none"/>
          <w:lang w:val="en-US" w:eastAsia="zh-CN" w:bidi="ar-SA"/>
        </w:rPr>
      </w:pPr>
      <w:r>
        <w:rPr>
          <w:rFonts w:hint="eastAsia" w:ascii="仿宋_GB2312" w:hAnsi="黑体" w:eastAsia="仿宋_GB2312" w:cstheme="minorBidi"/>
          <w:color w:val="000000"/>
          <w:kern w:val="2"/>
          <w:sz w:val="32"/>
          <w:szCs w:val="32"/>
          <w:highlight w:val="none"/>
          <w:lang w:val="en-US" w:eastAsia="zh-CN" w:bidi="ar-SA"/>
        </w:rPr>
        <w:t>2023年1月3日-2023年1月30日</w:t>
      </w:r>
    </w:p>
    <w:p>
      <w:pPr>
        <w:pStyle w:val="16"/>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color w:val="000000"/>
          <w:kern w:val="2"/>
          <w:sz w:val="32"/>
          <w:szCs w:val="32"/>
          <w:highlight w:val="none"/>
          <w:lang w:val="en-US" w:eastAsia="zh-CN" w:bidi="ar-SA"/>
        </w:rPr>
      </w:pPr>
      <w:r>
        <w:rPr>
          <w:rFonts w:hint="eastAsia" w:ascii="仿宋_GB2312" w:hAnsi="黑体" w:eastAsia="仿宋_GB2312" w:cstheme="minorBidi"/>
          <w:b/>
          <w:bCs/>
          <w:color w:val="000000"/>
          <w:kern w:val="2"/>
          <w:sz w:val="32"/>
          <w:szCs w:val="32"/>
          <w:highlight w:val="none"/>
          <w:lang w:val="en-US" w:eastAsia="zh-CN" w:bidi="ar-SA"/>
        </w:rPr>
        <w:t>4. 绩效评价方法</w:t>
      </w:r>
    </w:p>
    <w:p>
      <w:pPr>
        <w:pStyle w:val="16"/>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color w:val="000000"/>
          <w:kern w:val="2"/>
          <w:sz w:val="32"/>
          <w:szCs w:val="32"/>
          <w:highlight w:val="none"/>
          <w:lang w:val="en-US" w:eastAsia="zh-CN" w:bidi="ar-SA"/>
        </w:rPr>
      </w:pPr>
      <w:r>
        <w:rPr>
          <w:rFonts w:hint="eastAsia" w:ascii="仿宋_GB2312" w:hAnsi="黑体" w:eastAsia="仿宋_GB2312" w:cstheme="minorBidi"/>
          <w:color w:val="000000"/>
          <w:kern w:val="2"/>
          <w:sz w:val="32"/>
          <w:szCs w:val="32"/>
          <w:highlight w:val="none"/>
          <w:lang w:val="en-US" w:eastAsia="zh-CN" w:bidi="ar-SA"/>
        </w:rPr>
        <w:t>本次绩效评价方法的选用坚持简便有效的原则采用综合分析法。</w:t>
      </w:r>
    </w:p>
    <w:p>
      <w:pPr>
        <w:pStyle w:val="16"/>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b/>
          <w:bCs/>
          <w:color w:val="000000"/>
          <w:kern w:val="2"/>
          <w:sz w:val="32"/>
          <w:szCs w:val="32"/>
          <w:highlight w:val="none"/>
          <w:lang w:val="en-US" w:eastAsia="zh-CN" w:bidi="ar-SA"/>
        </w:rPr>
      </w:pPr>
      <w:r>
        <w:rPr>
          <w:rFonts w:hint="eastAsia" w:ascii="仿宋_GB2312" w:hAnsi="黑体" w:eastAsia="仿宋_GB2312" w:cstheme="minorBidi"/>
          <w:b/>
          <w:bCs/>
          <w:color w:val="000000"/>
          <w:kern w:val="2"/>
          <w:sz w:val="32"/>
          <w:szCs w:val="32"/>
          <w:highlight w:val="none"/>
          <w:lang w:val="en-US" w:eastAsia="zh-CN" w:bidi="ar-SA"/>
        </w:rPr>
        <w:t>5. 绩效评价标准</w:t>
      </w:r>
    </w:p>
    <w:p>
      <w:pPr>
        <w:pStyle w:val="16"/>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color w:val="000000"/>
          <w:kern w:val="2"/>
          <w:sz w:val="32"/>
          <w:szCs w:val="32"/>
          <w:highlight w:val="none"/>
          <w:lang w:val="en-US" w:eastAsia="zh-CN" w:bidi="ar-SA"/>
        </w:rPr>
      </w:pPr>
      <w:r>
        <w:rPr>
          <w:rFonts w:hint="eastAsia" w:ascii="仿宋_GB2312" w:hAnsi="黑体" w:eastAsia="仿宋_GB2312" w:cstheme="minorBidi"/>
          <w:color w:val="000000"/>
          <w:kern w:val="2"/>
          <w:sz w:val="32"/>
          <w:szCs w:val="32"/>
          <w:highlight w:val="none"/>
          <w:lang w:val="en-US" w:eastAsia="zh-CN" w:bidi="ar-SA"/>
        </w:rPr>
        <w:t>绩效评价标准通常包括计划标准、行业标准、历史标准等，用于对绩效指标完成情况进行比较、分析、评价。本次评价主要采用了计划标准。</w:t>
      </w:r>
    </w:p>
    <w:p>
      <w:pPr>
        <w:pStyle w:val="16"/>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color w:val="000000"/>
          <w:kern w:val="2"/>
          <w:sz w:val="32"/>
          <w:szCs w:val="32"/>
          <w:highlight w:val="none"/>
          <w:lang w:val="en-US" w:eastAsia="zh-CN" w:bidi="ar-SA"/>
        </w:rPr>
      </w:pPr>
      <w:bookmarkStart w:id="0" w:name="_Toc31464"/>
      <w:bookmarkStart w:id="1" w:name="_Toc17882"/>
      <w:r>
        <w:rPr>
          <w:rFonts w:hint="eastAsia" w:ascii="仿宋_GB2312" w:hAnsi="黑体" w:eastAsia="仿宋_GB2312" w:cstheme="minorBidi"/>
          <w:color w:val="000000"/>
          <w:kern w:val="2"/>
          <w:sz w:val="32"/>
          <w:szCs w:val="32"/>
          <w:highlight w:val="none"/>
          <w:lang w:val="en-US" w:eastAsia="zh-CN" w:bidi="ar-SA"/>
        </w:rPr>
        <w:t>计划标准：指以预先制定的目标、计划、预算、定额等作为评价标准。</w:t>
      </w:r>
      <w:bookmarkEnd w:id="0"/>
      <w:bookmarkEnd w:id="1"/>
    </w:p>
    <w:p>
      <w:pPr>
        <w:pStyle w:val="16"/>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color w:val="000000"/>
          <w:kern w:val="2"/>
          <w:sz w:val="32"/>
          <w:szCs w:val="32"/>
          <w:highlight w:val="none"/>
          <w:lang w:val="en-US" w:eastAsia="zh-CN" w:bidi="ar-SA"/>
        </w:rPr>
      </w:pPr>
      <w:bookmarkStart w:id="2" w:name="_Toc2318"/>
      <w:bookmarkStart w:id="3" w:name="_Toc5633"/>
      <w:r>
        <w:rPr>
          <w:rFonts w:hint="eastAsia" w:ascii="仿宋_GB2312" w:hAnsi="黑体" w:eastAsia="仿宋_GB2312" w:cstheme="minorBidi"/>
          <w:color w:val="000000"/>
          <w:kern w:val="2"/>
          <w:sz w:val="32"/>
          <w:szCs w:val="32"/>
          <w:highlight w:val="none"/>
          <w:lang w:val="en-US" w:eastAsia="zh-CN" w:bidi="ar-SA"/>
        </w:rPr>
        <w:t>行业标准：指参照国家公布的行业指标数据制定的评价标准。</w:t>
      </w:r>
      <w:bookmarkEnd w:id="2"/>
      <w:bookmarkEnd w:id="3"/>
    </w:p>
    <w:p>
      <w:pPr>
        <w:pStyle w:val="16"/>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color w:val="000000"/>
          <w:kern w:val="2"/>
          <w:sz w:val="32"/>
          <w:szCs w:val="32"/>
          <w:highlight w:val="none"/>
          <w:lang w:val="en-US" w:eastAsia="zh-CN" w:bidi="ar-SA"/>
        </w:rPr>
      </w:pPr>
      <w:bookmarkStart w:id="4" w:name="_Toc430"/>
      <w:bookmarkStart w:id="5" w:name="_Toc16028"/>
      <w:r>
        <w:rPr>
          <w:rFonts w:hint="eastAsia" w:ascii="仿宋_GB2312" w:hAnsi="黑体" w:eastAsia="仿宋_GB2312" w:cstheme="minorBidi"/>
          <w:color w:val="000000"/>
          <w:kern w:val="2"/>
          <w:sz w:val="32"/>
          <w:szCs w:val="32"/>
          <w:highlight w:val="none"/>
          <w:lang w:val="en-US" w:eastAsia="zh-CN" w:bidi="ar-SA"/>
        </w:rPr>
        <w:t>历史标准：指参照历史数据制定的评价标准，为体现绩效改进的原则，在可实现的条件下应当确定相对较高的评价标准。</w:t>
      </w:r>
      <w:bookmarkEnd w:id="4"/>
      <w:bookmarkEnd w:id="5"/>
    </w:p>
    <w:p>
      <w:pPr>
        <w:pageBreakBefore w:val="0"/>
        <w:widowControl w:val="0"/>
        <w:kinsoku/>
        <w:overflowPunct/>
        <w:topLinePunct w:val="0"/>
        <w:autoSpaceDN/>
        <w:bidi w:val="0"/>
        <w:adjustRightInd/>
        <w:snapToGrid/>
        <w:spacing w:line="560" w:lineRule="exact"/>
        <w:ind w:firstLine="643" w:firstLineChars="200"/>
        <w:jc w:val="left"/>
        <w:textAlignment w:val="auto"/>
        <w:rPr>
          <w:rFonts w:ascii="仿宋_GB2312" w:hAnsi="黑体" w:eastAsia="仿宋_GB2312"/>
          <w:b/>
          <w:color w:val="000000"/>
          <w:sz w:val="32"/>
          <w:szCs w:val="32"/>
          <w:highlight w:val="none"/>
        </w:rPr>
      </w:pPr>
      <w:r>
        <w:rPr>
          <w:rFonts w:hint="eastAsia" w:ascii="仿宋_GB2312" w:hAnsi="黑体" w:eastAsia="仿宋_GB2312"/>
          <w:b/>
          <w:color w:val="000000"/>
          <w:sz w:val="32"/>
          <w:szCs w:val="32"/>
          <w:highlight w:val="none"/>
        </w:rPr>
        <w:t>三、绩效目标自评完成情况分析</w:t>
      </w:r>
    </w:p>
    <w:p>
      <w:pPr>
        <w:pageBreakBefore w:val="0"/>
        <w:widowControl w:val="0"/>
        <w:kinsoku/>
        <w:overflowPunct/>
        <w:topLinePunct w:val="0"/>
        <w:autoSpaceDN/>
        <w:bidi w:val="0"/>
        <w:adjustRightInd/>
        <w:snapToGrid/>
        <w:spacing w:line="560" w:lineRule="exact"/>
        <w:ind w:firstLine="643" w:firstLineChars="200"/>
        <w:jc w:val="left"/>
        <w:textAlignment w:val="auto"/>
        <w:rPr>
          <w:rFonts w:ascii="仿宋_GB2312" w:hAnsi="黑体" w:eastAsia="仿宋_GB2312"/>
          <w:b/>
          <w:bCs/>
          <w:color w:val="000000"/>
          <w:sz w:val="32"/>
          <w:szCs w:val="32"/>
          <w:highlight w:val="none"/>
        </w:rPr>
      </w:pPr>
      <w:r>
        <w:rPr>
          <w:rFonts w:hint="eastAsia" w:ascii="仿宋_GB2312" w:hAnsi="黑体" w:eastAsia="仿宋_GB2312"/>
          <w:b/>
          <w:bCs/>
          <w:color w:val="000000"/>
          <w:sz w:val="32"/>
          <w:szCs w:val="32"/>
          <w:highlight w:val="none"/>
        </w:rPr>
        <w:t>(一）资金投入情况分析。</w:t>
      </w:r>
    </w:p>
    <w:p>
      <w:pPr>
        <w:pageBreakBefore w:val="0"/>
        <w:widowControl w:val="0"/>
        <w:kinsoku/>
        <w:overflowPunct/>
        <w:topLinePunct w:val="0"/>
        <w:autoSpaceDN/>
        <w:bidi w:val="0"/>
        <w:adjustRightInd/>
        <w:snapToGrid/>
        <w:spacing w:line="560" w:lineRule="exact"/>
        <w:ind w:firstLine="643" w:firstLineChars="200"/>
        <w:jc w:val="left"/>
        <w:textAlignment w:val="auto"/>
        <w:rPr>
          <w:rFonts w:hint="eastAsia" w:ascii="仿宋_GB2312" w:hAnsi="黑体" w:eastAsia="仿宋_GB2312"/>
          <w:b/>
          <w:bCs/>
          <w:color w:val="000000"/>
          <w:sz w:val="32"/>
          <w:szCs w:val="32"/>
          <w:highlight w:val="none"/>
        </w:rPr>
      </w:pPr>
      <w:r>
        <w:rPr>
          <w:rFonts w:hint="eastAsia" w:ascii="仿宋_GB2312" w:hAnsi="黑体" w:eastAsia="仿宋_GB2312"/>
          <w:b/>
          <w:bCs/>
          <w:color w:val="000000"/>
          <w:sz w:val="32"/>
          <w:szCs w:val="32"/>
          <w:highlight w:val="none"/>
        </w:rPr>
        <w:t>1.项目资金到位情况分析。</w:t>
      </w:r>
    </w:p>
    <w:p>
      <w:pPr>
        <w:pStyle w:val="16"/>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color w:val="000000"/>
          <w:kern w:val="2"/>
          <w:sz w:val="32"/>
          <w:szCs w:val="32"/>
          <w:highlight w:val="none"/>
          <w:lang w:val="en-US" w:eastAsia="zh-CN" w:bidi="ar-SA"/>
        </w:rPr>
      </w:pPr>
      <w:r>
        <w:rPr>
          <w:rFonts w:hint="eastAsia" w:ascii="仿宋_GB2312" w:hAnsi="黑体" w:eastAsia="仿宋_GB2312" w:cstheme="minorBidi"/>
          <w:color w:val="000000"/>
          <w:kern w:val="2"/>
          <w:sz w:val="32"/>
          <w:szCs w:val="32"/>
          <w:highlight w:val="none"/>
          <w:lang w:val="en-US" w:eastAsia="zh-CN" w:bidi="ar-SA"/>
        </w:rPr>
        <w:t>叶党农领字[2022]32号安排下达资金316.24万元，为衔接资金，叶财债[2022]6号安排下达资金2705.7686万元，为债券资金，最终确定项目资金总数为3022.01万元。</w:t>
      </w:r>
    </w:p>
    <w:p>
      <w:pPr>
        <w:pStyle w:val="16"/>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b/>
          <w:bCs/>
          <w:color w:val="000000"/>
          <w:kern w:val="2"/>
          <w:sz w:val="32"/>
          <w:szCs w:val="32"/>
          <w:highlight w:val="none"/>
          <w:lang w:val="en-US" w:eastAsia="zh-CN" w:bidi="ar-SA"/>
        </w:rPr>
      </w:pPr>
      <w:r>
        <w:rPr>
          <w:rFonts w:hint="eastAsia" w:ascii="仿宋_GB2312" w:hAnsi="黑体" w:eastAsia="仿宋_GB2312" w:cstheme="minorBidi"/>
          <w:b/>
          <w:bCs/>
          <w:color w:val="000000"/>
          <w:kern w:val="2"/>
          <w:sz w:val="32"/>
          <w:szCs w:val="32"/>
          <w:highlight w:val="none"/>
          <w:lang w:val="en-US" w:eastAsia="zh-CN" w:bidi="ar-SA"/>
        </w:rPr>
        <w:t>2.项目资金执行情况分析。</w:t>
      </w:r>
    </w:p>
    <w:p>
      <w:pPr>
        <w:pStyle w:val="16"/>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color w:val="000000"/>
          <w:kern w:val="2"/>
          <w:sz w:val="32"/>
          <w:szCs w:val="32"/>
          <w:highlight w:val="none"/>
          <w:lang w:val="en-US" w:eastAsia="zh-CN" w:bidi="ar-SA"/>
        </w:rPr>
      </w:pPr>
      <w:r>
        <w:rPr>
          <w:rFonts w:hint="eastAsia" w:ascii="仿宋_GB2312" w:hAnsi="黑体" w:eastAsia="仿宋_GB2312" w:cstheme="minorBidi"/>
          <w:color w:val="000000"/>
          <w:kern w:val="2"/>
          <w:sz w:val="32"/>
          <w:szCs w:val="32"/>
          <w:highlight w:val="none"/>
          <w:lang w:val="en-US" w:eastAsia="zh-CN" w:bidi="ar-SA"/>
        </w:rPr>
        <w:t>截至2022年12月31日，实际支出3022.01万元，预算执行率100%。</w:t>
      </w:r>
    </w:p>
    <w:p>
      <w:pPr>
        <w:pStyle w:val="16"/>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b/>
          <w:bCs/>
          <w:color w:val="000000"/>
          <w:kern w:val="2"/>
          <w:sz w:val="32"/>
          <w:szCs w:val="32"/>
          <w:highlight w:val="none"/>
          <w:lang w:val="en-US" w:eastAsia="zh-CN" w:bidi="ar-SA"/>
        </w:rPr>
      </w:pPr>
      <w:r>
        <w:rPr>
          <w:rFonts w:hint="eastAsia" w:ascii="仿宋_GB2312" w:hAnsi="黑体" w:eastAsia="仿宋_GB2312" w:cstheme="minorBidi"/>
          <w:b/>
          <w:bCs/>
          <w:color w:val="000000"/>
          <w:kern w:val="2"/>
          <w:sz w:val="32"/>
          <w:szCs w:val="32"/>
          <w:highlight w:val="none"/>
          <w:lang w:val="en-US" w:eastAsia="zh-CN" w:bidi="ar-SA"/>
        </w:rPr>
        <w:t>3.项目资金管理情况分析。</w:t>
      </w:r>
    </w:p>
    <w:p>
      <w:pPr>
        <w:pStyle w:val="16"/>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color w:val="000000"/>
          <w:kern w:val="2"/>
          <w:sz w:val="32"/>
          <w:szCs w:val="32"/>
          <w:highlight w:val="none"/>
          <w:lang w:val="en-US" w:eastAsia="zh-CN" w:bidi="ar-SA"/>
        </w:rPr>
      </w:pPr>
      <w:r>
        <w:rPr>
          <w:rFonts w:hint="eastAsia" w:ascii="仿宋_GB2312" w:hAnsi="黑体" w:eastAsia="仿宋_GB2312" w:cstheme="minorBidi"/>
          <w:color w:val="000000"/>
          <w:kern w:val="2"/>
          <w:sz w:val="32"/>
          <w:szCs w:val="32"/>
          <w:highlight w:val="none"/>
          <w:lang w:val="en-US" w:eastAsia="zh-CN" w:bidi="ar-SA"/>
        </w:rPr>
        <w:t>本项目支出符合《喀什地区财政巩固拓展脱贫攻坚成果同乡村振兴有效衔接资金管理办法（试行）》</w:t>
      </w:r>
      <w:bookmarkStart w:id="6" w:name="_GoBack"/>
      <w:bookmarkEnd w:id="6"/>
      <w:r>
        <w:rPr>
          <w:rFonts w:hint="eastAsia" w:ascii="仿宋_GB2312" w:hAnsi="黑体" w:eastAsia="仿宋_GB2312" w:cstheme="minorBidi"/>
          <w:color w:val="000000"/>
          <w:kern w:val="2"/>
          <w:sz w:val="32"/>
          <w:szCs w:val="32"/>
          <w:highlight w:val="none"/>
          <w:lang w:val="en-US" w:eastAsia="zh-CN" w:bidi="ar-SA"/>
        </w:rPr>
        <w:t>以及本单位根据国家财经法规和财务管理制度制定的相关财务管理制度，其中包括《会计人员集中核算工作管理制度》、《财务收支审批制度》、《财务稽核制度》、《财务牵制制度》、《会计主管岗位职责》等制度规定，严格执行国库集中支付制度直接支付，资金的拨付过程有完整的审批程序和手续，不存在截留、挤占、挪用等情况。</w:t>
      </w:r>
    </w:p>
    <w:p>
      <w:pPr>
        <w:pageBreakBefore w:val="0"/>
        <w:widowControl w:val="0"/>
        <w:kinsoku/>
        <w:overflowPunct/>
        <w:topLinePunct w:val="0"/>
        <w:autoSpaceDN/>
        <w:bidi w:val="0"/>
        <w:adjustRightInd/>
        <w:snapToGrid/>
        <w:spacing w:line="560" w:lineRule="exact"/>
        <w:ind w:firstLine="643" w:firstLineChars="200"/>
        <w:jc w:val="left"/>
        <w:textAlignment w:val="auto"/>
        <w:rPr>
          <w:rFonts w:hint="eastAsia" w:ascii="仿宋_GB2312" w:hAnsi="黑体" w:eastAsia="仿宋_GB2312"/>
          <w:b/>
          <w:bCs/>
          <w:color w:val="000000"/>
          <w:sz w:val="32"/>
          <w:szCs w:val="32"/>
          <w:highlight w:val="none"/>
        </w:rPr>
      </w:pPr>
      <w:r>
        <w:rPr>
          <w:rFonts w:hint="eastAsia" w:ascii="仿宋_GB2312" w:hAnsi="黑体" w:eastAsia="仿宋_GB2312"/>
          <w:b/>
          <w:bCs/>
          <w:color w:val="000000"/>
          <w:sz w:val="32"/>
          <w:szCs w:val="32"/>
          <w:highlight w:val="none"/>
        </w:rPr>
        <w:t>(二）绩效目标完成情况分析。</w:t>
      </w:r>
    </w:p>
    <w:p>
      <w:pPr>
        <w:pageBreakBefore w:val="0"/>
        <w:widowControl w:val="0"/>
        <w:kinsoku/>
        <w:overflowPunct/>
        <w:topLinePunct w:val="0"/>
        <w:autoSpaceDN/>
        <w:bidi w:val="0"/>
        <w:adjustRightInd/>
        <w:snapToGrid/>
        <w:spacing w:line="560" w:lineRule="exact"/>
        <w:ind w:firstLine="643" w:firstLineChars="200"/>
        <w:jc w:val="left"/>
        <w:textAlignment w:val="auto"/>
        <w:rPr>
          <w:rFonts w:ascii="仿宋_GB2312" w:hAnsi="黑体" w:eastAsia="仿宋_GB2312"/>
          <w:b/>
          <w:bCs/>
          <w:color w:val="000000"/>
          <w:sz w:val="32"/>
          <w:szCs w:val="32"/>
          <w:highlight w:val="none"/>
        </w:rPr>
      </w:pPr>
      <w:r>
        <w:rPr>
          <w:rFonts w:hint="eastAsia" w:ascii="仿宋_GB2312" w:hAnsi="黑体" w:eastAsia="仿宋_GB2312"/>
          <w:b/>
          <w:bCs/>
          <w:color w:val="000000"/>
          <w:sz w:val="32"/>
          <w:szCs w:val="32"/>
          <w:highlight w:val="none"/>
        </w:rPr>
        <w:t>1.产出指标完成情况分析。</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黑体" w:eastAsia="仿宋_GB2312" w:cstheme="minorBidi"/>
          <w:color w:val="000000"/>
          <w:kern w:val="2"/>
          <w:sz w:val="32"/>
          <w:szCs w:val="32"/>
          <w:highlight w:val="none"/>
          <w:lang w:val="en-US" w:eastAsia="zh-CN" w:bidi="ar-SA"/>
        </w:rPr>
      </w:pPr>
      <w:r>
        <w:rPr>
          <w:rFonts w:hint="eastAsia" w:ascii="仿宋_GB2312" w:hAnsi="黑体" w:eastAsia="仿宋_GB2312" w:cstheme="minorBidi"/>
          <w:color w:val="000000"/>
          <w:kern w:val="2"/>
          <w:sz w:val="32"/>
          <w:szCs w:val="32"/>
          <w:highlight w:val="none"/>
          <w:lang w:val="en-US" w:eastAsia="zh-CN" w:bidi="ar-SA"/>
        </w:rPr>
        <w:t>（1）对于“产出数量”</w:t>
      </w:r>
    </w:p>
    <w:p>
      <w:pPr>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color w:val="000000"/>
          <w:kern w:val="2"/>
          <w:sz w:val="32"/>
          <w:szCs w:val="32"/>
          <w:highlight w:val="none"/>
          <w:lang w:val="en-US" w:eastAsia="zh-CN" w:bidi="ar-SA"/>
        </w:rPr>
      </w:pPr>
      <w:r>
        <w:rPr>
          <w:rFonts w:hint="eastAsia" w:ascii="仿宋_GB2312" w:hAnsi="黑体" w:eastAsia="仿宋_GB2312" w:cstheme="minorBidi"/>
          <w:color w:val="000000"/>
          <w:kern w:val="2"/>
          <w:sz w:val="32"/>
          <w:szCs w:val="32"/>
          <w:highlight w:val="none"/>
          <w:lang w:val="en-US" w:eastAsia="zh-CN" w:bidi="ar-SA"/>
        </w:rPr>
        <w:t>水渠建设5.488公里，与预期目标一致，指标标杆分值为10分，根据评分标准，该指标不扣分，得10分。</w:t>
      </w:r>
    </w:p>
    <w:p>
      <w:pPr>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color w:val="000000"/>
          <w:kern w:val="2"/>
          <w:sz w:val="32"/>
          <w:szCs w:val="32"/>
          <w:highlight w:val="none"/>
          <w:lang w:val="en-US" w:eastAsia="zh-CN" w:bidi="ar-SA"/>
        </w:rPr>
      </w:pPr>
      <w:r>
        <w:rPr>
          <w:rFonts w:hint="eastAsia" w:ascii="仿宋_GB2312" w:hAnsi="黑体" w:eastAsia="仿宋_GB2312" w:cstheme="minorBidi"/>
          <w:color w:val="000000"/>
          <w:kern w:val="2"/>
          <w:sz w:val="32"/>
          <w:szCs w:val="32"/>
          <w:highlight w:val="none"/>
          <w:lang w:val="en-US" w:eastAsia="zh-CN" w:bidi="ar-SA"/>
        </w:rPr>
        <w:t>配套改建渠系建筑物建设18座，与预期目标一致，指标标杆分值为10分，根据评分标准，该指标不扣分，得10分。</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黑体" w:eastAsia="仿宋_GB2312" w:cstheme="minorBidi"/>
          <w:color w:val="000000"/>
          <w:kern w:val="2"/>
          <w:sz w:val="32"/>
          <w:szCs w:val="32"/>
          <w:highlight w:val="none"/>
          <w:lang w:val="en-US" w:eastAsia="zh-CN" w:bidi="ar-SA"/>
        </w:rPr>
      </w:pPr>
      <w:r>
        <w:rPr>
          <w:rFonts w:hint="eastAsia" w:ascii="仿宋_GB2312" w:hAnsi="黑体" w:eastAsia="仿宋_GB2312" w:cstheme="minorBidi"/>
          <w:color w:val="000000"/>
          <w:kern w:val="2"/>
          <w:sz w:val="32"/>
          <w:szCs w:val="32"/>
          <w:highlight w:val="none"/>
          <w:lang w:val="en-US" w:eastAsia="zh-CN" w:bidi="ar-SA"/>
        </w:rPr>
        <w:t>合计得20分。</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黑体" w:eastAsia="仿宋_GB2312" w:cstheme="minorBidi"/>
          <w:color w:val="000000"/>
          <w:kern w:val="2"/>
          <w:sz w:val="32"/>
          <w:szCs w:val="32"/>
          <w:highlight w:val="none"/>
          <w:lang w:val="en-US" w:eastAsia="zh-CN" w:bidi="ar-SA"/>
        </w:rPr>
      </w:pPr>
      <w:r>
        <w:rPr>
          <w:rFonts w:hint="eastAsia" w:ascii="仿宋_GB2312" w:hAnsi="黑体" w:eastAsia="仿宋_GB2312" w:cstheme="minorBidi"/>
          <w:color w:val="000000"/>
          <w:kern w:val="2"/>
          <w:sz w:val="32"/>
          <w:szCs w:val="32"/>
          <w:highlight w:val="none"/>
          <w:lang w:val="en-US" w:eastAsia="zh-CN" w:bidi="ar-SA"/>
        </w:rPr>
        <w:t>（2）对于“产出质量”：</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宋体" w:eastAsia="仿宋_GB2312" w:cs="Times New Roman"/>
          <w:color w:val="000000"/>
          <w:kern w:val="2"/>
          <w:sz w:val="32"/>
          <w:szCs w:val="32"/>
          <w:highlight w:val="none"/>
          <w:lang w:val="en-US" w:eastAsia="zh-CN" w:bidi="ar"/>
        </w:rPr>
      </w:pPr>
      <w:r>
        <w:rPr>
          <w:rFonts w:hint="eastAsia" w:ascii="仿宋_GB2312" w:hAnsi="黑体" w:eastAsia="仿宋_GB2312" w:cstheme="minorBidi"/>
          <w:color w:val="000000"/>
          <w:kern w:val="2"/>
          <w:sz w:val="32"/>
          <w:szCs w:val="32"/>
          <w:highlight w:val="none"/>
          <w:lang w:val="en-US" w:eastAsia="zh-CN" w:bidi="ar-SA"/>
        </w:rPr>
        <w:t>工程验收合格率100%，与预期目标一致，指标标杆分值为5分，根据评分标准，该指标不扣分，得5分。</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黑体" w:eastAsia="仿宋_GB2312" w:cstheme="minorBidi"/>
          <w:color w:val="000000"/>
          <w:kern w:val="2"/>
          <w:sz w:val="32"/>
          <w:szCs w:val="32"/>
          <w:highlight w:val="none"/>
          <w:lang w:val="en-US" w:eastAsia="zh-CN" w:bidi="ar-SA"/>
        </w:rPr>
      </w:pPr>
      <w:r>
        <w:rPr>
          <w:rFonts w:hint="eastAsia" w:ascii="仿宋_GB2312" w:hAnsi="黑体" w:eastAsia="仿宋_GB2312" w:cstheme="minorBidi"/>
          <w:color w:val="000000"/>
          <w:kern w:val="2"/>
          <w:sz w:val="32"/>
          <w:szCs w:val="32"/>
          <w:highlight w:val="none"/>
          <w:lang w:val="en-US" w:eastAsia="zh-CN" w:bidi="ar-SA"/>
        </w:rPr>
        <w:t>合计得5分。</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黑体" w:eastAsia="仿宋_GB2312" w:cstheme="minorBidi"/>
          <w:color w:val="000000"/>
          <w:kern w:val="2"/>
          <w:sz w:val="32"/>
          <w:szCs w:val="32"/>
          <w:highlight w:val="none"/>
          <w:lang w:val="en-US" w:eastAsia="zh-CN" w:bidi="ar-SA"/>
        </w:rPr>
      </w:pPr>
      <w:r>
        <w:rPr>
          <w:rFonts w:hint="eastAsia" w:ascii="仿宋_GB2312" w:hAnsi="黑体" w:eastAsia="仿宋_GB2312" w:cstheme="minorBidi"/>
          <w:color w:val="000000"/>
          <w:kern w:val="2"/>
          <w:sz w:val="32"/>
          <w:szCs w:val="32"/>
          <w:highlight w:val="none"/>
          <w:lang w:val="en-US" w:eastAsia="zh-CN" w:bidi="ar-SA"/>
        </w:rPr>
        <w:t>（3）对于“产出时效”：</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黑体" w:eastAsia="仿宋_GB2312" w:cstheme="minorBidi"/>
          <w:color w:val="000000"/>
          <w:kern w:val="2"/>
          <w:sz w:val="32"/>
          <w:szCs w:val="32"/>
          <w:highlight w:val="none"/>
          <w:lang w:val="en-US" w:eastAsia="zh-CN" w:bidi="ar-SA"/>
        </w:rPr>
      </w:pPr>
      <w:r>
        <w:rPr>
          <w:rFonts w:hint="eastAsia" w:ascii="仿宋_GB2312" w:hAnsi="黑体" w:eastAsia="仿宋_GB2312" w:cstheme="minorBidi"/>
          <w:color w:val="000000"/>
          <w:kern w:val="2"/>
          <w:sz w:val="32"/>
          <w:szCs w:val="32"/>
          <w:highlight w:val="none"/>
          <w:lang w:val="en-US" w:eastAsia="zh-CN" w:bidi="ar-SA"/>
        </w:rPr>
        <w:t>项目开工时间2022年10月，与预期目标指标一致，指标标杆分值为5分，根据评分标准，该指标不扣分，得5分。</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黑体" w:eastAsia="仿宋_GB2312" w:cstheme="minorBidi"/>
          <w:color w:val="000000"/>
          <w:kern w:val="2"/>
          <w:sz w:val="32"/>
          <w:szCs w:val="32"/>
          <w:highlight w:val="none"/>
          <w:lang w:val="en-US" w:eastAsia="zh-CN" w:bidi="ar-SA"/>
        </w:rPr>
      </w:pPr>
      <w:r>
        <w:rPr>
          <w:rFonts w:hint="eastAsia" w:ascii="仿宋_GB2312" w:hAnsi="黑体" w:eastAsia="仿宋_GB2312" w:cstheme="minorBidi"/>
          <w:color w:val="000000"/>
          <w:kern w:val="2"/>
          <w:sz w:val="32"/>
          <w:szCs w:val="32"/>
          <w:highlight w:val="none"/>
          <w:lang w:val="en-US" w:eastAsia="zh-CN" w:bidi="ar-SA"/>
        </w:rPr>
        <w:t>项目完工时间2022年12月，与预期目标指标一致，指标标杆分值为5分，根据评分标准，该指标不扣分，得5分。</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黑体" w:eastAsia="仿宋_GB2312" w:cstheme="minorBidi"/>
          <w:color w:val="000000"/>
          <w:kern w:val="2"/>
          <w:sz w:val="32"/>
          <w:szCs w:val="32"/>
          <w:highlight w:val="none"/>
          <w:lang w:val="en-US" w:eastAsia="zh-CN" w:bidi="ar-SA"/>
        </w:rPr>
      </w:pPr>
      <w:r>
        <w:rPr>
          <w:rFonts w:hint="eastAsia" w:ascii="仿宋_GB2312" w:hAnsi="黑体" w:eastAsia="仿宋_GB2312" w:cstheme="minorBidi"/>
          <w:color w:val="000000"/>
          <w:kern w:val="2"/>
          <w:sz w:val="32"/>
          <w:szCs w:val="32"/>
          <w:highlight w:val="none"/>
          <w:lang w:val="en-US" w:eastAsia="zh-CN" w:bidi="ar-SA"/>
        </w:rPr>
        <w:t>项目完工及时率100%，与预期目标一致，指标标杆分值为5分，根据评分标准，该指标不扣分，得5分。</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黑体" w:eastAsia="仿宋_GB2312" w:cstheme="minorBidi"/>
          <w:color w:val="000000"/>
          <w:kern w:val="2"/>
          <w:sz w:val="32"/>
          <w:szCs w:val="32"/>
          <w:highlight w:val="none"/>
          <w:lang w:val="en-US" w:eastAsia="zh-CN" w:bidi="ar-SA"/>
        </w:rPr>
      </w:pPr>
      <w:r>
        <w:rPr>
          <w:rFonts w:hint="eastAsia" w:ascii="仿宋_GB2312" w:hAnsi="黑体" w:eastAsia="仿宋_GB2312" w:cstheme="minorBidi"/>
          <w:color w:val="000000"/>
          <w:kern w:val="2"/>
          <w:sz w:val="32"/>
          <w:szCs w:val="32"/>
          <w:highlight w:val="none"/>
          <w:lang w:val="en-US" w:eastAsia="zh-CN" w:bidi="ar-SA"/>
        </w:rPr>
        <w:t>合计得15分。</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黑体" w:eastAsia="仿宋_GB2312" w:cstheme="minorBidi"/>
          <w:color w:val="000000"/>
          <w:kern w:val="2"/>
          <w:sz w:val="32"/>
          <w:szCs w:val="32"/>
          <w:highlight w:val="none"/>
          <w:lang w:val="en-US" w:eastAsia="zh-CN" w:bidi="ar-SA"/>
        </w:rPr>
      </w:pPr>
      <w:r>
        <w:rPr>
          <w:rFonts w:hint="eastAsia" w:ascii="仿宋_GB2312" w:hAnsi="黑体" w:eastAsia="仿宋_GB2312" w:cstheme="minorBidi"/>
          <w:color w:val="000000"/>
          <w:kern w:val="2"/>
          <w:sz w:val="32"/>
          <w:szCs w:val="32"/>
          <w:highlight w:val="none"/>
          <w:lang w:val="en-US" w:eastAsia="zh-CN" w:bidi="ar-SA"/>
        </w:rPr>
        <w:t>（4）对于“产出成本”：</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黑体" w:eastAsia="仿宋_GB2312" w:cstheme="minorBidi"/>
          <w:color w:val="000000"/>
          <w:kern w:val="2"/>
          <w:sz w:val="32"/>
          <w:szCs w:val="32"/>
          <w:highlight w:val="none"/>
          <w:lang w:val="en-US" w:eastAsia="zh-CN" w:bidi="ar-SA"/>
        </w:rPr>
      </w:pPr>
      <w:r>
        <w:rPr>
          <w:rFonts w:hint="eastAsia" w:ascii="仿宋_GB2312" w:hAnsi="黑体" w:eastAsia="仿宋_GB2312" w:cstheme="minorBidi"/>
          <w:color w:val="000000"/>
          <w:kern w:val="2"/>
          <w:sz w:val="32"/>
          <w:szCs w:val="32"/>
          <w:highlight w:val="none"/>
          <w:lang w:val="en-US" w:eastAsia="zh-CN" w:bidi="ar-SA"/>
        </w:rPr>
        <w:t>工程部分投资3007.29万元，项目经费都能控制绩效目标范围内，指标标杆分值为5分，根据评分标准，该指标不扣分，得5分。</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黑体" w:eastAsia="仿宋_GB2312" w:cstheme="minorBidi"/>
          <w:color w:val="000000"/>
          <w:kern w:val="2"/>
          <w:sz w:val="32"/>
          <w:szCs w:val="32"/>
          <w:highlight w:val="none"/>
          <w:lang w:val="en-US" w:eastAsia="zh-CN" w:bidi="ar-SA"/>
        </w:rPr>
      </w:pPr>
      <w:r>
        <w:rPr>
          <w:rFonts w:hint="eastAsia" w:ascii="仿宋_GB2312" w:hAnsi="黑体" w:eastAsia="仿宋_GB2312" w:cstheme="minorBidi"/>
          <w:color w:val="000000"/>
          <w:kern w:val="2"/>
          <w:sz w:val="32"/>
          <w:szCs w:val="32"/>
          <w:highlight w:val="none"/>
          <w:lang w:val="en-US" w:eastAsia="zh-CN" w:bidi="ar-SA"/>
        </w:rPr>
        <w:t>其他费用29.8万元，项目经费都超出控制绩效目标范围内，根据评分标准，指标标杆分值为5分，根据评分标准，该指标不扣分，得5分。</w:t>
      </w:r>
    </w:p>
    <w:p>
      <w:pPr>
        <w:pStyle w:val="2"/>
        <w:pageBreakBefore w:val="0"/>
        <w:widowControl w:val="0"/>
        <w:kinsoku/>
        <w:overflowPunct/>
        <w:topLinePunct w:val="0"/>
        <w:autoSpaceDN/>
        <w:bidi w:val="0"/>
        <w:adjustRightInd/>
        <w:snapToGrid/>
        <w:spacing w:line="560" w:lineRule="exact"/>
        <w:textAlignment w:val="auto"/>
        <w:rPr>
          <w:rFonts w:hint="default" w:ascii="仿宋_GB2312" w:hAnsi="黑体" w:eastAsia="仿宋_GB2312" w:cstheme="minorBidi"/>
          <w:color w:val="000000"/>
          <w:kern w:val="2"/>
          <w:sz w:val="32"/>
          <w:szCs w:val="32"/>
          <w:highlight w:val="none"/>
          <w:lang w:val="en-US" w:eastAsia="zh-CN" w:bidi="ar-SA"/>
        </w:rPr>
      </w:pPr>
      <w:r>
        <w:rPr>
          <w:rFonts w:hint="eastAsia" w:ascii="仿宋_GB2312" w:hAnsi="黑体" w:eastAsia="仿宋_GB2312" w:cstheme="minorBidi"/>
          <w:color w:val="000000"/>
          <w:kern w:val="2"/>
          <w:sz w:val="32"/>
          <w:szCs w:val="32"/>
          <w:highlight w:val="none"/>
          <w:lang w:val="en-US" w:eastAsia="zh-CN" w:bidi="ar-SA"/>
        </w:rPr>
        <w:t>合计得10分。</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3" w:firstLineChars="200"/>
        <w:jc w:val="left"/>
        <w:textAlignment w:val="auto"/>
        <w:rPr>
          <w:rFonts w:hint="eastAsia" w:ascii="仿宋_GB2312" w:hAnsi="黑体" w:eastAsia="仿宋_GB2312" w:cstheme="minorBidi"/>
          <w:b/>
          <w:bCs/>
          <w:color w:val="000000"/>
          <w:kern w:val="2"/>
          <w:sz w:val="32"/>
          <w:szCs w:val="32"/>
          <w:highlight w:val="none"/>
          <w:lang w:val="en-US" w:eastAsia="zh-CN" w:bidi="ar-SA"/>
        </w:rPr>
      </w:pPr>
      <w:r>
        <w:rPr>
          <w:rFonts w:hint="eastAsia" w:ascii="仿宋_GB2312" w:hAnsi="黑体" w:eastAsia="仿宋_GB2312" w:cstheme="minorBidi"/>
          <w:b/>
          <w:bCs/>
          <w:color w:val="000000"/>
          <w:kern w:val="2"/>
          <w:sz w:val="32"/>
          <w:szCs w:val="32"/>
          <w:highlight w:val="none"/>
          <w:lang w:val="en-US" w:eastAsia="zh-CN" w:bidi="ar-SA"/>
        </w:rPr>
        <w:t>2.效益指标完成情况分析。</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黑体" w:eastAsia="仿宋_GB2312" w:cstheme="minorBidi"/>
          <w:color w:val="000000"/>
          <w:kern w:val="2"/>
          <w:sz w:val="32"/>
          <w:szCs w:val="32"/>
          <w:highlight w:val="none"/>
          <w:lang w:val="en-US" w:eastAsia="zh-CN" w:bidi="ar-SA"/>
        </w:rPr>
      </w:pPr>
      <w:r>
        <w:rPr>
          <w:rFonts w:hint="eastAsia" w:ascii="仿宋_GB2312" w:hAnsi="黑体" w:eastAsia="仿宋_GB2312" w:cstheme="minorBidi"/>
          <w:color w:val="000000"/>
          <w:kern w:val="2"/>
          <w:sz w:val="32"/>
          <w:szCs w:val="32"/>
          <w:highlight w:val="none"/>
          <w:lang w:val="en-US" w:eastAsia="zh-CN" w:bidi="ar-SA"/>
        </w:rPr>
        <w:t>1.实施效益指标：</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黑体" w:eastAsia="仿宋_GB2312" w:cstheme="minorBidi"/>
          <w:color w:val="000000"/>
          <w:kern w:val="2"/>
          <w:sz w:val="32"/>
          <w:szCs w:val="32"/>
          <w:highlight w:val="none"/>
          <w:lang w:val="en-US" w:eastAsia="zh-CN" w:bidi="ar-SA"/>
        </w:rPr>
      </w:pPr>
      <w:r>
        <w:rPr>
          <w:rFonts w:hint="eastAsia" w:ascii="仿宋_GB2312" w:hAnsi="黑体" w:eastAsia="仿宋_GB2312" w:cstheme="minorBidi"/>
          <w:color w:val="000000"/>
          <w:kern w:val="2"/>
          <w:sz w:val="32"/>
          <w:szCs w:val="32"/>
          <w:highlight w:val="none"/>
          <w:lang w:val="en-US" w:eastAsia="zh-CN" w:bidi="ar-SA"/>
        </w:rPr>
        <w:t>（1）对于“可持续影响指标”：</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黑体" w:eastAsia="仿宋_GB2312" w:cstheme="minorBidi"/>
          <w:color w:val="000000"/>
          <w:kern w:val="2"/>
          <w:sz w:val="32"/>
          <w:szCs w:val="32"/>
          <w:highlight w:val="none"/>
          <w:lang w:val="en-US" w:eastAsia="zh-CN" w:bidi="ar-SA"/>
        </w:rPr>
      </w:pPr>
      <w:r>
        <w:rPr>
          <w:rFonts w:hint="eastAsia" w:ascii="仿宋_GB2312" w:hAnsi="黑体" w:eastAsia="仿宋_GB2312" w:cstheme="minorBidi"/>
          <w:color w:val="000000"/>
          <w:kern w:val="2"/>
          <w:sz w:val="32"/>
          <w:szCs w:val="32"/>
          <w:highlight w:val="none"/>
          <w:lang w:val="en-US" w:eastAsia="zh-CN" w:bidi="ar-SA"/>
        </w:rPr>
        <w:t>工程设计可持续使用年限20年，与预期指标一致，指标标杆分值为10分，根据评分标准，该指标不扣分，得10分。</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黑体" w:eastAsia="仿宋_GB2312" w:cstheme="minorBidi"/>
          <w:color w:val="000000"/>
          <w:kern w:val="2"/>
          <w:sz w:val="32"/>
          <w:szCs w:val="32"/>
          <w:highlight w:val="none"/>
          <w:lang w:val="en-US" w:eastAsia="zh-CN" w:bidi="ar-SA"/>
        </w:rPr>
      </w:pPr>
      <w:r>
        <w:rPr>
          <w:rFonts w:hint="eastAsia" w:ascii="仿宋_GB2312" w:hAnsi="黑体" w:eastAsia="仿宋_GB2312" w:cstheme="minorBidi"/>
          <w:color w:val="000000"/>
          <w:kern w:val="2"/>
          <w:sz w:val="32"/>
          <w:szCs w:val="32"/>
          <w:highlight w:val="none"/>
          <w:lang w:val="en-US" w:eastAsia="zh-CN" w:bidi="ar-SA"/>
        </w:rPr>
        <w:t>（2）对于“经济效益指标”：</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黑体" w:eastAsia="仿宋_GB2312" w:cstheme="minorBidi"/>
          <w:color w:val="000000"/>
          <w:kern w:val="2"/>
          <w:sz w:val="32"/>
          <w:szCs w:val="32"/>
          <w:highlight w:val="none"/>
          <w:lang w:val="en-US" w:eastAsia="zh-CN" w:bidi="ar-SA"/>
        </w:rPr>
      </w:pPr>
      <w:r>
        <w:rPr>
          <w:rFonts w:hint="eastAsia" w:ascii="仿宋_GB2312" w:hAnsi="黑体" w:eastAsia="仿宋_GB2312" w:cstheme="minorBidi"/>
          <w:color w:val="000000"/>
          <w:kern w:val="2"/>
          <w:sz w:val="32"/>
          <w:szCs w:val="32"/>
          <w:highlight w:val="none"/>
          <w:lang w:val="en-US" w:eastAsia="zh-CN" w:bidi="ar-SA"/>
        </w:rPr>
        <w:t>带动就业人口年收入67.5万元，与预期指标一致，指标标杆分值为5分，根据评分标准，该指标不扣分，得5分。</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黑体" w:eastAsia="仿宋_GB2312" w:cstheme="minorBidi"/>
          <w:color w:val="000000"/>
          <w:kern w:val="2"/>
          <w:sz w:val="32"/>
          <w:szCs w:val="32"/>
          <w:highlight w:val="none"/>
          <w:lang w:val="en-US" w:eastAsia="zh-CN" w:bidi="ar-SA"/>
        </w:rPr>
      </w:pPr>
      <w:r>
        <w:rPr>
          <w:rFonts w:hint="eastAsia" w:ascii="仿宋_GB2312" w:hAnsi="黑体" w:eastAsia="仿宋_GB2312" w:cstheme="minorBidi"/>
          <w:color w:val="000000"/>
          <w:kern w:val="2"/>
          <w:sz w:val="32"/>
          <w:szCs w:val="32"/>
          <w:highlight w:val="none"/>
          <w:lang w:val="en-US" w:eastAsia="zh-CN" w:bidi="ar-SA"/>
        </w:rPr>
        <w:t>（3）对于“社会效益指标”：</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黑体" w:eastAsia="仿宋_GB2312" w:cstheme="minorBidi"/>
          <w:color w:val="000000"/>
          <w:kern w:val="2"/>
          <w:sz w:val="32"/>
          <w:szCs w:val="32"/>
          <w:highlight w:val="none"/>
          <w:lang w:val="en-US" w:eastAsia="zh-CN" w:bidi="ar-SA"/>
        </w:rPr>
      </w:pPr>
      <w:r>
        <w:rPr>
          <w:rFonts w:hint="eastAsia" w:ascii="仿宋_GB2312" w:hAnsi="黑体" w:eastAsia="仿宋_GB2312" w:cstheme="minorBidi"/>
          <w:color w:val="000000"/>
          <w:kern w:val="2"/>
          <w:sz w:val="32"/>
          <w:szCs w:val="32"/>
          <w:highlight w:val="none"/>
          <w:lang w:val="en-US" w:eastAsia="zh-CN" w:bidi="ar-SA"/>
        </w:rPr>
        <w:t>带动就业人口50人，与预期指标一致，指标标杆分值为5分，根据评分标准，该指标不扣分，得5分。</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黑体" w:eastAsia="仿宋_GB2312" w:cstheme="minorBidi"/>
          <w:color w:val="000000"/>
          <w:kern w:val="2"/>
          <w:sz w:val="32"/>
          <w:szCs w:val="32"/>
          <w:highlight w:val="none"/>
          <w:lang w:val="en-US" w:eastAsia="zh-CN" w:bidi="ar-SA"/>
        </w:rPr>
      </w:pPr>
      <w:r>
        <w:rPr>
          <w:rFonts w:hint="eastAsia" w:ascii="仿宋_GB2312" w:hAnsi="黑体" w:eastAsia="仿宋_GB2312" w:cstheme="minorBidi"/>
          <w:color w:val="000000"/>
          <w:kern w:val="2"/>
          <w:sz w:val="32"/>
          <w:szCs w:val="32"/>
          <w:highlight w:val="none"/>
          <w:lang w:val="en-US" w:eastAsia="zh-CN" w:bidi="ar-SA"/>
        </w:rPr>
        <w:t>（3）对于“生态效益指标”：</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黑体" w:eastAsia="仿宋_GB2312" w:cstheme="minorBidi"/>
          <w:color w:val="000000"/>
          <w:kern w:val="2"/>
          <w:sz w:val="32"/>
          <w:szCs w:val="32"/>
          <w:highlight w:val="none"/>
          <w:lang w:val="en-US" w:eastAsia="zh-CN" w:bidi="ar-SA"/>
        </w:rPr>
      </w:pPr>
      <w:r>
        <w:rPr>
          <w:rFonts w:hint="eastAsia" w:ascii="仿宋_GB2312" w:hAnsi="黑体" w:eastAsia="仿宋_GB2312" w:cstheme="minorBidi"/>
          <w:color w:val="000000"/>
          <w:kern w:val="2"/>
          <w:sz w:val="32"/>
          <w:szCs w:val="32"/>
          <w:highlight w:val="none"/>
          <w:lang w:val="en-US" w:eastAsia="zh-CN" w:bidi="ar-SA"/>
        </w:rPr>
        <w:t>灌区的灌溉条件和生态环境得到有效改善，与预期指标一致，指标标杆分值为10分，根据评分标准，该指标不扣分，得10分。</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黑体" w:eastAsia="仿宋_GB2312" w:cstheme="minorBidi"/>
          <w:color w:val="000000"/>
          <w:kern w:val="2"/>
          <w:sz w:val="32"/>
          <w:szCs w:val="32"/>
          <w:highlight w:val="none"/>
          <w:lang w:val="en-US" w:eastAsia="zh-CN" w:bidi="ar-SA"/>
        </w:rPr>
      </w:pPr>
      <w:r>
        <w:rPr>
          <w:rFonts w:hint="eastAsia" w:ascii="仿宋_GB2312" w:hAnsi="黑体" w:eastAsia="仿宋_GB2312" w:cstheme="minorBidi"/>
          <w:color w:val="000000"/>
          <w:kern w:val="2"/>
          <w:sz w:val="32"/>
          <w:szCs w:val="32"/>
          <w:highlight w:val="none"/>
          <w:lang w:val="en-US" w:eastAsia="zh-CN" w:bidi="ar-SA"/>
        </w:rPr>
        <w:t>实施效益指标合计得30分。</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3" w:firstLineChars="200"/>
        <w:jc w:val="left"/>
        <w:textAlignment w:val="auto"/>
        <w:rPr>
          <w:rFonts w:hint="eastAsia" w:ascii="仿宋_GB2312" w:hAnsi="黑体" w:eastAsia="仿宋_GB2312" w:cstheme="minorBidi"/>
          <w:b/>
          <w:bCs/>
          <w:color w:val="000000"/>
          <w:kern w:val="2"/>
          <w:sz w:val="32"/>
          <w:szCs w:val="32"/>
          <w:highlight w:val="none"/>
          <w:lang w:val="en-US" w:eastAsia="zh-CN" w:bidi="ar-SA"/>
        </w:rPr>
      </w:pPr>
      <w:r>
        <w:rPr>
          <w:rFonts w:hint="eastAsia" w:ascii="仿宋_GB2312" w:hAnsi="黑体" w:eastAsia="仿宋_GB2312" w:cstheme="minorBidi"/>
          <w:b/>
          <w:bCs/>
          <w:color w:val="000000"/>
          <w:kern w:val="2"/>
          <w:sz w:val="32"/>
          <w:szCs w:val="32"/>
          <w:highlight w:val="none"/>
          <w:lang w:val="en-US" w:eastAsia="zh-CN" w:bidi="ar-SA"/>
        </w:rPr>
        <w:t>3.满意度指标完成情况分析。</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黑体" w:eastAsia="仿宋_GB2312" w:cstheme="minorBidi"/>
          <w:color w:val="000000"/>
          <w:kern w:val="2"/>
          <w:sz w:val="32"/>
          <w:szCs w:val="32"/>
          <w:highlight w:val="none"/>
          <w:lang w:val="en-US" w:eastAsia="zh-CN" w:bidi="ar-SA"/>
        </w:rPr>
      </w:pPr>
      <w:r>
        <w:rPr>
          <w:rFonts w:hint="eastAsia" w:ascii="仿宋_GB2312" w:hAnsi="黑体" w:eastAsia="仿宋_GB2312" w:cstheme="minorBidi"/>
          <w:color w:val="000000"/>
          <w:kern w:val="2"/>
          <w:sz w:val="32"/>
          <w:szCs w:val="32"/>
          <w:highlight w:val="none"/>
          <w:lang w:val="en-US" w:eastAsia="zh-CN" w:bidi="ar-SA"/>
        </w:rPr>
        <w:t>对于“满意度指标：受益巩固脱贫人员满意度达95%，与预期目标一致，指标标杆分值为10分，根据评分标准，该指标不扣分,得10分。</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3" w:firstLineChars="200"/>
        <w:jc w:val="left"/>
        <w:textAlignment w:val="auto"/>
        <w:rPr>
          <w:rFonts w:hint="eastAsia" w:ascii="仿宋_GB2312" w:hAnsi="黑体" w:eastAsia="仿宋_GB2312" w:cstheme="minorBidi"/>
          <w:b/>
          <w:bCs/>
          <w:color w:val="000000"/>
          <w:kern w:val="2"/>
          <w:sz w:val="32"/>
          <w:szCs w:val="32"/>
          <w:highlight w:val="none"/>
          <w:lang w:val="en-US" w:eastAsia="zh-CN" w:bidi="ar-SA"/>
        </w:rPr>
      </w:pPr>
      <w:r>
        <w:rPr>
          <w:rFonts w:hint="eastAsia" w:ascii="仿宋_GB2312" w:hAnsi="黑体" w:eastAsia="仿宋_GB2312" w:cstheme="minorBidi"/>
          <w:b/>
          <w:bCs/>
          <w:color w:val="000000"/>
          <w:kern w:val="2"/>
          <w:sz w:val="32"/>
          <w:szCs w:val="32"/>
          <w:highlight w:val="none"/>
          <w:lang w:val="en-US" w:eastAsia="zh-CN" w:bidi="ar-SA"/>
        </w:rPr>
        <w:t>四、偏离绩效目标的原因和下一步改进措施</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黑体" w:eastAsia="仿宋_GB2312" w:cstheme="minorBidi"/>
          <w:color w:val="000000"/>
          <w:kern w:val="2"/>
          <w:sz w:val="32"/>
          <w:szCs w:val="32"/>
          <w:highlight w:val="none"/>
          <w:lang w:val="en-US" w:eastAsia="zh-CN" w:bidi="ar-SA"/>
        </w:rPr>
      </w:pPr>
      <w:r>
        <w:rPr>
          <w:rFonts w:hint="eastAsia" w:ascii="仿宋_GB2312" w:hAnsi="黑体" w:eastAsia="仿宋_GB2312" w:cstheme="minorBidi"/>
          <w:color w:val="000000"/>
          <w:kern w:val="2"/>
          <w:sz w:val="32"/>
          <w:szCs w:val="32"/>
          <w:highlight w:val="none"/>
          <w:lang w:val="en-US" w:eastAsia="zh-CN" w:bidi="ar-SA"/>
        </w:rPr>
        <w:t>叶城县特色产业基地保尔水库放水渠下段项目预算3037.09万元，到位3037.09万元，实际支出3037.09万元，预算执行率为100%，项目绩效指标总体完成率为100%，无偏差。</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3" w:firstLineChars="200"/>
        <w:jc w:val="left"/>
        <w:textAlignment w:val="auto"/>
        <w:rPr>
          <w:rFonts w:hint="eastAsia" w:ascii="仿宋_GB2312" w:hAnsi="黑体" w:eastAsia="仿宋_GB2312" w:cstheme="minorBidi"/>
          <w:b/>
          <w:bCs/>
          <w:color w:val="000000"/>
          <w:kern w:val="2"/>
          <w:sz w:val="32"/>
          <w:szCs w:val="32"/>
          <w:highlight w:val="none"/>
          <w:lang w:val="en-US" w:eastAsia="zh-CN" w:bidi="ar-SA"/>
        </w:rPr>
      </w:pPr>
      <w:r>
        <w:rPr>
          <w:rFonts w:hint="eastAsia" w:ascii="仿宋_GB2312" w:hAnsi="黑体" w:eastAsia="仿宋_GB2312" w:cstheme="minorBidi"/>
          <w:b/>
          <w:bCs/>
          <w:color w:val="000000"/>
          <w:kern w:val="2"/>
          <w:sz w:val="32"/>
          <w:szCs w:val="32"/>
          <w:highlight w:val="none"/>
          <w:lang w:val="en-US" w:eastAsia="zh-CN" w:bidi="ar-SA"/>
        </w:rPr>
        <w:t>五、综合评价结论</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黑体" w:eastAsia="仿宋_GB2312" w:cstheme="minorBidi"/>
          <w:color w:val="000000"/>
          <w:kern w:val="2"/>
          <w:sz w:val="32"/>
          <w:szCs w:val="32"/>
          <w:highlight w:val="none"/>
          <w:lang w:val="en-US" w:eastAsia="zh-CN" w:bidi="ar-SA"/>
        </w:rPr>
      </w:pPr>
      <w:r>
        <w:rPr>
          <w:rFonts w:hint="eastAsia" w:ascii="仿宋_GB2312" w:hAnsi="黑体" w:eastAsia="仿宋_GB2312" w:cstheme="minorBidi"/>
          <w:color w:val="000000"/>
          <w:kern w:val="2"/>
          <w:sz w:val="32"/>
          <w:szCs w:val="32"/>
          <w:highlight w:val="none"/>
          <w:lang w:val="en-US" w:eastAsia="zh-CN" w:bidi="ar-SA"/>
        </w:rP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黑体" w:eastAsia="仿宋_GB2312" w:cstheme="minorBidi"/>
          <w:color w:val="000000"/>
          <w:kern w:val="2"/>
          <w:sz w:val="32"/>
          <w:szCs w:val="32"/>
          <w:highlight w:val="none"/>
          <w:lang w:val="en-US" w:eastAsia="zh-CN" w:bidi="ar-SA"/>
        </w:rPr>
      </w:pPr>
      <w:r>
        <w:rPr>
          <w:rFonts w:hint="eastAsia" w:ascii="仿宋_GB2312" w:hAnsi="黑体" w:eastAsia="仿宋_GB2312" w:cstheme="minorBidi"/>
          <w:color w:val="000000"/>
          <w:kern w:val="2"/>
          <w:sz w:val="32"/>
          <w:szCs w:val="32"/>
          <w:highlight w:val="none"/>
          <w:lang w:val="en-US" w:eastAsia="zh-CN" w:bidi="ar-SA"/>
        </w:rPr>
        <w:t>叶城县特色产业基地保尔水库放水渠下段项目已完成防渗衬砌改建长度5.488km，设计流量为4-5立方米每秒，配套改建18座渠系建筑物，灌区供水体系将得到改善，用水矛盾得到缓解，增加农民收入，促进农村经济发展。</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黑体" w:eastAsia="仿宋_GB2312" w:cstheme="minorBidi"/>
          <w:color w:val="000000"/>
          <w:kern w:val="2"/>
          <w:sz w:val="32"/>
          <w:szCs w:val="32"/>
          <w:highlight w:val="none"/>
          <w:lang w:val="en-US" w:eastAsia="zh-CN" w:bidi="ar-SA"/>
        </w:rPr>
      </w:pPr>
      <w:r>
        <w:rPr>
          <w:rFonts w:hint="eastAsia" w:ascii="仿宋_GB2312" w:hAnsi="黑体" w:eastAsia="仿宋_GB2312" w:cstheme="minorBidi"/>
          <w:color w:val="000000"/>
          <w:kern w:val="2"/>
          <w:sz w:val="32"/>
          <w:szCs w:val="32"/>
          <w:highlight w:val="none"/>
          <w:lang w:val="en-US" w:eastAsia="zh-CN" w:bidi="ar-SA"/>
        </w:rPr>
        <w:t>该项目最终评分100分，绩效评级为“优”。</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3" w:firstLineChars="200"/>
        <w:jc w:val="left"/>
        <w:textAlignment w:val="auto"/>
        <w:rPr>
          <w:rFonts w:hint="eastAsia" w:ascii="仿宋_GB2312" w:hAnsi="黑体" w:eastAsia="仿宋_GB2312" w:cstheme="minorBidi"/>
          <w:b/>
          <w:bCs/>
          <w:color w:val="000000"/>
          <w:kern w:val="2"/>
          <w:sz w:val="32"/>
          <w:szCs w:val="32"/>
          <w:highlight w:val="none"/>
          <w:lang w:val="en-US" w:eastAsia="zh-CN" w:bidi="ar-SA"/>
        </w:rPr>
      </w:pPr>
      <w:r>
        <w:rPr>
          <w:rFonts w:hint="eastAsia" w:ascii="仿宋_GB2312" w:hAnsi="黑体" w:eastAsia="仿宋_GB2312" w:cstheme="minorBidi"/>
          <w:b/>
          <w:bCs/>
          <w:color w:val="000000"/>
          <w:kern w:val="2"/>
          <w:sz w:val="32"/>
          <w:szCs w:val="32"/>
          <w:highlight w:val="none"/>
          <w:lang w:val="en-US" w:eastAsia="zh-CN" w:bidi="ar-SA"/>
        </w:rPr>
        <w:t>六、绩效自评结果拟应用和公开情况</w:t>
      </w:r>
    </w:p>
    <w:p>
      <w:pPr>
        <w:pStyle w:val="16"/>
        <w:pageBreakBefore w:val="0"/>
        <w:widowControl w:val="0"/>
        <w:kinsoku/>
        <w:overflowPunct/>
        <w:topLinePunct w:val="0"/>
        <w:autoSpaceDN/>
        <w:bidi w:val="0"/>
        <w:adjustRightInd/>
        <w:snapToGrid/>
        <w:spacing w:line="560" w:lineRule="exact"/>
        <w:ind w:firstLine="640"/>
        <w:textAlignment w:val="auto"/>
        <w:rPr>
          <w:rFonts w:hint="eastAsia" w:ascii="仿宋_GB2312" w:hAnsi="黑体" w:eastAsia="仿宋_GB2312" w:cstheme="minorBidi"/>
          <w:b/>
          <w:bCs/>
          <w:color w:val="000000"/>
          <w:kern w:val="2"/>
          <w:sz w:val="32"/>
          <w:szCs w:val="32"/>
          <w:highlight w:val="none"/>
          <w:lang w:val="en-US" w:eastAsia="zh-CN" w:bidi="ar-SA"/>
        </w:rPr>
      </w:pPr>
      <w:r>
        <w:rPr>
          <w:rFonts w:hint="eastAsia" w:ascii="仿宋_GB2312" w:hAnsi="黑体" w:eastAsia="仿宋_GB2312" w:cstheme="minorBidi"/>
          <w:b/>
          <w:bCs/>
          <w:color w:val="000000"/>
          <w:kern w:val="2"/>
          <w:sz w:val="32"/>
          <w:szCs w:val="32"/>
          <w:highlight w:val="none"/>
          <w:lang w:val="en-US" w:eastAsia="zh-CN" w:bidi="ar-SA"/>
        </w:rPr>
        <w:t>（一）对衔接推进乡村振兴补助资金项目、绩效公告公示情况</w:t>
      </w:r>
    </w:p>
    <w:p>
      <w:pPr>
        <w:pStyle w:val="16"/>
        <w:pageBreakBefore w:val="0"/>
        <w:widowControl w:val="0"/>
        <w:kinsoku/>
        <w:overflowPunct/>
        <w:topLinePunct w:val="0"/>
        <w:autoSpaceDN/>
        <w:bidi w:val="0"/>
        <w:adjustRightInd/>
        <w:snapToGrid/>
        <w:spacing w:line="560" w:lineRule="exact"/>
        <w:ind w:firstLine="640"/>
        <w:textAlignment w:val="auto"/>
        <w:rPr>
          <w:rFonts w:hint="eastAsia" w:ascii="仿宋_GB2312" w:hAnsi="黑体" w:eastAsia="仿宋_GB2312" w:cstheme="minorBidi"/>
          <w:color w:val="000000"/>
          <w:kern w:val="2"/>
          <w:sz w:val="32"/>
          <w:szCs w:val="32"/>
          <w:highlight w:val="none"/>
          <w:lang w:val="en-US" w:eastAsia="zh-CN" w:bidi="ar-SA"/>
        </w:rPr>
      </w:pPr>
      <w:r>
        <w:rPr>
          <w:rFonts w:hint="eastAsia" w:ascii="仿宋_GB2312" w:hAnsi="黑体" w:eastAsia="仿宋_GB2312" w:cstheme="minorBidi"/>
          <w:color w:val="000000"/>
          <w:kern w:val="2"/>
          <w:sz w:val="32"/>
          <w:szCs w:val="32"/>
          <w:highlight w:val="none"/>
          <w:lang w:val="en-US" w:eastAsia="zh-CN" w:bidi="ar-SA"/>
        </w:rPr>
        <w:t>按照《国务院办公厅关于印发2017年政务公开工作要点的通知》（国发办【2017】24号）、《新疆维吾尔自治区财政衔接推进乡村振兴补助资金管理办法》（新材规【2021】11号）文件要求：由叶城县财政局扶贫股核对本项目资金及建设内容、由叶城县财政局绩效评价中心于2022年1月19日对项目绩效目标在叶城县人民政府网（http://www.xjyc.gov.cn/ycx/c107308/zwgk.shtml）进行公开，项目实施前在相关乡镇进行了张榜公开，接受社会监督。</w:t>
      </w:r>
    </w:p>
    <w:p>
      <w:pPr>
        <w:pStyle w:val="16"/>
        <w:pageBreakBefore w:val="0"/>
        <w:widowControl w:val="0"/>
        <w:kinsoku/>
        <w:overflowPunct/>
        <w:topLinePunct w:val="0"/>
        <w:autoSpaceDN/>
        <w:bidi w:val="0"/>
        <w:adjustRightInd/>
        <w:snapToGrid/>
        <w:spacing w:line="560" w:lineRule="exact"/>
        <w:ind w:firstLine="640"/>
        <w:textAlignment w:val="auto"/>
        <w:rPr>
          <w:rFonts w:hint="eastAsia" w:ascii="仿宋_GB2312" w:hAnsi="黑体" w:eastAsia="仿宋_GB2312" w:cstheme="minorBidi"/>
          <w:b/>
          <w:bCs/>
          <w:color w:val="000000"/>
          <w:kern w:val="2"/>
          <w:sz w:val="32"/>
          <w:szCs w:val="32"/>
          <w:highlight w:val="none"/>
          <w:lang w:val="en-US" w:eastAsia="zh-CN" w:bidi="ar-SA"/>
        </w:rPr>
      </w:pPr>
      <w:r>
        <w:rPr>
          <w:rFonts w:hint="eastAsia" w:ascii="仿宋_GB2312" w:hAnsi="黑体" w:eastAsia="仿宋_GB2312" w:cstheme="minorBidi"/>
          <w:b/>
          <w:bCs/>
          <w:color w:val="000000"/>
          <w:kern w:val="2"/>
          <w:sz w:val="32"/>
          <w:szCs w:val="32"/>
          <w:highlight w:val="none"/>
          <w:lang w:val="en-US" w:eastAsia="zh-CN" w:bidi="ar-SA"/>
        </w:rPr>
        <w:t>（二）对绩效自评结果拟应用情况进行说明</w:t>
      </w:r>
    </w:p>
    <w:p>
      <w:pPr>
        <w:pStyle w:val="16"/>
        <w:pageBreakBefore w:val="0"/>
        <w:widowControl w:val="0"/>
        <w:kinsoku/>
        <w:overflowPunct/>
        <w:topLinePunct w:val="0"/>
        <w:autoSpaceDN/>
        <w:bidi w:val="0"/>
        <w:adjustRightInd/>
        <w:snapToGrid/>
        <w:spacing w:line="560" w:lineRule="exact"/>
        <w:ind w:firstLine="640"/>
        <w:textAlignment w:val="auto"/>
        <w:rPr>
          <w:rFonts w:hint="eastAsia" w:ascii="仿宋_GB2312" w:hAnsi="黑体" w:eastAsia="仿宋_GB2312" w:cstheme="minorBidi"/>
          <w:color w:val="000000"/>
          <w:kern w:val="2"/>
          <w:sz w:val="32"/>
          <w:szCs w:val="32"/>
          <w:highlight w:val="none"/>
          <w:lang w:val="en-US" w:eastAsia="zh-CN" w:bidi="ar-SA"/>
        </w:rPr>
      </w:pPr>
      <w:r>
        <w:rPr>
          <w:rFonts w:hint="eastAsia" w:ascii="仿宋_GB2312" w:hAnsi="黑体" w:eastAsia="仿宋_GB2312" w:cstheme="minorBidi"/>
          <w:color w:val="000000"/>
          <w:kern w:val="2"/>
          <w:sz w:val="32"/>
          <w:szCs w:val="32"/>
          <w:highlight w:val="none"/>
          <w:lang w:val="en-US" w:eastAsia="zh-CN" w:bidi="ar-SA"/>
        </w:rPr>
        <w:t xml:space="preserve">绩效自评的结果应用，既是开展绩效评价工作的基本前提，又是加强财政支出管理、增强资金绩效理念、合理配置公共资源、优化财政支出结构、强化资金管理水平、提高资金使用效益的重要手段。为使绩效评价结果得到合理应用，将此次绩效评价结果作为以后年度建设资金分配的重要依据。绩效评价是对效果的评价，评价结果直接反应项目实施的效益。评价结果优秀并绩效突出的：对于实施过程评价的项目，财政部门要在安排该项目后续资金时给予优先保障；对于完成结果评价的项目，财政部门要在安排该部门其他项目资金时给予综合考虑。评价结果为不合格的：对于实施过程评价的项目，财政部门要及时提出整改意见，整改期间暂停已安排资金的拨款或支付，未按要求落实整改的，要会同有关部门向同级人民政府提出暂停该项目实施的建议，由同级人民政府确定该项目是否继续实施；对于完成结果评价的项目，在安排该部门新增项目资金时，应从紧考虑，并加强项目前期论证和综合分析，以确保项目资金使用的安全有效。                                          </w:t>
      </w:r>
    </w:p>
    <w:p>
      <w:pPr>
        <w:pStyle w:val="16"/>
        <w:pageBreakBefore w:val="0"/>
        <w:widowControl w:val="0"/>
        <w:kinsoku/>
        <w:overflowPunct/>
        <w:topLinePunct w:val="0"/>
        <w:autoSpaceDN/>
        <w:bidi w:val="0"/>
        <w:adjustRightInd/>
        <w:snapToGrid/>
        <w:spacing w:line="560" w:lineRule="exact"/>
        <w:ind w:firstLine="640"/>
        <w:textAlignment w:val="auto"/>
        <w:rPr>
          <w:rFonts w:hint="eastAsia" w:ascii="仿宋_GB2312" w:hAnsi="黑体" w:eastAsia="仿宋_GB2312" w:cstheme="minorBidi"/>
          <w:color w:val="000000"/>
          <w:kern w:val="2"/>
          <w:sz w:val="32"/>
          <w:szCs w:val="32"/>
          <w:highlight w:val="none"/>
          <w:lang w:val="en-US" w:eastAsia="zh-CN" w:bidi="ar-SA"/>
        </w:rPr>
      </w:pPr>
      <w:r>
        <w:rPr>
          <w:rFonts w:hint="eastAsia" w:ascii="仿宋_GB2312" w:hAnsi="黑体" w:eastAsia="仿宋_GB2312" w:cstheme="minorBidi"/>
          <w:color w:val="000000"/>
          <w:kern w:val="2"/>
          <w:sz w:val="32"/>
          <w:szCs w:val="32"/>
          <w:highlight w:val="none"/>
          <w:lang w:val="en-US" w:eastAsia="zh-CN" w:bidi="ar-SA"/>
        </w:rPr>
        <w:t>该项目结果应用：一是将自评结果报送县财政局及地区财政局，根据绩效自评结果作为下一年度资金安排参考。二是今后我单位会注重结果导向、强调成本效益、硬化责任约束，不断加强绩效管理队伍建设，提升业务素质，提高预算管理水平和政策实施效果，实现预算和绩效管理一体化，着力提高财政资源配置效率和使用效益，全面提升我单位公共服务水平。</w:t>
      </w:r>
    </w:p>
    <w:p>
      <w:pPr>
        <w:pStyle w:val="16"/>
        <w:pageBreakBefore w:val="0"/>
        <w:widowControl w:val="0"/>
        <w:kinsoku/>
        <w:overflowPunct/>
        <w:topLinePunct w:val="0"/>
        <w:autoSpaceDN/>
        <w:bidi w:val="0"/>
        <w:adjustRightInd/>
        <w:snapToGrid/>
        <w:spacing w:line="560" w:lineRule="exact"/>
        <w:ind w:firstLine="640"/>
        <w:textAlignment w:val="auto"/>
        <w:rPr>
          <w:rFonts w:hint="eastAsia" w:ascii="仿宋_GB2312" w:hAnsi="黑体" w:eastAsia="仿宋_GB2312" w:cstheme="minorBidi"/>
          <w:color w:val="000000"/>
          <w:kern w:val="2"/>
          <w:sz w:val="32"/>
          <w:szCs w:val="32"/>
          <w:highlight w:val="none"/>
          <w:lang w:val="en-US" w:eastAsia="zh-CN" w:bidi="ar-SA"/>
        </w:rPr>
      </w:pPr>
      <w:r>
        <w:rPr>
          <w:rFonts w:hint="eastAsia" w:ascii="仿宋_GB2312" w:hAnsi="黑体" w:eastAsia="仿宋_GB2312" w:cstheme="minorBidi"/>
          <w:color w:val="000000"/>
          <w:kern w:val="2"/>
          <w:sz w:val="32"/>
          <w:szCs w:val="32"/>
          <w:highlight w:val="none"/>
          <w:lang w:val="en-US" w:eastAsia="zh-CN" w:bidi="ar-SA"/>
        </w:rPr>
        <w:t>本项目在本年度实施过程中，严格按照衔接补助资金管理办法，部门实行监督管理制度和项目负责人终生追责制等管理方法，夯实各级部门职责，对被评价项目的绩效情况、完成程度和存在的问题与建议加以综合分析，建立评价结果在部门预算安排中的激励与约束机制，逐步发挥绩效评价工作的应有作用。</w:t>
      </w:r>
    </w:p>
    <w:p>
      <w:pPr>
        <w:pStyle w:val="16"/>
        <w:pageBreakBefore w:val="0"/>
        <w:widowControl w:val="0"/>
        <w:kinsoku/>
        <w:overflowPunct/>
        <w:topLinePunct w:val="0"/>
        <w:autoSpaceDN/>
        <w:bidi w:val="0"/>
        <w:adjustRightInd/>
        <w:snapToGrid/>
        <w:spacing w:line="560" w:lineRule="exact"/>
        <w:ind w:firstLine="640"/>
        <w:textAlignment w:val="auto"/>
        <w:rPr>
          <w:rFonts w:hint="eastAsia" w:ascii="仿宋_GB2312" w:hAnsi="黑体" w:eastAsia="仿宋_GB2312" w:cstheme="minorBidi"/>
          <w:b/>
          <w:bCs/>
          <w:color w:val="000000"/>
          <w:kern w:val="2"/>
          <w:sz w:val="32"/>
          <w:szCs w:val="32"/>
          <w:highlight w:val="none"/>
          <w:lang w:val="en-US" w:eastAsia="zh-CN" w:bidi="ar-SA"/>
        </w:rPr>
      </w:pPr>
      <w:r>
        <w:rPr>
          <w:rFonts w:hint="eastAsia" w:ascii="仿宋_GB2312" w:hAnsi="黑体" w:eastAsia="仿宋_GB2312" w:cstheme="minorBidi"/>
          <w:b/>
          <w:bCs/>
          <w:color w:val="000000"/>
          <w:kern w:val="2"/>
          <w:sz w:val="32"/>
          <w:szCs w:val="32"/>
          <w:highlight w:val="none"/>
          <w:lang w:val="en-US" w:eastAsia="zh-CN" w:bidi="ar-SA"/>
        </w:rPr>
        <w:t>（三）对二级指标权重(分值)分配情况进行说明，赋权的方法或者原则</w:t>
      </w:r>
    </w:p>
    <w:p>
      <w:pPr>
        <w:pStyle w:val="16"/>
        <w:pageBreakBefore w:val="0"/>
        <w:widowControl w:val="0"/>
        <w:kinsoku/>
        <w:overflowPunct/>
        <w:topLinePunct w:val="0"/>
        <w:autoSpaceDN/>
        <w:bidi w:val="0"/>
        <w:adjustRightInd/>
        <w:snapToGrid/>
        <w:spacing w:line="560" w:lineRule="exact"/>
        <w:ind w:firstLine="640"/>
        <w:textAlignment w:val="auto"/>
        <w:rPr>
          <w:rFonts w:hint="eastAsia" w:ascii="仿宋_GB2312" w:hAnsi="黑体" w:eastAsia="仿宋_GB2312" w:cstheme="minorBidi"/>
          <w:color w:val="000000"/>
          <w:kern w:val="2"/>
          <w:sz w:val="32"/>
          <w:szCs w:val="32"/>
          <w:highlight w:val="none"/>
          <w:lang w:val="en-US" w:eastAsia="zh-CN" w:bidi="ar-SA"/>
        </w:rPr>
      </w:pPr>
      <w:r>
        <w:rPr>
          <w:rFonts w:hint="eastAsia" w:ascii="仿宋_GB2312" w:hAnsi="黑体" w:eastAsia="仿宋_GB2312" w:cstheme="minorBidi"/>
          <w:color w:val="000000"/>
          <w:kern w:val="2"/>
          <w:sz w:val="32"/>
          <w:szCs w:val="32"/>
          <w:highlight w:val="none"/>
          <w:lang w:val="en-US" w:eastAsia="zh-CN" w:bidi="ar-SA"/>
        </w:rPr>
        <w:t>绩效评价指标体系中各指标的权重和分值由本项目绩效评价小组根据绩效评价原理和评价需求，在调研基础上，考虑本项目绩效评价的侧重点和关键环节，依据指标的重要性产生，并经充分讨论后，报绩效评价小组进行审查，根据审查意见，对相关指标权重和分值调整后确定。</w:t>
      </w:r>
    </w:p>
    <w:p>
      <w:pPr>
        <w:pStyle w:val="16"/>
        <w:pageBreakBefore w:val="0"/>
        <w:widowControl w:val="0"/>
        <w:kinsoku/>
        <w:overflowPunct/>
        <w:topLinePunct w:val="0"/>
        <w:autoSpaceDN/>
        <w:bidi w:val="0"/>
        <w:adjustRightInd/>
        <w:snapToGrid/>
        <w:spacing w:line="560" w:lineRule="exact"/>
        <w:ind w:firstLine="640"/>
        <w:textAlignment w:val="auto"/>
        <w:rPr>
          <w:rFonts w:hint="eastAsia" w:ascii="仿宋_GB2312" w:hAnsi="黑体" w:eastAsia="仿宋_GB2312" w:cstheme="minorBidi"/>
          <w:color w:val="000000"/>
          <w:kern w:val="2"/>
          <w:sz w:val="32"/>
          <w:szCs w:val="32"/>
          <w:highlight w:val="none"/>
          <w:lang w:val="en-US" w:eastAsia="zh-CN" w:bidi="ar-SA"/>
        </w:rPr>
      </w:pPr>
    </w:p>
    <w:p>
      <w:pPr>
        <w:pStyle w:val="2"/>
        <w:pageBreakBefore w:val="0"/>
        <w:widowControl w:val="0"/>
        <w:numPr>
          <w:ilvl w:val="0"/>
          <w:numId w:val="0"/>
        </w:numPr>
        <w:kinsoku/>
        <w:overflowPunct/>
        <w:topLinePunct w:val="0"/>
        <w:autoSpaceDN/>
        <w:bidi w:val="0"/>
        <w:adjustRightInd/>
        <w:snapToGrid/>
        <w:spacing w:line="560" w:lineRule="exact"/>
        <w:ind w:leftChars="200"/>
        <w:textAlignment w:val="auto"/>
        <w:rPr>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HYb2gj">
    <w:altName w:val="宋体"/>
    <w:panose1 w:val="00000000000000000000"/>
    <w:charset w:val="86"/>
    <w:family w:val="modern"/>
    <w:pitch w:val="default"/>
    <w:sig w:usb0="00000000" w:usb1="00000000" w:usb2="0000001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0A26"/>
    <w:rsid w:val="003E0379"/>
    <w:rsid w:val="0055176E"/>
    <w:rsid w:val="00F20A26"/>
    <w:rsid w:val="059A592B"/>
    <w:rsid w:val="05BB0039"/>
    <w:rsid w:val="11F170BA"/>
    <w:rsid w:val="187A025D"/>
    <w:rsid w:val="1937751C"/>
    <w:rsid w:val="1ABF7AF2"/>
    <w:rsid w:val="23270747"/>
    <w:rsid w:val="29EC0C5C"/>
    <w:rsid w:val="2AB127A3"/>
    <w:rsid w:val="2E51749D"/>
    <w:rsid w:val="317A42C7"/>
    <w:rsid w:val="31AE0AA6"/>
    <w:rsid w:val="361A227D"/>
    <w:rsid w:val="3AFA7CA6"/>
    <w:rsid w:val="41871287"/>
    <w:rsid w:val="51F84D02"/>
    <w:rsid w:val="609F5A19"/>
    <w:rsid w:val="65FB514F"/>
    <w:rsid w:val="66FB5A93"/>
    <w:rsid w:val="7E984E50"/>
    <w:rsid w:val="7EC43A0C"/>
    <w:rsid w:val="FD3F35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4">
    <w:name w:val="heading 1"/>
    <w:basedOn w:val="1"/>
    <w:next w:val="2"/>
    <w:qFormat/>
    <w:uiPriority w:val="9"/>
    <w:pPr>
      <w:keepNext/>
      <w:keepLines/>
      <w:spacing w:before="340" w:after="330" w:line="578" w:lineRule="auto"/>
      <w:jc w:val="left"/>
      <w:outlineLvl w:val="0"/>
    </w:pPr>
    <w:rPr>
      <w:rFonts w:ascii="Times New Roman" w:hAnsi="Times New Roman" w:cs="Times New Roman"/>
      <w:b/>
      <w:bCs/>
      <w:kern w:val="44"/>
      <w:sz w:val="32"/>
      <w:szCs w:val="44"/>
    </w:rPr>
  </w:style>
  <w:style w:type="paragraph" w:styleId="5">
    <w:name w:val="heading 2"/>
    <w:basedOn w:val="1"/>
    <w:next w:val="6"/>
    <w:qFormat/>
    <w:uiPriority w:val="0"/>
    <w:pPr>
      <w:keepNext/>
      <w:keepLines/>
      <w:spacing w:before="260" w:after="260" w:line="415" w:lineRule="auto"/>
      <w:ind w:firstLine="200"/>
      <w:jc w:val="left"/>
      <w:outlineLvl w:val="1"/>
    </w:pPr>
    <w:rPr>
      <w:rFonts w:ascii="Cambria" w:hAnsi="Cambria" w:cs="Times New Roman"/>
      <w:b/>
      <w:bCs/>
      <w:kern w:val="0"/>
      <w:sz w:val="30"/>
      <w:szCs w:val="32"/>
    </w:rPr>
  </w:style>
  <w:style w:type="paragraph" w:styleId="7">
    <w:name w:val="heading 3"/>
    <w:basedOn w:val="1"/>
    <w:next w:val="1"/>
    <w:qFormat/>
    <w:uiPriority w:val="9"/>
    <w:pPr>
      <w:keepNext/>
      <w:keepLines/>
      <w:spacing w:before="260" w:after="260" w:line="416" w:lineRule="auto"/>
      <w:jc w:val="left"/>
      <w:outlineLvl w:val="2"/>
    </w:pPr>
    <w:rPr>
      <w:rFonts w:cs="Times New Roman"/>
      <w:bCs/>
      <w:kern w:val="0"/>
      <w:szCs w:val="32"/>
    </w:rPr>
  </w:style>
  <w:style w:type="character" w:default="1" w:styleId="13">
    <w:name w:val="Default Paragraph Font"/>
    <w:unhideWhenUsed/>
    <w:qFormat/>
    <w:uiPriority w:val="1"/>
  </w:style>
  <w:style w:type="table" w:default="1" w:styleId="12">
    <w:name w:val="Normal Table"/>
    <w:unhideWhenUsed/>
    <w:qFormat/>
    <w:uiPriority w:val="99"/>
    <w:tblPr>
      <w:tblCellMar>
        <w:top w:w="0" w:type="dxa"/>
        <w:left w:w="108" w:type="dxa"/>
        <w:bottom w:w="0" w:type="dxa"/>
        <w:right w:w="108" w:type="dxa"/>
      </w:tblCellMar>
    </w:tblPr>
  </w:style>
  <w:style w:type="paragraph" w:styleId="2">
    <w:name w:val="Body Text First Indent 2"/>
    <w:basedOn w:val="3"/>
    <w:unhideWhenUsed/>
    <w:qFormat/>
    <w:uiPriority w:val="0"/>
    <w:pPr>
      <w:ind w:firstLine="420"/>
    </w:pPr>
  </w:style>
  <w:style w:type="paragraph" w:styleId="3">
    <w:name w:val="Body Text Indent"/>
    <w:basedOn w:val="1"/>
    <w:unhideWhenUsed/>
    <w:qFormat/>
    <w:uiPriority w:val="99"/>
    <w:pPr>
      <w:spacing w:after="120"/>
      <w:ind w:left="420" w:leftChars="200"/>
    </w:pPr>
    <w:rPr>
      <w:rFonts w:cs="Times New Roman"/>
      <w:kern w:val="0"/>
      <w:szCs w:val="20"/>
    </w:rPr>
  </w:style>
  <w:style w:type="paragraph" w:styleId="6">
    <w:name w:val="Body Text"/>
    <w:basedOn w:val="1"/>
    <w:qFormat/>
    <w:uiPriority w:val="0"/>
    <w:pPr>
      <w:spacing w:before="240" w:after="240" w:line="360" w:lineRule="auto"/>
      <w:jc w:val="center"/>
    </w:pPr>
    <w:rPr>
      <w:b/>
      <w:sz w:val="44"/>
    </w:rPr>
  </w:style>
  <w:style w:type="paragraph" w:styleId="8">
    <w:name w:val="Plain Text"/>
    <w:basedOn w:val="1"/>
    <w:unhideWhenUsed/>
    <w:qFormat/>
    <w:uiPriority w:val="99"/>
    <w:rPr>
      <w:rFonts w:ascii="宋体" w:hAnsi="Courier New"/>
    </w:rPr>
  </w:style>
  <w:style w:type="paragraph" w:styleId="9">
    <w:name w:val="Body Text Indent 2"/>
    <w:basedOn w:val="1"/>
    <w:qFormat/>
    <w:uiPriority w:val="0"/>
    <w:pPr>
      <w:ind w:firstLine="280"/>
    </w:pPr>
    <w:rPr>
      <w:rFonts w:ascii="仿宋_GB2312" w:hAnsi="仿宋_GB2312" w:eastAsia="仿宋_GB2312"/>
      <w:kern w:val="1"/>
      <w:sz w:val="28"/>
    </w:rPr>
  </w:style>
  <w:style w:type="paragraph" w:styleId="10">
    <w:name w:val="footer"/>
    <w:basedOn w:val="1"/>
    <w:unhideWhenUsed/>
    <w:qFormat/>
    <w:uiPriority w:val="99"/>
    <w:pPr>
      <w:tabs>
        <w:tab w:val="center" w:pos="4153"/>
        <w:tab w:val="right" w:pos="8306"/>
      </w:tabs>
      <w:snapToGrid w:val="0"/>
      <w:jc w:val="left"/>
    </w:pPr>
    <w:rPr>
      <w:rFonts w:cs="Times New Roman"/>
      <w:kern w:val="0"/>
      <w:sz w:val="18"/>
      <w:szCs w:val="18"/>
    </w:rPr>
  </w:style>
  <w:style w:type="paragraph" w:styleId="11">
    <w:name w:val="header"/>
    <w:basedOn w:val="1"/>
    <w:unhideWhenUsed/>
    <w:qFormat/>
    <w:uiPriority w:val="99"/>
    <w:pPr>
      <w:pBdr>
        <w:bottom w:val="single" w:color="auto" w:sz="6" w:space="1"/>
      </w:pBdr>
      <w:tabs>
        <w:tab w:val="center" w:pos="4153"/>
        <w:tab w:val="right" w:pos="8306"/>
      </w:tabs>
      <w:snapToGrid w:val="0"/>
      <w:jc w:val="center"/>
    </w:pPr>
    <w:rPr>
      <w:rFonts w:cs="Times New Roman"/>
      <w:kern w:val="0"/>
      <w:sz w:val="18"/>
      <w:szCs w:val="18"/>
    </w:rPr>
  </w:style>
  <w:style w:type="character" w:styleId="14">
    <w:name w:val="Strong"/>
    <w:basedOn w:val="13"/>
    <w:qFormat/>
    <w:uiPriority w:val="0"/>
    <w:rPr>
      <w:b/>
      <w:bCs/>
    </w:rPr>
  </w:style>
  <w:style w:type="paragraph" w:customStyle="1" w:styleId="15">
    <w:name w:val="Default"/>
    <w:next w:val="1"/>
    <w:qFormat/>
    <w:uiPriority w:val="0"/>
    <w:pPr>
      <w:widowControl w:val="0"/>
      <w:autoSpaceDE w:val="0"/>
      <w:autoSpaceDN w:val="0"/>
      <w:adjustRightInd w:val="0"/>
    </w:pPr>
    <w:rPr>
      <w:rFonts w:ascii="HYb2gj" w:hAnsi="Times New Roman" w:eastAsia="HYb2gj" w:cs="HYb2gj"/>
      <w:color w:val="000000"/>
      <w:sz w:val="24"/>
      <w:szCs w:val="24"/>
      <w:lang w:val="en-US" w:eastAsia="zh-CN" w:bidi="ar-SA"/>
    </w:rPr>
  </w:style>
  <w:style w:type="paragraph" w:customStyle="1" w:styleId="16">
    <w:name w:val="闻政-正文段落文字"/>
    <w:basedOn w:val="1"/>
    <w:qFormat/>
    <w:uiPriority w:val="3"/>
    <w:pPr>
      <w:spacing w:line="500" w:lineRule="exact"/>
      <w:ind w:firstLine="200"/>
    </w:pPr>
    <w:rPr>
      <w:rFonts w:ascii="Times New Roman" w:hAnsi="Times New Roman" w:cs="Times New Roman"/>
      <w:kern w:val="0"/>
      <w:szCs w:val="28"/>
    </w:rPr>
  </w:style>
  <w:style w:type="paragraph" w:customStyle="1" w:styleId="17">
    <w:name w:val="闻政-正文二级标题"/>
    <w:basedOn w:val="5"/>
    <w:next w:val="16"/>
    <w:qFormat/>
    <w:uiPriority w:val="3"/>
    <w:pPr>
      <w:spacing w:before="120" w:after="60" w:line="500" w:lineRule="exact"/>
      <w:ind w:left="200" w:leftChars="200" w:firstLine="0" w:firstLineChars="0"/>
    </w:pPr>
    <w:rPr>
      <w:rFonts w:ascii="Times New Roman" w:hAnsi="Times New Roman"/>
      <w:sz w:val="28"/>
    </w:rPr>
  </w:style>
  <w:style w:type="paragraph" w:customStyle="1" w:styleId="18">
    <w:name w:val="闻政-正文一级标题"/>
    <w:basedOn w:val="7"/>
    <w:next w:val="16"/>
    <w:qFormat/>
    <w:uiPriority w:val="3"/>
    <w:pPr>
      <w:spacing w:before="120" w:after="60" w:line="500" w:lineRule="exact"/>
      <w:ind w:firstLine="0" w:firstLineChars="0"/>
      <w:outlineLvl w:val="0"/>
    </w:pPr>
    <w:rPr>
      <w:rFonts w:ascii="黑体" w:hAnsi="黑体" w:eastAsia="黑体"/>
      <w:sz w:val="32"/>
    </w:rPr>
  </w:style>
  <w:style w:type="paragraph" w:customStyle="1" w:styleId="19">
    <w:name w:val="列表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52</Words>
  <Characters>301</Characters>
  <Lines>2</Lines>
  <Paragraphs>1</Paragraphs>
  <TotalTime>0</TotalTime>
  <ScaleCrop>false</ScaleCrop>
  <LinksUpToDate>false</LinksUpToDate>
  <CharactersWithSpaces>352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2019-10-08T13:02:00Z</dcterms:created>
  <dc:creator>姜波</dc:creator>
  <cp:lastModifiedBy>Administrator</cp:lastModifiedBy>
  <dcterms:modified xsi:type="dcterms:W3CDTF">2025-02-13T08:06:08Z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