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b/>
          <w:bCs/>
          <w:color w:val="auto"/>
          <w:sz w:val="36"/>
          <w:szCs w:val="36"/>
          <w:highlight w:val="none"/>
          <w:lang w:eastAsia="zh-CN"/>
        </w:rPr>
      </w:pPr>
      <w:r>
        <w:rPr>
          <w:rFonts w:hint="eastAsia" w:ascii="黑体" w:hAnsi="黑体" w:eastAsia="黑体"/>
          <w:b/>
          <w:bCs/>
          <w:color w:val="auto"/>
          <w:sz w:val="36"/>
          <w:szCs w:val="36"/>
          <w:highlight w:val="none"/>
          <w:lang w:eastAsia="zh-CN"/>
        </w:rPr>
        <w:t>叶城县特色产业基地宗朗引水渠项目支出绩效</w:t>
      </w:r>
      <w:r>
        <w:rPr>
          <w:rFonts w:hint="eastAsia" w:ascii="黑体" w:hAnsi="黑体" w:eastAsia="黑体"/>
          <w:b/>
          <w:bCs/>
          <w:color w:val="auto"/>
          <w:sz w:val="36"/>
          <w:szCs w:val="36"/>
          <w:highlight w:val="none"/>
          <w:lang w:val="en-US" w:eastAsia="zh-CN"/>
        </w:rPr>
        <w:t>自评总结</w:t>
      </w:r>
      <w:r>
        <w:rPr>
          <w:rFonts w:hint="eastAsia" w:ascii="黑体" w:hAnsi="黑体" w:eastAsia="黑体"/>
          <w:b/>
          <w:bCs/>
          <w:color w:val="auto"/>
          <w:sz w:val="36"/>
          <w:szCs w:val="36"/>
          <w:highlight w:val="none"/>
          <w:lang w:eastAsia="zh-CN"/>
        </w:rPr>
        <w:t>报告</w:t>
      </w:r>
    </w:p>
    <w:p>
      <w:pPr>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Times New Roman" w:hAnsi="Times New Roman" w:eastAsia="方正仿宋_GBK" w:cs="方正仿宋_GBK"/>
          <w:b/>
          <w:color w:val="auto"/>
          <w:kern w:val="0"/>
          <w:sz w:val="32"/>
          <w:szCs w:val="32"/>
          <w:highlight w:val="none"/>
          <w:lang w:bidi="en-US"/>
        </w:rPr>
      </w:pPr>
    </w:p>
    <w:p>
      <w:pPr>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Times New Roman" w:hAnsi="Times New Roman" w:eastAsia="方正仿宋_GBK" w:cs="方正仿宋_GBK"/>
          <w:b/>
          <w:color w:val="auto"/>
          <w:kern w:val="0"/>
          <w:sz w:val="32"/>
          <w:szCs w:val="32"/>
          <w:highlight w:val="none"/>
          <w:lang w:bidi="en-US"/>
        </w:rPr>
      </w:pPr>
    </w:p>
    <w:p>
      <w:pPr>
        <w:pStyle w:val="7"/>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方正仿宋_GBK" w:cs="方正仿宋_GBK"/>
          <w:b/>
          <w:color w:val="auto"/>
          <w:kern w:val="0"/>
          <w:sz w:val="32"/>
          <w:szCs w:val="32"/>
          <w:highlight w:val="none"/>
          <w:lang w:bidi="en-US"/>
        </w:rPr>
      </w:pPr>
    </w:p>
    <w:p>
      <w:pPr>
        <w:pageBreakBefore w:val="0"/>
        <w:widowControl w:val="0"/>
        <w:kinsoku/>
        <w:overflowPunct/>
        <w:topLinePunct w:val="0"/>
        <w:autoSpaceDN/>
        <w:bidi w:val="0"/>
        <w:adjustRightInd/>
        <w:snapToGrid/>
        <w:spacing w:line="560" w:lineRule="exact"/>
        <w:textAlignment w:val="auto"/>
        <w:rPr>
          <w:rFonts w:hint="eastAsia"/>
          <w:color w:val="auto"/>
          <w:highlight w:val="none"/>
        </w:rPr>
      </w:pPr>
    </w:p>
    <w:p>
      <w:pPr>
        <w:pStyle w:val="2"/>
        <w:pageBreakBefore w:val="0"/>
        <w:widowControl w:val="0"/>
        <w:kinsoku/>
        <w:overflowPunct/>
        <w:topLinePunct w:val="0"/>
        <w:autoSpaceDN/>
        <w:bidi w:val="0"/>
        <w:adjustRightInd/>
        <w:snapToGrid/>
        <w:spacing w:line="560" w:lineRule="exact"/>
        <w:textAlignment w:val="auto"/>
        <w:rPr>
          <w:rFonts w:hint="eastAsia" w:eastAsiaTheme="minorEastAsia"/>
          <w:color w:val="auto"/>
          <w:highlight w:val="none"/>
          <w:lang w:eastAsia="zh-CN"/>
        </w:rPr>
      </w:pPr>
    </w:p>
    <w:p>
      <w:pPr>
        <w:pStyle w:val="2"/>
        <w:pageBreakBefore w:val="0"/>
        <w:widowControl w:val="0"/>
        <w:kinsoku/>
        <w:overflowPunct/>
        <w:topLinePunct w:val="0"/>
        <w:autoSpaceDN/>
        <w:bidi w:val="0"/>
        <w:adjustRightInd/>
        <w:snapToGrid/>
        <w:spacing w:line="560" w:lineRule="exact"/>
        <w:textAlignment w:val="auto"/>
        <w:rPr>
          <w:rFonts w:hint="eastAsia" w:eastAsiaTheme="minorEastAsia"/>
          <w:color w:val="auto"/>
          <w:highlight w:val="none"/>
          <w:lang w:eastAsia="zh-CN"/>
        </w:rPr>
      </w:pPr>
    </w:p>
    <w:p>
      <w:pPr>
        <w:pStyle w:val="2"/>
        <w:pageBreakBefore w:val="0"/>
        <w:widowControl w:val="0"/>
        <w:kinsoku/>
        <w:overflowPunct/>
        <w:topLinePunct w:val="0"/>
        <w:autoSpaceDN/>
        <w:bidi w:val="0"/>
        <w:adjustRightInd/>
        <w:snapToGrid/>
        <w:spacing w:line="560" w:lineRule="exact"/>
        <w:textAlignment w:val="auto"/>
        <w:rPr>
          <w:rFonts w:hint="eastAsia" w:eastAsiaTheme="minorEastAsia"/>
          <w:color w:val="auto"/>
          <w:highlight w:val="none"/>
          <w:lang w:eastAsia="zh-CN"/>
        </w:rPr>
      </w:pPr>
    </w:p>
    <w:p>
      <w:pPr>
        <w:pageBreakBefore w:val="0"/>
        <w:widowControl w:val="0"/>
        <w:kinsoku/>
        <w:wordWrap/>
        <w:overflowPunct/>
        <w:topLinePunct w:val="0"/>
        <w:autoSpaceDE/>
        <w:autoSpaceDN/>
        <w:bidi w:val="0"/>
        <w:adjustRightInd/>
        <w:snapToGrid/>
        <w:spacing w:line="560" w:lineRule="exact"/>
        <w:textAlignment w:val="auto"/>
        <w:rPr>
          <w:rFonts w:hint="eastAsia"/>
          <w:color w:val="auto"/>
          <w:highlight w:val="none"/>
        </w:rPr>
      </w:pPr>
    </w:p>
    <w:p>
      <w:pPr>
        <w:pageBreakBefore w:val="0"/>
        <w:widowControl w:val="0"/>
        <w:kinsoku/>
        <w:wordWrap/>
        <w:overflowPunct/>
        <w:topLinePunct w:val="0"/>
        <w:autoSpaceDE/>
        <w:autoSpaceDN/>
        <w:bidi w:val="0"/>
        <w:adjustRightInd/>
        <w:snapToGrid/>
        <w:spacing w:line="560" w:lineRule="exact"/>
        <w:ind w:firstLine="0" w:firstLineChars="0"/>
        <w:jc w:val="both"/>
        <w:textAlignment w:val="auto"/>
        <w:rPr>
          <w:rFonts w:hint="eastAsia" w:ascii="Times New Roman" w:hAnsi="Times New Roman" w:eastAsia="方正仿宋_GBK" w:cs="方正仿宋_GBK"/>
          <w:color w:val="auto"/>
          <w:kern w:val="0"/>
          <w:sz w:val="32"/>
          <w:szCs w:val="32"/>
          <w:highlight w:val="none"/>
          <w:lang w:bidi="en-US"/>
        </w:rPr>
      </w:pPr>
    </w:p>
    <w:p>
      <w:pPr>
        <w:pageBreakBefore w:val="0"/>
        <w:widowControl w:val="0"/>
        <w:kinsoku/>
        <w:wordWrap/>
        <w:overflowPunct/>
        <w:topLinePunct w:val="0"/>
        <w:autoSpaceDE/>
        <w:autoSpaceDN/>
        <w:bidi w:val="0"/>
        <w:adjustRightInd/>
        <w:snapToGrid/>
        <w:spacing w:line="560" w:lineRule="exact"/>
        <w:ind w:firstLine="1411" w:firstLineChars="441"/>
        <w:jc w:val="left"/>
        <w:textAlignment w:val="auto"/>
        <w:rPr>
          <w:rFonts w:hint="default"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项目名称：叶城县特色产业基地宗朗引水渠项目</w:t>
      </w:r>
    </w:p>
    <w:p>
      <w:pPr>
        <w:pageBreakBefore w:val="0"/>
        <w:widowControl w:val="0"/>
        <w:kinsoku/>
        <w:wordWrap/>
        <w:overflowPunct/>
        <w:topLinePunct w:val="0"/>
        <w:autoSpaceDE/>
        <w:autoSpaceDN/>
        <w:bidi w:val="0"/>
        <w:adjustRightInd/>
        <w:snapToGrid/>
        <w:spacing w:line="560" w:lineRule="exact"/>
        <w:ind w:firstLine="1411" w:firstLineChars="441"/>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项目单位：叶城县农业农村局</w:t>
      </w:r>
    </w:p>
    <w:p>
      <w:pPr>
        <w:pageBreakBefore w:val="0"/>
        <w:widowControl w:val="0"/>
        <w:kinsoku/>
        <w:wordWrap/>
        <w:overflowPunct/>
        <w:topLinePunct w:val="0"/>
        <w:autoSpaceDE/>
        <w:autoSpaceDN/>
        <w:bidi w:val="0"/>
        <w:adjustRightInd/>
        <w:snapToGrid/>
        <w:spacing w:line="560" w:lineRule="exact"/>
        <w:ind w:firstLine="1411" w:firstLineChars="441"/>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主管部门：叶城县水利局</w:t>
      </w:r>
    </w:p>
    <w:p>
      <w:pPr>
        <w:pageBreakBefore w:val="0"/>
        <w:widowControl w:val="0"/>
        <w:kinsoku/>
        <w:wordWrap/>
        <w:overflowPunct/>
        <w:topLinePunct w:val="0"/>
        <w:autoSpaceDE/>
        <w:autoSpaceDN/>
        <w:bidi w:val="0"/>
        <w:adjustRightInd/>
        <w:snapToGrid/>
        <w:spacing w:line="560" w:lineRule="exact"/>
        <w:ind w:firstLine="1411" w:firstLineChars="441"/>
        <w:jc w:val="left"/>
        <w:textAlignment w:val="auto"/>
        <w:rPr>
          <w:rFonts w:hint="default"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项目负责人：辛玉保</w:t>
      </w:r>
    </w:p>
    <w:p>
      <w:pPr>
        <w:pageBreakBefore w:val="0"/>
        <w:widowControl w:val="0"/>
        <w:kinsoku/>
        <w:wordWrap/>
        <w:overflowPunct/>
        <w:topLinePunct w:val="0"/>
        <w:autoSpaceDE/>
        <w:autoSpaceDN/>
        <w:bidi w:val="0"/>
        <w:adjustRightInd/>
        <w:snapToGrid/>
        <w:spacing w:line="560" w:lineRule="exact"/>
        <w:ind w:firstLine="1411" w:firstLineChars="441"/>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填报时间：  2023年1月 15 日</w:t>
      </w:r>
    </w:p>
    <w:p>
      <w:pPr>
        <w:pStyle w:val="4"/>
        <w:keepNext/>
        <w:keepLines/>
        <w:pageBreakBefore w:val="0"/>
        <w:widowControl w:val="0"/>
        <w:kinsoku/>
        <w:wordWrap/>
        <w:overflowPunct/>
        <w:topLinePunct w:val="0"/>
        <w:autoSpaceDE/>
        <w:autoSpaceDN/>
        <w:bidi w:val="0"/>
        <w:adjustRightInd/>
        <w:snapToGrid/>
        <w:spacing w:before="0" w:after="0" w:line="560" w:lineRule="exact"/>
        <w:textAlignment w:val="auto"/>
        <w:rPr>
          <w:rFonts w:hint="eastAsia" w:ascii="仿宋_GB2312" w:hAnsi="黑体" w:eastAsia="仿宋_GB2312" w:cstheme="minorBidi"/>
          <w:color w:val="auto"/>
          <w:kern w:val="2"/>
          <w:sz w:val="32"/>
          <w:szCs w:val="32"/>
          <w:highlight w:val="none"/>
          <w:lang w:val="en-US" w:eastAsia="zh-CN" w:bidi="ar-SA"/>
        </w:rPr>
        <w:sectPr>
          <w:headerReference r:id="rId3" w:type="default"/>
          <w:footerReference r:id="rId4" w:type="default"/>
          <w:pgSz w:w="11906" w:h="16838"/>
          <w:pgMar w:top="1984" w:right="1531" w:bottom="1701" w:left="1531" w:header="851" w:footer="992" w:gutter="0"/>
          <w:pgNumType w:fmt="decimal" w:start="1"/>
          <w:cols w:space="720" w:num="1"/>
          <w:rtlGutter w:val="0"/>
          <w:docGrid w:type="lines" w:linePitch="386" w:charSpace="0"/>
        </w:sectPr>
      </w:pPr>
    </w:p>
    <w:p>
      <w:pPr>
        <w:pageBreakBefore w:val="0"/>
        <w:widowControl w:val="0"/>
        <w:kinsoku/>
        <w:overflowPunct/>
        <w:topLinePunct w:val="0"/>
        <w:autoSpaceDN/>
        <w:bidi w:val="0"/>
        <w:adjustRightInd/>
        <w:snapToGrid/>
        <w:spacing w:line="560" w:lineRule="exact"/>
        <w:ind w:firstLine="643" w:firstLineChars="200"/>
        <w:jc w:val="center"/>
        <w:textAlignment w:val="auto"/>
        <w:rPr>
          <w:rFonts w:ascii="黑体" w:hAnsi="黑体" w:eastAsia="黑体"/>
          <w:b/>
          <w:bCs/>
          <w:color w:val="auto"/>
          <w:sz w:val="32"/>
          <w:szCs w:val="32"/>
          <w:highlight w:val="none"/>
        </w:rPr>
      </w:pPr>
      <w:r>
        <w:rPr>
          <w:rFonts w:hint="eastAsia" w:ascii="黑体" w:hAnsi="黑体" w:eastAsia="黑体"/>
          <w:b/>
          <w:bCs/>
          <w:color w:val="auto"/>
          <w:sz w:val="32"/>
          <w:szCs w:val="32"/>
          <w:highlight w:val="none"/>
          <w:lang w:val="en-US" w:eastAsia="zh-CN"/>
        </w:rPr>
        <w:t>叶城县农业农村局2022</w:t>
      </w:r>
      <w:r>
        <w:rPr>
          <w:rFonts w:hint="eastAsia" w:ascii="黑体" w:hAnsi="黑体" w:eastAsia="黑体"/>
          <w:b/>
          <w:bCs/>
          <w:color w:val="auto"/>
          <w:sz w:val="32"/>
          <w:szCs w:val="32"/>
          <w:highlight w:val="none"/>
        </w:rPr>
        <w:t>年</w:t>
      </w:r>
      <w:r>
        <w:rPr>
          <w:rFonts w:hint="eastAsia" w:ascii="黑体" w:hAnsi="黑体" w:eastAsia="黑体"/>
          <w:b/>
          <w:bCs/>
          <w:color w:val="auto"/>
          <w:sz w:val="32"/>
          <w:szCs w:val="32"/>
          <w:highlight w:val="none"/>
          <w:lang w:eastAsia="zh-CN"/>
        </w:rPr>
        <w:t>财政衔接推进乡村振兴补助资金</w:t>
      </w:r>
      <w:r>
        <w:rPr>
          <w:rFonts w:hint="eastAsia" w:ascii="黑体" w:hAnsi="黑体" w:eastAsia="黑体"/>
          <w:b/>
          <w:bCs/>
          <w:color w:val="auto"/>
          <w:sz w:val="32"/>
          <w:szCs w:val="32"/>
          <w:highlight w:val="none"/>
        </w:rPr>
        <w:t>资金绩效自评总结报告</w:t>
      </w:r>
    </w:p>
    <w:p>
      <w:pPr>
        <w:pageBreakBefore w:val="0"/>
        <w:widowControl w:val="0"/>
        <w:kinsoku/>
        <w:overflowPunct/>
        <w:topLinePunct w:val="0"/>
        <w:autoSpaceDN/>
        <w:bidi w:val="0"/>
        <w:adjustRightInd/>
        <w:snapToGrid/>
        <w:spacing w:line="560" w:lineRule="exact"/>
        <w:ind w:firstLine="643" w:firstLineChars="200"/>
        <w:jc w:val="left"/>
        <w:textAlignment w:val="auto"/>
        <w:rPr>
          <w:rFonts w:ascii="仿宋_GB2312" w:hAnsi="黑体" w:eastAsia="仿宋_GB2312"/>
          <w:b/>
          <w:color w:val="auto"/>
          <w:sz w:val="32"/>
          <w:szCs w:val="32"/>
          <w:highlight w:val="none"/>
        </w:rPr>
      </w:pPr>
      <w:r>
        <w:rPr>
          <w:rFonts w:hint="eastAsia" w:ascii="仿宋_GB2312" w:hAnsi="黑体" w:eastAsia="仿宋_GB2312"/>
          <w:b/>
          <w:color w:val="auto"/>
          <w:sz w:val="32"/>
          <w:szCs w:val="32"/>
          <w:highlight w:val="none"/>
        </w:rPr>
        <w:t>一、绩效目标分解下达情况</w:t>
      </w:r>
    </w:p>
    <w:p>
      <w:pPr>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黑体" w:eastAsia="仿宋_GB2312"/>
          <w:b/>
          <w:bCs/>
          <w:color w:val="auto"/>
          <w:sz w:val="32"/>
          <w:szCs w:val="32"/>
          <w:highlight w:val="none"/>
        </w:rPr>
      </w:pPr>
      <w:r>
        <w:rPr>
          <w:rFonts w:hint="eastAsia" w:ascii="仿宋_GB2312" w:hAnsi="黑体" w:eastAsia="仿宋_GB2312"/>
          <w:b/>
          <w:bCs/>
          <w:color w:val="auto"/>
          <w:sz w:val="32"/>
          <w:szCs w:val="32"/>
          <w:highlight w:val="none"/>
        </w:rPr>
        <w:t>1.</w:t>
      </w:r>
      <w:r>
        <w:rPr>
          <w:rFonts w:hint="eastAsia" w:ascii="仿宋_GB2312" w:hAnsi="黑体" w:eastAsia="仿宋_GB2312"/>
          <w:b/>
          <w:bCs/>
          <w:color w:val="auto"/>
          <w:sz w:val="32"/>
          <w:szCs w:val="32"/>
          <w:highlight w:val="none"/>
          <w:lang w:eastAsia="zh-CN"/>
        </w:rPr>
        <w:t>财政衔接推进乡村振兴补助资金</w:t>
      </w:r>
      <w:r>
        <w:rPr>
          <w:rFonts w:hint="eastAsia" w:ascii="仿宋_GB2312" w:hAnsi="黑体" w:eastAsia="仿宋_GB2312"/>
          <w:b/>
          <w:bCs/>
          <w:color w:val="auto"/>
          <w:sz w:val="32"/>
          <w:szCs w:val="32"/>
          <w:highlight w:val="none"/>
        </w:rPr>
        <w:t>资金下达预算及项目情况。</w:t>
      </w:r>
    </w:p>
    <w:p>
      <w:pPr>
        <w:pageBreakBefore w:val="0"/>
        <w:widowControl w:val="0"/>
        <w:numPr>
          <w:ilvl w:val="0"/>
          <w:numId w:val="0"/>
        </w:numPr>
        <w:kinsoku/>
        <w:overflowPunct/>
        <w:topLinePunct w:val="0"/>
        <w:autoSpaceDN/>
        <w:bidi w:val="0"/>
        <w:adjustRightInd/>
        <w:snapToGrid/>
        <w:spacing w:line="560" w:lineRule="exact"/>
        <w:ind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根据《关于下达2022年自治区财政衔接推进乡村振兴补助资金预算的通知》（新财振〔2022〕18号），下达2022年自治区财政衔接推进乡村振兴补助资金，叶城县特色产业基地宗朗引水渠项目，项目总投资为899.82万元，适应农业产业化的要求，提升农业和农村经济的质量和效益，充分利用优势资源，建立及时配套加工业，从而形成种植、养殖、加工、销售一条龙的农业生产体系，培育新的经济增长点，促进区域第一及第二产业的发展，从而间接带动第三产业；促进项目区农业产业的健康发展，加快农村经济结构的调整，实现富民、富农、富县的目标。叶城县要发展农业就必须保证水资源的可持续性，只有对水资源进行适宜的利用和调整，才能使其向着有利于农业生态可持续性方向发展。因此保证农业生产持续稳定向前发展，拥有良好的生态环境，就必须重视水资源的合理开发、利用。节约用水是提高用水效率、增强水的承载能力的主要方法之一，也是水资源可持续利用的重要环节。只有采取必要的节水方法和措施，才能不断满足叶城县人口、经济、环境与发展的目标需求，使农业发展与水资源可持续发展承受能力相适应。灌区改造措施实施以后，工程标准将得到提高，灌区供水体系将得到改善，用水矛盾得到缓解，有利于灌区用水管理及调配，可节省用水，增加农民收入，促进农村经济发展。工程实施对整个国民经济和社会发展以及生产力提高都有明显的效益。</w:t>
      </w:r>
    </w:p>
    <w:p>
      <w:pPr>
        <w:pageBreakBefore w:val="0"/>
        <w:widowControl w:val="0"/>
        <w:numPr>
          <w:ilvl w:val="0"/>
          <w:numId w:val="0"/>
        </w:numPr>
        <w:kinsoku/>
        <w:overflowPunct/>
        <w:topLinePunct w:val="0"/>
        <w:autoSpaceDN/>
        <w:bidi w:val="0"/>
        <w:adjustRightInd/>
        <w:snapToGrid/>
        <w:spacing w:line="560" w:lineRule="exact"/>
        <w:ind w:firstLine="643"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b/>
          <w:bCs/>
          <w:color w:val="auto"/>
          <w:sz w:val="32"/>
          <w:szCs w:val="32"/>
          <w:highlight w:val="none"/>
          <w:lang w:val="en-US" w:eastAsia="zh-CN"/>
        </w:rPr>
        <w:t>2.</w:t>
      </w:r>
      <w:r>
        <w:rPr>
          <w:rFonts w:hint="eastAsia" w:ascii="仿宋_GB2312" w:hAnsi="黑体" w:eastAsia="仿宋_GB2312"/>
          <w:b/>
          <w:bCs/>
          <w:color w:val="auto"/>
          <w:sz w:val="32"/>
          <w:szCs w:val="32"/>
          <w:highlight w:val="none"/>
          <w:lang w:eastAsia="zh-CN"/>
        </w:rPr>
        <w:t>财政衔接推进乡村振兴补助资金</w:t>
      </w:r>
      <w:r>
        <w:rPr>
          <w:rFonts w:hint="eastAsia" w:ascii="仿宋_GB2312" w:hAnsi="黑体" w:eastAsia="仿宋_GB2312"/>
          <w:b/>
          <w:bCs/>
          <w:color w:val="auto"/>
          <w:sz w:val="32"/>
          <w:szCs w:val="32"/>
          <w:highlight w:val="none"/>
        </w:rPr>
        <w:t>资金项目绩效目标设定情况。</w:t>
      </w:r>
    </w:p>
    <w:p>
      <w:pPr>
        <w:pageBreakBefore w:val="0"/>
        <w:widowControl w:val="0"/>
        <w:numPr>
          <w:ilvl w:val="0"/>
          <w:numId w:val="0"/>
        </w:numPr>
        <w:kinsoku/>
        <w:overflowPunct/>
        <w:topLinePunct w:val="0"/>
        <w:autoSpaceDN/>
        <w:bidi w:val="0"/>
        <w:adjustRightInd/>
        <w:snapToGrid/>
        <w:spacing w:line="560" w:lineRule="exact"/>
        <w:ind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根据叶城县发改委经叶发改【2022】386号文批复，本项目建设内容为改建长度2.691km，设计引水流量为18立方米每秒，配套改建3座渠系建筑物。本项目建设期为2022年，即2022年9月－2021年12月。计划在2022年9月完成合同签订及施工临建及其他各项准备工作，2022年10月至2022年12月完成工程施工。道土方工程、渠道砼工程、建筑物砼，收尾工作：2022年12月，完成施工场区及生活区场地平整，障碍物清除，整理有关技术资料，编制竣决算等，准备工程竣工验收。项目建成可提高渠道水利用系数，改善灌区的灌溉条件和生态环境，改善渠道戈壁滩上漫滩过水造成水量损失严重现象，改善渠道过流能力，渠道建成后可促进灌区经济发展，改善灌溉条件。项目的实施使灌区供水体系得到改善，用水矛盾得到缓解，有利于灌区用水管理及调配，可节省用水，增加农民收入，促进农村经济发展。</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1.项目绩效总目标</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该项目用于叶城县特色产业基地宗朗引水渠改建长度2.691km,设计引水流量18.0m3/s，配套改建3座渠系建筑物。项目建成后，可改善灌区的灌溉条件和生态环境，促进灌区经济发展。</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2.阶段性目标</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本项目建设期为2022年。即2022年9月－2021年12月。</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1、计划在2022年9月完成合同签订及施工临建及其他各项准备工作。</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 xml:space="preserve">2、2022年10月至2022年12月完成工程施工。道土方工程、渠道砼工程、建筑物砼。 </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3、收尾工作：2022年12月，完成施工场区及生活区场地平整，障碍物清除，整理有关技术资料，编制竣决算等，准备工程竣工验收。</w:t>
      </w:r>
    </w:p>
    <w:p>
      <w:pPr>
        <w:pageBreakBefore w:val="0"/>
        <w:widowControl w:val="0"/>
        <w:kinsoku/>
        <w:overflowPunct/>
        <w:topLinePunct w:val="0"/>
        <w:autoSpaceDN/>
        <w:bidi w:val="0"/>
        <w:adjustRightInd/>
        <w:snapToGrid/>
        <w:spacing w:line="560" w:lineRule="exact"/>
        <w:ind w:firstLine="643" w:firstLineChars="200"/>
        <w:jc w:val="left"/>
        <w:textAlignment w:val="auto"/>
        <w:rPr>
          <w:rFonts w:ascii="仿宋_GB2312" w:hAnsi="黑体" w:eastAsia="仿宋_GB2312"/>
          <w:b/>
          <w:color w:val="auto"/>
          <w:sz w:val="32"/>
          <w:szCs w:val="32"/>
          <w:highlight w:val="none"/>
        </w:rPr>
      </w:pPr>
      <w:r>
        <w:rPr>
          <w:rFonts w:hint="eastAsia" w:ascii="仿宋_GB2312" w:hAnsi="黑体" w:eastAsia="仿宋_GB2312"/>
          <w:b/>
          <w:color w:val="auto"/>
          <w:sz w:val="32"/>
          <w:szCs w:val="32"/>
          <w:highlight w:val="none"/>
        </w:rPr>
        <w:t>二、绩效自评工作开展情况</w:t>
      </w:r>
    </w:p>
    <w:p>
      <w:pPr>
        <w:pageBreakBefore w:val="0"/>
        <w:widowControl w:val="0"/>
        <w:kinsoku/>
        <w:overflowPunct/>
        <w:topLinePunct w:val="0"/>
        <w:autoSpaceDN/>
        <w:bidi w:val="0"/>
        <w:adjustRightInd/>
        <w:snapToGrid/>
        <w:spacing w:line="560" w:lineRule="exact"/>
        <w:ind w:firstLine="640" w:firstLineChars="200"/>
        <w:jc w:val="left"/>
        <w:textAlignment w:val="auto"/>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包括自评工作开展范围、对象、时间及方式等。</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1. 绩效评价范围</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本次评价范围涵盖项目总体绩效目标、各项绩效指标完成情况以及预算执行情况。覆盖项目预算资金支出的所有内容进行评价。包括项目决策、项目实施和项目成果验收流程等。</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2. 绩效评价对象</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3.绩效评价时间</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2023年1月3日-2023年1月30日</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4. 绩效评价方法</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本次绩效评价方法的选用坚持简便有效的原则采用综合分析法。</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5. 绩效评价标准</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绩效评价标准通常包括计划标准、行业标准、历史标准等，用于对绩效指标完成情况进行比较、分析、评价。本次评价主要采用了计划标准。</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bookmarkStart w:id="0" w:name="_Toc31464"/>
      <w:bookmarkStart w:id="1" w:name="_Toc17882"/>
      <w:r>
        <w:rPr>
          <w:rFonts w:hint="eastAsia" w:ascii="仿宋_GB2312" w:hAnsi="黑体" w:eastAsia="仿宋_GB2312" w:cstheme="minorBidi"/>
          <w:color w:val="auto"/>
          <w:kern w:val="2"/>
          <w:sz w:val="32"/>
          <w:szCs w:val="32"/>
          <w:highlight w:val="none"/>
          <w:lang w:val="en-US" w:eastAsia="zh-CN" w:bidi="ar-SA"/>
        </w:rPr>
        <w:t>计划标准：指以预先制定的目标、计划、预算、定额等作为评价标准。</w:t>
      </w:r>
      <w:bookmarkEnd w:id="0"/>
      <w:bookmarkEnd w:id="1"/>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bookmarkStart w:id="2" w:name="_Toc5633"/>
      <w:bookmarkStart w:id="3" w:name="_Toc2318"/>
      <w:r>
        <w:rPr>
          <w:rFonts w:hint="eastAsia" w:ascii="仿宋_GB2312" w:hAnsi="黑体" w:eastAsia="仿宋_GB2312" w:cstheme="minorBidi"/>
          <w:color w:val="auto"/>
          <w:kern w:val="2"/>
          <w:sz w:val="32"/>
          <w:szCs w:val="32"/>
          <w:highlight w:val="none"/>
          <w:lang w:val="en-US" w:eastAsia="zh-CN" w:bidi="ar-SA"/>
        </w:rPr>
        <w:t>行业标准：指参照国家公布的行业指标数据制定的评价标准。</w:t>
      </w:r>
      <w:bookmarkEnd w:id="2"/>
      <w:bookmarkEnd w:id="3"/>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bookmarkStart w:id="4" w:name="_Toc16028"/>
      <w:bookmarkStart w:id="5" w:name="_Toc430"/>
      <w:r>
        <w:rPr>
          <w:rFonts w:hint="eastAsia" w:ascii="仿宋_GB2312" w:hAnsi="黑体" w:eastAsia="仿宋_GB2312" w:cstheme="minorBidi"/>
          <w:color w:val="auto"/>
          <w:kern w:val="2"/>
          <w:sz w:val="32"/>
          <w:szCs w:val="32"/>
          <w:highlight w:val="none"/>
          <w:lang w:val="en-US" w:eastAsia="zh-CN" w:bidi="ar-SA"/>
        </w:rPr>
        <w:t>历史标准：指参照历史数据制定的评价标准，为体现绩效改进的原则，在可实现的条件下应当确定相对较高的评价标准。</w:t>
      </w:r>
      <w:bookmarkEnd w:id="4"/>
      <w:bookmarkEnd w:id="5"/>
    </w:p>
    <w:p>
      <w:pPr>
        <w:pageBreakBefore w:val="0"/>
        <w:widowControl w:val="0"/>
        <w:kinsoku/>
        <w:overflowPunct/>
        <w:topLinePunct w:val="0"/>
        <w:autoSpaceDN/>
        <w:bidi w:val="0"/>
        <w:adjustRightInd/>
        <w:snapToGrid/>
        <w:spacing w:line="560" w:lineRule="exact"/>
        <w:ind w:firstLine="643" w:firstLineChars="200"/>
        <w:jc w:val="left"/>
        <w:textAlignment w:val="auto"/>
        <w:rPr>
          <w:rFonts w:ascii="仿宋_GB2312" w:hAnsi="黑体" w:eastAsia="仿宋_GB2312"/>
          <w:b/>
          <w:color w:val="auto"/>
          <w:sz w:val="32"/>
          <w:szCs w:val="32"/>
          <w:highlight w:val="none"/>
        </w:rPr>
      </w:pPr>
      <w:r>
        <w:rPr>
          <w:rFonts w:hint="eastAsia" w:ascii="仿宋_GB2312" w:hAnsi="黑体" w:eastAsia="仿宋_GB2312"/>
          <w:b/>
          <w:color w:val="auto"/>
          <w:sz w:val="32"/>
          <w:szCs w:val="32"/>
          <w:highlight w:val="none"/>
        </w:rPr>
        <w:t>三、绩效目标自评完成情况分析</w:t>
      </w:r>
    </w:p>
    <w:p>
      <w:pPr>
        <w:pageBreakBefore w:val="0"/>
        <w:widowControl w:val="0"/>
        <w:kinsoku/>
        <w:overflowPunct/>
        <w:topLinePunct w:val="0"/>
        <w:autoSpaceDN/>
        <w:bidi w:val="0"/>
        <w:adjustRightInd/>
        <w:snapToGrid/>
        <w:spacing w:line="560" w:lineRule="exact"/>
        <w:ind w:firstLine="643" w:firstLineChars="200"/>
        <w:jc w:val="left"/>
        <w:textAlignment w:val="auto"/>
        <w:rPr>
          <w:rFonts w:ascii="仿宋_GB2312" w:hAnsi="黑体" w:eastAsia="仿宋_GB2312"/>
          <w:b/>
          <w:bCs/>
          <w:color w:val="auto"/>
          <w:sz w:val="32"/>
          <w:szCs w:val="32"/>
          <w:highlight w:val="none"/>
        </w:rPr>
      </w:pPr>
      <w:r>
        <w:rPr>
          <w:rFonts w:hint="eastAsia" w:ascii="仿宋_GB2312" w:hAnsi="黑体" w:eastAsia="仿宋_GB2312"/>
          <w:b/>
          <w:bCs/>
          <w:color w:val="auto"/>
          <w:sz w:val="32"/>
          <w:szCs w:val="32"/>
          <w:highlight w:val="none"/>
        </w:rPr>
        <w:t>(一）资金投入情况分析。</w:t>
      </w:r>
    </w:p>
    <w:p>
      <w:pPr>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黑体" w:eastAsia="仿宋_GB2312"/>
          <w:b/>
          <w:bCs/>
          <w:color w:val="auto"/>
          <w:sz w:val="32"/>
          <w:szCs w:val="32"/>
          <w:highlight w:val="none"/>
        </w:rPr>
      </w:pPr>
      <w:r>
        <w:rPr>
          <w:rFonts w:hint="eastAsia" w:ascii="仿宋_GB2312" w:hAnsi="黑体" w:eastAsia="仿宋_GB2312"/>
          <w:b/>
          <w:bCs/>
          <w:color w:val="auto"/>
          <w:sz w:val="32"/>
          <w:szCs w:val="32"/>
          <w:highlight w:val="none"/>
        </w:rPr>
        <w:t>1.项目资金到位情况分析。</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叶党农领字[2022]32号安排下达资金105.59315万元，为衔接资金，叶财债[2022]6号安排下达资金794.2314万元，为债券资金，最终确定项目资金总数为899.82455万元。</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2.项目资金执行情况分析。</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截至2022年12月31日，实际支出899.82455万元，预算执行率100%。</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3.项目资金管理情况分析。</w:t>
      </w:r>
    </w:p>
    <w:p>
      <w:pPr>
        <w:pStyle w:val="16"/>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本项目支出符合《喀什地区财政巩固拓展脱贫攻坚成果同乡村振兴有效衔接资金管理办法（试行）》</w:t>
      </w:r>
      <w:bookmarkStart w:id="6" w:name="_GoBack"/>
      <w:bookmarkEnd w:id="6"/>
      <w:r>
        <w:rPr>
          <w:rFonts w:hint="eastAsia" w:ascii="仿宋_GB2312" w:hAnsi="黑体" w:eastAsia="仿宋_GB2312" w:cstheme="minorBidi"/>
          <w:color w:val="auto"/>
          <w:kern w:val="2"/>
          <w:sz w:val="32"/>
          <w:szCs w:val="32"/>
          <w:highlight w:val="none"/>
          <w:lang w:val="en-US" w:eastAsia="zh-CN" w:bidi="ar-SA"/>
        </w:rPr>
        <w:t>以及本单位根据国家财经法规和财务管理制度制定的相关财务管理制度，其中包括《会计人员集中核算工作管理制度》、《财务收支审批制度》、《财务稽核制度》、《财务牵制制度》、《会计主管岗位职责》等制度规定，严格执行国库集中支付制度直接支付，资金的拨付过程有完整的审批程序和手续，不存在截留、挤占、挪用等情况。</w:t>
      </w:r>
    </w:p>
    <w:p>
      <w:pPr>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仿宋_GB2312" w:hAnsi="黑体" w:eastAsia="仿宋_GB2312"/>
          <w:b/>
          <w:bCs/>
          <w:color w:val="auto"/>
          <w:sz w:val="32"/>
          <w:szCs w:val="32"/>
          <w:highlight w:val="none"/>
        </w:rPr>
      </w:pPr>
      <w:r>
        <w:rPr>
          <w:rFonts w:hint="eastAsia" w:ascii="仿宋_GB2312" w:hAnsi="黑体" w:eastAsia="仿宋_GB2312"/>
          <w:b/>
          <w:bCs/>
          <w:color w:val="auto"/>
          <w:sz w:val="32"/>
          <w:szCs w:val="32"/>
          <w:highlight w:val="none"/>
        </w:rPr>
        <w:t>(二）绩效目标完成情况分析。</w:t>
      </w:r>
    </w:p>
    <w:p>
      <w:pPr>
        <w:pageBreakBefore w:val="0"/>
        <w:widowControl w:val="0"/>
        <w:kinsoku/>
        <w:overflowPunct/>
        <w:topLinePunct w:val="0"/>
        <w:autoSpaceDN/>
        <w:bidi w:val="0"/>
        <w:adjustRightInd/>
        <w:snapToGrid/>
        <w:spacing w:line="560" w:lineRule="exact"/>
        <w:ind w:firstLine="643" w:firstLineChars="200"/>
        <w:jc w:val="left"/>
        <w:textAlignment w:val="auto"/>
        <w:rPr>
          <w:rFonts w:ascii="仿宋_GB2312" w:hAnsi="黑体" w:eastAsia="仿宋_GB2312"/>
          <w:b/>
          <w:bCs/>
          <w:color w:val="auto"/>
          <w:sz w:val="32"/>
          <w:szCs w:val="32"/>
          <w:highlight w:val="none"/>
        </w:rPr>
      </w:pPr>
      <w:r>
        <w:rPr>
          <w:rFonts w:hint="eastAsia" w:ascii="仿宋_GB2312" w:hAnsi="黑体" w:eastAsia="仿宋_GB2312"/>
          <w:b/>
          <w:bCs/>
          <w:color w:val="auto"/>
          <w:sz w:val="32"/>
          <w:szCs w:val="32"/>
          <w:highlight w:val="none"/>
        </w:rPr>
        <w:t>1.产出指标完成情况分析。</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（1）对于“产出数量”</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宋体" w:eastAsia="仿宋_GB2312" w:cs="Times New Roman"/>
          <w:color w:val="auto"/>
          <w:kern w:val="2"/>
          <w:sz w:val="32"/>
          <w:szCs w:val="32"/>
          <w:highlight w:val="none"/>
          <w:lang w:val="en-US" w:eastAsia="zh-CN" w:bidi="ar"/>
        </w:rPr>
      </w:pPr>
      <w:r>
        <w:rPr>
          <w:rFonts w:hint="eastAsia" w:ascii="仿宋_GB2312" w:hAnsi="黑体" w:eastAsia="仿宋_GB2312" w:cstheme="minorBidi"/>
          <w:color w:val="auto"/>
          <w:kern w:val="2"/>
          <w:sz w:val="32"/>
          <w:szCs w:val="32"/>
          <w:highlight w:val="none"/>
          <w:lang w:val="en-US" w:eastAsia="zh-CN" w:bidi="ar-SA"/>
        </w:rPr>
        <w:t>引水渠建设2.691公里，与预期目标一致，指标标杆分值为10分，根据评分标准，该指标不扣分，得10分。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宋体" w:eastAsia="仿宋_GB2312" w:cs="Times New Roman"/>
          <w:color w:val="auto"/>
          <w:kern w:val="2"/>
          <w:sz w:val="32"/>
          <w:szCs w:val="32"/>
          <w:highlight w:val="none"/>
          <w:lang w:val="en-US" w:eastAsia="zh-CN" w:bidi="ar"/>
        </w:rPr>
      </w:pPr>
      <w:r>
        <w:rPr>
          <w:rFonts w:hint="eastAsia" w:ascii="仿宋_GB2312" w:hAnsi="黑体" w:eastAsia="仿宋_GB2312" w:cstheme="minorBidi"/>
          <w:color w:val="auto"/>
          <w:kern w:val="2"/>
          <w:sz w:val="32"/>
          <w:szCs w:val="32"/>
          <w:highlight w:val="none"/>
          <w:lang w:val="en-US" w:eastAsia="zh-CN" w:bidi="ar-SA"/>
        </w:rPr>
        <w:t>配套改建渠系建筑物建设3座，与预期目标一致，指标标杆分值为10分，根据评分标准，该指标不扣分，得10分。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合计得20分。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（2）对于“产出质量”：</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宋体" w:eastAsia="仿宋_GB2312" w:cs="Times New Roman"/>
          <w:color w:val="auto"/>
          <w:kern w:val="2"/>
          <w:sz w:val="32"/>
          <w:szCs w:val="32"/>
          <w:highlight w:val="none"/>
          <w:lang w:val="en-US" w:eastAsia="zh-CN" w:bidi="ar"/>
        </w:rPr>
      </w:pPr>
      <w:r>
        <w:rPr>
          <w:rFonts w:hint="eastAsia" w:ascii="仿宋_GB2312" w:hAnsi="黑体" w:eastAsia="仿宋_GB2312" w:cstheme="minorBidi"/>
          <w:color w:val="auto"/>
          <w:kern w:val="2"/>
          <w:sz w:val="32"/>
          <w:szCs w:val="32"/>
          <w:highlight w:val="none"/>
          <w:lang w:val="en-US" w:eastAsia="zh-CN" w:bidi="ar-SA"/>
        </w:rPr>
        <w:t>工程验收合格率100%，与预期目标一致，指标标杆分值为5分，根据评分标准，该指标不扣分，得5分。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合计得5分。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（3）对于“产出时效”：</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项目开工时间10月4日，与预期目标指标一致，指标标杆分值为5分，根据评分标准，该指标不扣分，得5分。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项目完工时间12月28日，与预期目标指标一致，指标标杆分值为5分，根据评分标准，该指标不扣分，得5分。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项目完工及时率100%，与预期目标一致，指标标杆分值为5分，根据评分标准，该指标不扣分，得5分。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合计得15分。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（4）对于“产出成本”：</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工程部分投资881.62万，项目经费都能控制绩效目标范围内，指标标杆分值为5分，根据评分标准，该指标不扣分，得5分。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其他费用18.2万，项目经费都能控制绩效目标范围内，指标标杆分值为5分，根据评分标准，该指标不扣分，得5分。</w:t>
      </w:r>
    </w:p>
    <w:p>
      <w:pPr>
        <w:pStyle w:val="2"/>
        <w:pageBreakBefore w:val="0"/>
        <w:widowControl w:val="0"/>
        <w:kinsoku/>
        <w:overflowPunct/>
        <w:topLinePunct w:val="0"/>
        <w:autoSpaceDN/>
        <w:bidi w:val="0"/>
        <w:adjustRightInd/>
        <w:snapToGrid/>
        <w:spacing w:line="560" w:lineRule="exact"/>
        <w:textAlignment w:val="auto"/>
        <w:rPr>
          <w:rFonts w:hint="default"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合计得10分。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3" w:firstLineChars="200"/>
        <w:jc w:val="left"/>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2.效益指标完成情况分析。</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1.实施效益指标：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（1）对于“可持续影响指标”：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工程设计可持续使用年限20年，与预期指标一致，指标标杆分值为10分，根据评分标准，该指标不扣分，得10分。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（2）对于“经济效益指标”：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带动就业人口年收入33.75万元，与预期指标一致，指标标杆分值为5分，根据评分标准，该指标不扣分，得5分。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（3）对于“经济效益指标”：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带动就业人口25人，与预期指标一致，指标标杆分值为5分，根据评分标准，该指标不扣分，得5分。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（4）对于“生态效益指标”：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灌区的灌溉条件和生态环境得到有效改善，与预期指标一致，指标标杆分值为10分，根据评分标准，该指标不扣分，得10分。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实施效益指标合计得30分。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3" w:firstLineChars="200"/>
        <w:jc w:val="left"/>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3.满意度指标完成情况分析。</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对于“满意度指标：受益巩固脱贫人员满意度达95%，与预期目标一致，指标标杆分值为10分，根据评分标准，该指标不扣分,得10分。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3" w:firstLineChars="200"/>
        <w:jc w:val="left"/>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四、偏离绩效目标的原因和下一步改进措施</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叶城县特色产业基地宗朗引水渠项目预算899.82万元，到位899.82万元，实际支出899.82万元，预算执行率为100%，项目绩效指标总体完成率为100%，无偏差。</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3" w:firstLineChars="200"/>
        <w:jc w:val="left"/>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五、综合评价结论</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叶城县特色产业基地宗朗引水渠项目已完成改建长度2.691km，设计引水流量为18立方米每秒，配套改建3座渠系建筑物，灌区供水体系将得到改善，用水矛盾得到缓解，增加农民收入，促进农村经济发展。</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该项目最终评分100分，绩效评级为“优”。</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3" w:firstLineChars="200"/>
        <w:jc w:val="left"/>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六、绩效自评结果拟应用和公开情况</w:t>
      </w:r>
    </w:p>
    <w:p>
      <w:pPr>
        <w:pStyle w:val="16"/>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（一）对衔接推进乡村振兴补助资金项目、绩效公告公示情况</w:t>
      </w:r>
    </w:p>
    <w:p>
      <w:pPr>
        <w:pStyle w:val="16"/>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按照《国务院办公厅关于印发2017年政务公开工作要点的通知》（国发办【2017】24号）、《新疆维吾尔自治区财政衔接推进乡村振兴补助资金管理办法》（新材规【2021】11号）文件要求：由叶城县财政局扶贫股核对本项目资金及建设内容、由叶城县财政局绩效评价中心于2022年1月19日对项目绩效目标在叶城县人民政府网（http://www.xjyc.gov.cn/ycx/c107308/zwgk.shtml）进行公开，项目实施前在相关乡镇进行了张榜公开，接受社会监督。</w:t>
      </w:r>
    </w:p>
    <w:p>
      <w:pPr>
        <w:pStyle w:val="16"/>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（二）对绩效自评结果拟应用情况进行说明</w:t>
      </w:r>
    </w:p>
    <w:p>
      <w:pPr>
        <w:pStyle w:val="16"/>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 xml:space="preserve">绩效自评的结果应用，既是开展绩效评价工作的基本前提，又是加强财政支出管理、增强资金绩效理念、合理配置公共资源、优化财政支出结构、强化资金管理水平、提高资金使用效益的重要手段。为使绩效评价结果得到合理应用，将此次绩效评价结果作为以后年度建设资金分配的重要依据。绩效评价是对效果的评价，评价结果直接反应项目实施的效益。评价结果优秀并绩效突出的：对于实施过程评价的项目，财政部门要在安排该项目后续资金时给予优先保障；对于完成结果评价的项目，财政部门要在安排该部门其他项目资金时给予综合考虑。评价结果为不合格的：对于实施过程评价的项目，财政部门要及时提出整改意见，整改期间暂停已安排资金的拨款或支付，未按要求落实整改的，要会同有关部门向同级人民政府提出暂停该项目实施的建议，由同级人民政府确定该项目是否继续实施；对于完成结果评价的项目，在安排该部门新增项目资金时，应从紧考虑，并加强项目前期论证和综合分析，以确保项目资金使用的安全有效。                                          </w:t>
      </w:r>
    </w:p>
    <w:p>
      <w:pPr>
        <w:pStyle w:val="16"/>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该项目结果应用：一是将自评结果报送县财政局及地区财政局，根据绩效自评结果作为下一年度资金安排参考。二是今后我单位会注重结果导向、强调成本效益、硬化责任约束，不断加强绩效管理队伍建设，提升业务素质，提高预算管理水平和政策实施效果，实现预算和绩效管理一体化，着力提高财政资源配置效率和使用效益，全面提升我单位公共服务水平。</w:t>
      </w:r>
    </w:p>
    <w:p>
      <w:pPr>
        <w:pStyle w:val="16"/>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本项目在本年度实施过程中，严格按照衔接补助资金管理办法，部门实行监督管理制度和项目负责人终生追责制等管理方法，夯实各级部门职责，对被评价项目的绩效情况、完成程度和存在的问题与建议加以综合分析，建立评价结果在部门预算安排中的激励与约束机制，逐步发挥绩效评价工作的应有作用。</w:t>
      </w:r>
    </w:p>
    <w:p>
      <w:pPr>
        <w:pStyle w:val="16"/>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（三）对二级指标权重(分值)分配情况进行说明，赋权的方法或者原则</w:t>
      </w:r>
    </w:p>
    <w:p>
      <w:pPr>
        <w:pStyle w:val="16"/>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r>
        <w:rPr>
          <w:rFonts w:hint="eastAsia" w:ascii="仿宋_GB2312" w:hAnsi="黑体" w:eastAsia="仿宋_GB2312" w:cstheme="minorBidi"/>
          <w:color w:val="auto"/>
          <w:kern w:val="2"/>
          <w:sz w:val="32"/>
          <w:szCs w:val="32"/>
          <w:highlight w:val="none"/>
          <w:lang w:val="en-US" w:eastAsia="zh-CN" w:bidi="ar-SA"/>
        </w:rPr>
        <w:t>绩效评价指标体系中各指标的权重和分值由本项目绩效评价小组根据绩效评价原理和评价需求，在调研基础上，考虑本项目绩效评价的侧重点和关键环节，依据指标的重要性产生，并经充分讨论后，报绩效评价小组进行审查，根据审查意见，对相关指标权重和分值调整后确定。</w:t>
      </w:r>
    </w:p>
    <w:p>
      <w:pPr>
        <w:pStyle w:val="16"/>
        <w:pageBreakBefore w:val="0"/>
        <w:widowControl w:val="0"/>
        <w:kinsoku/>
        <w:overflowPunct/>
        <w:topLinePunct w:val="0"/>
        <w:autoSpaceDN/>
        <w:bidi w:val="0"/>
        <w:adjustRightInd/>
        <w:snapToGrid/>
        <w:spacing w:line="560" w:lineRule="exact"/>
        <w:ind w:firstLine="640"/>
        <w:textAlignment w:val="auto"/>
        <w:rPr>
          <w:rFonts w:hint="eastAsia" w:ascii="仿宋_GB2312" w:hAnsi="黑体" w:eastAsia="仿宋_GB2312" w:cstheme="minorBidi"/>
          <w:color w:val="auto"/>
          <w:kern w:val="2"/>
          <w:sz w:val="32"/>
          <w:szCs w:val="32"/>
          <w:highlight w:val="none"/>
          <w:lang w:val="en-US" w:eastAsia="zh-CN" w:bidi="ar-SA"/>
        </w:rPr>
      </w:pPr>
    </w:p>
    <w:p>
      <w:pPr>
        <w:pStyle w:val="2"/>
        <w:pageBreakBefore w:val="0"/>
        <w:widowControl w:val="0"/>
        <w:numPr>
          <w:ilvl w:val="0"/>
          <w:numId w:val="0"/>
        </w:numPr>
        <w:kinsoku/>
        <w:overflowPunct/>
        <w:topLinePunct w:val="0"/>
        <w:autoSpaceDN/>
        <w:bidi w:val="0"/>
        <w:adjustRightInd/>
        <w:snapToGrid/>
        <w:spacing w:line="560" w:lineRule="exact"/>
        <w:ind w:leftChars="200"/>
        <w:textAlignment w:val="auto"/>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HYb2gj">
    <w:altName w:val="宋体"/>
    <w:panose1 w:val="00000000000000000000"/>
    <w:charset w:val="86"/>
    <w:family w:val="modern"/>
    <w:pitch w:val="default"/>
    <w:sig w:usb0="00000000" w:usb1="00000000" w:usb2="0000001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0A26"/>
    <w:rsid w:val="003E0379"/>
    <w:rsid w:val="0055176E"/>
    <w:rsid w:val="00F20A26"/>
    <w:rsid w:val="059A592B"/>
    <w:rsid w:val="05BB0039"/>
    <w:rsid w:val="11F170BA"/>
    <w:rsid w:val="187A025D"/>
    <w:rsid w:val="1937751C"/>
    <w:rsid w:val="1ABF7AF2"/>
    <w:rsid w:val="23270747"/>
    <w:rsid w:val="29EC0C5C"/>
    <w:rsid w:val="2AB127A3"/>
    <w:rsid w:val="2E51749D"/>
    <w:rsid w:val="317A42C7"/>
    <w:rsid w:val="31AE0AA6"/>
    <w:rsid w:val="3AFA7CA6"/>
    <w:rsid w:val="3BDC7A49"/>
    <w:rsid w:val="3DAD7F4C"/>
    <w:rsid w:val="41871287"/>
    <w:rsid w:val="51F84D02"/>
    <w:rsid w:val="541C5142"/>
    <w:rsid w:val="609F5A19"/>
    <w:rsid w:val="65FB514F"/>
    <w:rsid w:val="66FB5A93"/>
    <w:rsid w:val="7E984E50"/>
    <w:rsid w:val="FDFE78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2"/>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6"/>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7">
    <w:name w:val="heading 3"/>
    <w:basedOn w:val="1"/>
    <w:next w:val="1"/>
    <w:qFormat/>
    <w:uiPriority w:val="9"/>
    <w:pPr>
      <w:keepNext/>
      <w:keepLines/>
      <w:spacing w:before="260" w:after="260" w:line="416" w:lineRule="auto"/>
      <w:jc w:val="left"/>
      <w:outlineLvl w:val="2"/>
    </w:pPr>
    <w:rPr>
      <w:rFonts w:cs="Times New Roman"/>
      <w:bCs/>
      <w:kern w:val="0"/>
      <w:szCs w:val="32"/>
    </w:rPr>
  </w:style>
  <w:style w:type="character" w:default="1" w:styleId="13">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0"/>
    <w:pPr>
      <w:ind w:firstLine="420"/>
    </w:pPr>
  </w:style>
  <w:style w:type="paragraph" w:styleId="3">
    <w:name w:val="Body Text Indent"/>
    <w:basedOn w:val="1"/>
    <w:unhideWhenUsed/>
    <w:qFormat/>
    <w:uiPriority w:val="99"/>
    <w:pPr>
      <w:spacing w:after="120"/>
      <w:ind w:left="420" w:leftChars="200"/>
    </w:pPr>
    <w:rPr>
      <w:rFonts w:cs="Times New Roman"/>
      <w:kern w:val="0"/>
      <w:szCs w:val="20"/>
    </w:rPr>
  </w:style>
  <w:style w:type="paragraph" w:styleId="6">
    <w:name w:val="Body Text"/>
    <w:basedOn w:val="1"/>
    <w:qFormat/>
    <w:uiPriority w:val="0"/>
    <w:pPr>
      <w:spacing w:before="240" w:after="240" w:line="360" w:lineRule="auto"/>
      <w:jc w:val="center"/>
    </w:pPr>
    <w:rPr>
      <w:b/>
      <w:sz w:val="44"/>
    </w:rPr>
  </w:style>
  <w:style w:type="paragraph" w:styleId="8">
    <w:name w:val="Plain Text"/>
    <w:basedOn w:val="1"/>
    <w:unhideWhenUsed/>
    <w:qFormat/>
    <w:uiPriority w:val="99"/>
    <w:rPr>
      <w:rFonts w:ascii="宋体" w:hAnsi="Courier New"/>
    </w:rPr>
  </w:style>
  <w:style w:type="paragraph" w:styleId="9">
    <w:name w:val="Body Text Indent 2"/>
    <w:basedOn w:val="1"/>
    <w:qFormat/>
    <w:uiPriority w:val="0"/>
    <w:pPr>
      <w:ind w:firstLine="280"/>
    </w:pPr>
    <w:rPr>
      <w:rFonts w:ascii="仿宋_GB2312" w:hAnsi="仿宋_GB2312" w:eastAsia="仿宋_GB2312"/>
      <w:kern w:val="1"/>
      <w:sz w:val="28"/>
    </w:rPr>
  </w:style>
  <w:style w:type="paragraph" w:styleId="10">
    <w:name w:val="footer"/>
    <w:basedOn w:val="1"/>
    <w:unhideWhenUsed/>
    <w:qFormat/>
    <w:uiPriority w:val="99"/>
    <w:pPr>
      <w:tabs>
        <w:tab w:val="center" w:pos="4153"/>
        <w:tab w:val="right" w:pos="8306"/>
      </w:tabs>
      <w:snapToGrid w:val="0"/>
      <w:jc w:val="left"/>
    </w:pPr>
    <w:rPr>
      <w:rFonts w:cs="Times New Roman"/>
      <w:kern w:val="0"/>
      <w:sz w:val="18"/>
      <w:szCs w:val="18"/>
    </w:rPr>
  </w:style>
  <w:style w:type="paragraph" w:styleId="11">
    <w:name w:val="header"/>
    <w:basedOn w:val="1"/>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character" w:styleId="14">
    <w:name w:val="Strong"/>
    <w:basedOn w:val="13"/>
    <w:qFormat/>
    <w:uiPriority w:val="0"/>
    <w:rPr>
      <w:b/>
      <w:bCs/>
    </w:rPr>
  </w:style>
  <w:style w:type="paragraph" w:customStyle="1" w:styleId="15">
    <w:name w:val="Default"/>
    <w:next w:val="1"/>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paragraph" w:customStyle="1" w:styleId="16">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7">
    <w:name w:val="闻政-正文二级标题"/>
    <w:basedOn w:val="5"/>
    <w:next w:val="16"/>
    <w:qFormat/>
    <w:uiPriority w:val="3"/>
    <w:pPr>
      <w:spacing w:before="120" w:after="60" w:line="500" w:lineRule="exact"/>
      <w:ind w:left="200" w:leftChars="200" w:firstLine="0" w:firstLineChars="0"/>
    </w:pPr>
    <w:rPr>
      <w:rFonts w:ascii="Times New Roman" w:hAnsi="Times New Roman"/>
      <w:sz w:val="28"/>
    </w:rPr>
  </w:style>
  <w:style w:type="paragraph" w:customStyle="1" w:styleId="18">
    <w:name w:val="闻政-正文一级标题"/>
    <w:basedOn w:val="7"/>
    <w:next w:val="16"/>
    <w:qFormat/>
    <w:uiPriority w:val="3"/>
    <w:pPr>
      <w:spacing w:before="120" w:after="60" w:line="500" w:lineRule="exact"/>
      <w:ind w:firstLine="0" w:firstLineChars="0"/>
      <w:outlineLvl w:val="0"/>
    </w:pPr>
    <w:rPr>
      <w:rFonts w:ascii="黑体" w:hAnsi="黑体" w:eastAsia="黑体"/>
      <w:sz w:val="32"/>
    </w:rPr>
  </w:style>
  <w:style w:type="paragraph" w:customStyle="1" w:styleId="19">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52</Words>
  <Characters>301</Characters>
  <Lines>2</Lines>
  <Paragraphs>1</Paragraphs>
  <TotalTime>0</TotalTime>
  <ScaleCrop>false</ScaleCrop>
  <LinksUpToDate>false</LinksUpToDate>
  <CharactersWithSpaces>352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2019-10-08T13:02:00Z</dcterms:created>
  <dc:creator>姜波</dc:creator>
  <cp:lastModifiedBy>Administrator</cp:lastModifiedBy>
  <dcterms:modified xsi:type="dcterms:W3CDTF">2025-02-13T08:06:49Z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