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6"/>
          <w:szCs w:val="36"/>
          <w:highlight w:val="none"/>
          <w:lang w:val="en-US" w:eastAsia="zh-CN"/>
        </w:rPr>
      </w:pPr>
    </w:p>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b/>
          <w:color w:val="auto"/>
          <w:kern w:val="0"/>
          <w:sz w:val="32"/>
          <w:szCs w:val="32"/>
          <w:highlight w:val="none"/>
          <w:lang w:bidi="en-US"/>
        </w:rPr>
      </w:pPr>
      <w:bookmarkStart w:id="0" w:name="_Toc68364657"/>
      <w:r>
        <w:rPr>
          <w:rFonts w:hint="eastAsia" w:ascii="黑体" w:hAnsi="黑体" w:eastAsia="黑体" w:cs="黑体"/>
          <w:b/>
          <w:color w:val="auto"/>
          <w:sz w:val="36"/>
          <w:szCs w:val="36"/>
          <w:highlight w:val="none"/>
        </w:rPr>
        <w:t>叶城县12万吨综合饲草料加工厂基础附属设备（完善提升）项目</w:t>
      </w:r>
      <w:r>
        <w:rPr>
          <w:rFonts w:hint="eastAsia" w:ascii="黑体" w:hAnsi="黑体" w:eastAsia="黑体"/>
          <w:b/>
          <w:bCs/>
          <w:color w:val="auto"/>
          <w:sz w:val="36"/>
          <w:szCs w:val="36"/>
          <w:highlight w:val="none"/>
          <w:lang w:eastAsia="zh-CN"/>
        </w:rPr>
        <w:t>支出自评总结报告</w:t>
      </w:r>
    </w:p>
    <w:p>
      <w:pPr>
        <w:pageBreakBefore w:val="0"/>
        <w:kinsoku/>
        <w:wordWrap/>
        <w:topLinePunct w:val="0"/>
        <w:autoSpaceDE/>
        <w:autoSpaceDN/>
        <w:bidi w:val="0"/>
        <w:spacing w:line="560" w:lineRule="exact"/>
        <w:ind w:firstLine="0" w:firstLineChars="0"/>
        <w:jc w:val="center"/>
        <w:rPr>
          <w:rFonts w:hint="eastAsia" w:ascii="黑体" w:hAnsi="黑体" w:eastAsia="黑体" w:cs="黑体"/>
          <w:b/>
          <w:color w:val="auto"/>
          <w:kern w:val="0"/>
          <w:sz w:val="36"/>
          <w:szCs w:val="36"/>
          <w:highlight w:val="none"/>
          <w:lang w:bidi="en-US"/>
        </w:rPr>
      </w:pPr>
    </w:p>
    <w:p>
      <w:pPr>
        <w:keepNext w:val="0"/>
        <w:keepLines w:val="0"/>
        <w:pageBreakBefore w:val="0"/>
        <w:widowControl w:val="0"/>
        <w:kinsoku/>
        <w:overflowPunct/>
        <w:topLinePunct w:val="0"/>
        <w:autoSpaceDN/>
        <w:bidi w:val="0"/>
        <w:adjustRightInd/>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keepNext w:val="0"/>
        <w:keepLines w:val="0"/>
        <w:pageBreakBefore w:val="0"/>
        <w:widowControl w:val="0"/>
        <w:kinsoku/>
        <w:overflowPunct/>
        <w:topLinePunct w:val="0"/>
        <w:autoSpaceDN/>
        <w:bidi w:val="0"/>
        <w:adjustRightInd/>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keepNext w:val="0"/>
        <w:keepLines w:val="0"/>
        <w:pageBreakBefore w:val="0"/>
        <w:widowControl w:val="0"/>
        <w:kinsoku/>
        <w:overflowPunct/>
        <w:topLinePunct w:val="0"/>
        <w:autoSpaceDN/>
        <w:bidi w:val="0"/>
        <w:adjustRightInd/>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keepNext w:val="0"/>
        <w:keepLines w:val="0"/>
        <w:pageBreakBefore w:val="0"/>
        <w:widowControl w:val="0"/>
        <w:kinsoku/>
        <w:overflowPunct/>
        <w:topLinePunct w:val="0"/>
        <w:autoSpaceDN/>
        <w:bidi w:val="0"/>
        <w:adjustRightInd/>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keepNext w:val="0"/>
        <w:keepLines w:val="0"/>
        <w:pageBreakBefore w:val="0"/>
        <w:widowControl w:val="0"/>
        <w:kinsoku/>
        <w:overflowPunct/>
        <w:topLinePunct w:val="0"/>
        <w:autoSpaceDN/>
        <w:bidi w:val="0"/>
        <w:adjustRightInd/>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keepNext w:val="0"/>
        <w:keepLines w:val="0"/>
        <w:pageBreakBefore w:val="0"/>
        <w:widowControl w:val="0"/>
        <w:kinsoku/>
        <w:overflowPunct/>
        <w:topLinePunct w:val="0"/>
        <w:autoSpaceDN/>
        <w:bidi w:val="0"/>
        <w:adjustRightInd/>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keepNext w:val="0"/>
        <w:keepLines w:val="0"/>
        <w:pageBreakBefore w:val="0"/>
        <w:widowControl w:val="0"/>
        <w:kinsoku/>
        <w:overflowPunct/>
        <w:topLinePunct w:val="0"/>
        <w:autoSpaceDN/>
        <w:bidi w:val="0"/>
        <w:adjustRightInd/>
        <w:snapToGrid/>
        <w:spacing w:line="560" w:lineRule="exact"/>
        <w:ind w:firstLine="0" w:firstLineChars="0"/>
        <w:jc w:val="center"/>
        <w:textAlignment w:val="auto"/>
        <w:rPr>
          <w:rFonts w:hint="eastAsia" w:ascii="仿宋_GB2312" w:hAnsi="仿宋_GB2312" w:eastAsia="仿宋_GB2312" w:cs="仿宋_GB2312"/>
          <w:color w:val="auto"/>
          <w:kern w:val="0"/>
          <w:sz w:val="32"/>
          <w:szCs w:val="32"/>
          <w:highlight w:val="none"/>
          <w:lang w:bidi="en-US"/>
        </w:rPr>
      </w:pPr>
    </w:p>
    <w:p>
      <w:pPr>
        <w:keepNext w:val="0"/>
        <w:keepLines w:val="0"/>
        <w:pageBreakBefore w:val="0"/>
        <w:widowControl w:val="0"/>
        <w:kinsoku/>
        <w:overflowPunct/>
        <w:topLinePunct w:val="0"/>
        <w:autoSpaceDN/>
        <w:bidi w:val="0"/>
        <w:adjustRightInd/>
        <w:snapToGrid/>
        <w:spacing w:line="560" w:lineRule="exact"/>
        <w:ind w:left="1277" w:leftChars="608" w:firstLine="0" w:firstLineChars="0"/>
        <w:jc w:val="left"/>
        <w:textAlignment w:val="auto"/>
        <w:rPr>
          <w:rFonts w:hint="eastAsia" w:ascii="仿宋_GB2312" w:hAnsi="仿宋_GB2312" w:eastAsia="仿宋_GB2312" w:cs="仿宋_GB2312"/>
          <w:color w:val="auto"/>
          <w:kern w:val="0"/>
          <w:sz w:val="32"/>
          <w:szCs w:val="32"/>
          <w:highlight w:val="none"/>
          <w:lang w:bidi="en-US"/>
        </w:rPr>
      </w:pPr>
      <w:r>
        <w:rPr>
          <w:rFonts w:hint="eastAsia" w:ascii="仿宋_GB2312" w:hAnsi="仿宋_GB2312" w:eastAsia="仿宋_GB2312" w:cs="仿宋_GB2312"/>
          <w:color w:val="auto"/>
          <w:kern w:val="0"/>
          <w:sz w:val="32"/>
          <w:szCs w:val="32"/>
          <w:highlight w:val="none"/>
          <w:lang w:bidi="en-US"/>
        </w:rPr>
        <w:t>项目名称：叶城县12万吨综合饲草料加工厂基础附属设备（完善提升）项目</w:t>
      </w:r>
    </w:p>
    <w:p>
      <w:pPr>
        <w:keepNext w:val="0"/>
        <w:keepLines w:val="0"/>
        <w:pageBreakBefore w:val="0"/>
        <w:widowControl w:val="0"/>
        <w:kinsoku/>
        <w:overflowPunct/>
        <w:topLinePunct w:val="0"/>
        <w:autoSpaceDN/>
        <w:bidi w:val="0"/>
        <w:adjustRightInd/>
        <w:snapToGrid/>
        <w:spacing w:line="560" w:lineRule="exact"/>
        <w:ind w:firstLine="1280" w:firstLineChars="400"/>
        <w:jc w:val="left"/>
        <w:textAlignment w:val="auto"/>
        <w:rPr>
          <w:rFonts w:hint="eastAsia" w:ascii="仿宋_GB2312" w:hAnsi="仿宋_GB2312" w:eastAsia="仿宋_GB2312" w:cs="仿宋_GB2312"/>
          <w:color w:val="auto"/>
          <w:kern w:val="0"/>
          <w:sz w:val="32"/>
          <w:szCs w:val="32"/>
          <w:highlight w:val="none"/>
          <w:lang w:bidi="en-US"/>
        </w:rPr>
      </w:pPr>
      <w:r>
        <w:rPr>
          <w:rFonts w:hint="eastAsia" w:ascii="仿宋_GB2312" w:hAnsi="仿宋_GB2312" w:eastAsia="仿宋_GB2312" w:cs="仿宋_GB2312"/>
          <w:color w:val="auto"/>
          <w:kern w:val="0"/>
          <w:sz w:val="32"/>
          <w:szCs w:val="32"/>
          <w:highlight w:val="none"/>
          <w:lang w:bidi="en-US"/>
        </w:rPr>
        <w:t>项目单位：叶城县畜牧兽医站</w:t>
      </w:r>
    </w:p>
    <w:p>
      <w:pPr>
        <w:keepNext w:val="0"/>
        <w:keepLines w:val="0"/>
        <w:pageBreakBefore w:val="0"/>
        <w:widowControl w:val="0"/>
        <w:kinsoku/>
        <w:overflowPunct/>
        <w:topLinePunct w:val="0"/>
        <w:autoSpaceDN/>
        <w:bidi w:val="0"/>
        <w:adjustRightInd/>
        <w:snapToGrid/>
        <w:spacing w:line="560" w:lineRule="exact"/>
        <w:ind w:firstLine="1280" w:firstLineChars="400"/>
        <w:jc w:val="left"/>
        <w:textAlignment w:val="auto"/>
        <w:rPr>
          <w:rFonts w:hint="eastAsia" w:ascii="仿宋_GB2312" w:hAnsi="仿宋_GB2312" w:eastAsia="仿宋_GB2312" w:cs="仿宋_GB2312"/>
          <w:color w:val="auto"/>
          <w:kern w:val="0"/>
          <w:sz w:val="32"/>
          <w:szCs w:val="32"/>
          <w:highlight w:val="none"/>
          <w:lang w:bidi="en-US"/>
        </w:rPr>
      </w:pPr>
      <w:r>
        <w:rPr>
          <w:rFonts w:hint="eastAsia" w:ascii="仿宋_GB2312" w:hAnsi="仿宋_GB2312" w:eastAsia="仿宋_GB2312" w:cs="仿宋_GB2312"/>
          <w:color w:val="auto"/>
          <w:kern w:val="0"/>
          <w:sz w:val="32"/>
          <w:szCs w:val="32"/>
          <w:highlight w:val="none"/>
          <w:lang w:bidi="en-US"/>
        </w:rPr>
        <w:t>主管部门：叶城县畜牧兽医站</w:t>
      </w:r>
    </w:p>
    <w:p>
      <w:pPr>
        <w:keepNext w:val="0"/>
        <w:keepLines w:val="0"/>
        <w:pageBreakBefore w:val="0"/>
        <w:widowControl w:val="0"/>
        <w:kinsoku/>
        <w:overflowPunct/>
        <w:topLinePunct w:val="0"/>
        <w:autoSpaceDN/>
        <w:bidi w:val="0"/>
        <w:adjustRightInd/>
        <w:snapToGrid/>
        <w:spacing w:line="560" w:lineRule="exact"/>
        <w:ind w:firstLine="1280" w:firstLineChars="400"/>
        <w:jc w:val="left"/>
        <w:textAlignment w:val="auto"/>
        <w:rPr>
          <w:rFonts w:hint="eastAsia" w:ascii="仿宋_GB2312" w:hAnsi="仿宋_GB2312" w:eastAsia="仿宋_GB2312" w:cs="仿宋_GB2312"/>
          <w:color w:val="auto"/>
          <w:kern w:val="0"/>
          <w:sz w:val="32"/>
          <w:szCs w:val="32"/>
          <w:highlight w:val="none"/>
          <w:lang w:bidi="en-US"/>
        </w:rPr>
      </w:pPr>
      <w:r>
        <w:rPr>
          <w:rFonts w:hint="eastAsia" w:ascii="仿宋_GB2312" w:hAnsi="仿宋_GB2312" w:eastAsia="仿宋_GB2312" w:cs="仿宋_GB2312"/>
          <w:color w:val="auto"/>
          <w:kern w:val="0"/>
          <w:sz w:val="32"/>
          <w:szCs w:val="32"/>
          <w:highlight w:val="none"/>
          <w:lang w:bidi="en-US"/>
        </w:rPr>
        <w:t>项目负责人：林国印</w:t>
      </w:r>
    </w:p>
    <w:p>
      <w:pPr>
        <w:keepNext w:val="0"/>
        <w:keepLines w:val="0"/>
        <w:pageBreakBefore w:val="0"/>
        <w:widowControl w:val="0"/>
        <w:kinsoku/>
        <w:overflowPunct/>
        <w:topLinePunct w:val="0"/>
        <w:autoSpaceDN/>
        <w:bidi w:val="0"/>
        <w:adjustRightInd/>
        <w:snapToGrid/>
        <w:spacing w:line="560" w:lineRule="exact"/>
        <w:ind w:firstLine="1280" w:firstLineChars="400"/>
        <w:jc w:val="left"/>
        <w:textAlignment w:val="auto"/>
        <w:rPr>
          <w:rFonts w:hint="eastAsia" w:ascii="仿宋_GB2312" w:hAnsi="仿宋_GB2312" w:eastAsia="仿宋_GB2312" w:cs="仿宋_GB2312"/>
          <w:color w:val="auto"/>
          <w:kern w:val="0"/>
          <w:sz w:val="32"/>
          <w:szCs w:val="32"/>
          <w:highlight w:val="none"/>
          <w:lang w:val="en-US" w:eastAsia="zh-CN" w:bidi="en-US"/>
        </w:rPr>
        <w:sectPr>
          <w:headerReference r:id="rId3" w:type="default"/>
          <w:footerReference r:id="rId4" w:type="default"/>
          <w:pgSz w:w="11906" w:h="16838"/>
          <w:pgMar w:top="1984" w:right="1531" w:bottom="1701" w:left="1134" w:header="851" w:footer="992" w:gutter="0"/>
          <w:pgNumType w:fmt="decimal" w:start="1"/>
          <w:cols w:space="720" w:num="1"/>
          <w:rtlGutter w:val="0"/>
          <w:docGrid w:type="lines" w:linePitch="386" w:charSpace="0"/>
        </w:sectPr>
      </w:pPr>
      <w:r>
        <w:rPr>
          <w:rFonts w:hint="eastAsia" w:ascii="仿宋_GB2312" w:hAnsi="仿宋_GB2312" w:eastAsia="仿宋_GB2312" w:cs="仿宋_GB2312"/>
          <w:color w:val="auto"/>
          <w:kern w:val="0"/>
          <w:sz w:val="32"/>
          <w:szCs w:val="32"/>
          <w:highlight w:val="none"/>
          <w:lang w:bidi="en-US"/>
        </w:rPr>
        <w:t>填报时间：2023年1月5</w:t>
      </w:r>
      <w:r>
        <w:rPr>
          <w:rFonts w:hint="eastAsia" w:ascii="仿宋_GB2312" w:hAnsi="仿宋_GB2312" w:eastAsia="仿宋_GB2312" w:cs="仿宋_GB2312"/>
          <w:color w:val="auto"/>
          <w:kern w:val="0"/>
          <w:sz w:val="32"/>
          <w:szCs w:val="32"/>
          <w:highlight w:val="none"/>
          <w:lang w:val="en-US" w:eastAsia="zh-CN" w:bidi="en-US"/>
        </w:rPr>
        <w:t>日</w:t>
      </w:r>
      <w:bookmarkEnd w:id="0"/>
    </w:p>
    <w:p>
      <w:pPr>
        <w:keepNext w:val="0"/>
        <w:keepLines w:val="0"/>
        <w:pageBreakBefore w:val="0"/>
        <w:widowControl w:val="0"/>
        <w:kinsoku/>
        <w:overflowPunct/>
        <w:topLinePunct w:val="0"/>
        <w:autoSpaceDN/>
        <w:bidi w:val="0"/>
        <w:adjustRightInd/>
        <w:snapToGrid/>
        <w:spacing w:line="560" w:lineRule="exact"/>
        <w:ind w:firstLine="643" w:firstLineChars="200"/>
        <w:jc w:val="center"/>
        <w:textAlignment w:val="auto"/>
        <w:rPr>
          <w:rFonts w:hint="eastAsia" w:ascii="仿宋_GB2312" w:hAnsi="仿宋_GB2312" w:eastAsia="仿宋_GB2312" w:cs="仿宋_GB2312"/>
          <w:b/>
          <w:bCs/>
          <w:color w:val="auto"/>
          <w:sz w:val="32"/>
          <w:szCs w:val="32"/>
          <w:highlight w:val="none"/>
          <w:lang w:val="en-US" w:eastAsia="zh-CN"/>
        </w:rPr>
      </w:pPr>
    </w:p>
    <w:p>
      <w:pPr>
        <w:keepNext w:val="0"/>
        <w:keepLines w:val="0"/>
        <w:pageBreakBefore w:val="0"/>
        <w:widowControl w:val="0"/>
        <w:kinsoku/>
        <w:overflowPunct/>
        <w:topLinePunct w:val="0"/>
        <w:autoSpaceDN/>
        <w:bidi w:val="0"/>
        <w:adjustRightInd/>
        <w:snapToGrid/>
        <w:spacing w:line="560" w:lineRule="exact"/>
        <w:ind w:firstLine="643" w:firstLineChars="200"/>
        <w:jc w:val="center"/>
        <w:textAlignment w:val="auto"/>
        <w:rPr>
          <w:rFonts w:hint="eastAsia" w:ascii="黑体" w:hAnsi="黑体" w:eastAsia="黑体" w:cs="黑体"/>
          <w:b/>
          <w:bCs/>
          <w:color w:val="auto"/>
          <w:sz w:val="32"/>
          <w:szCs w:val="32"/>
          <w:highlight w:val="none"/>
        </w:rPr>
      </w:pPr>
      <w:r>
        <w:rPr>
          <w:rFonts w:hint="eastAsia" w:ascii="黑体" w:hAnsi="黑体" w:eastAsia="黑体" w:cs="黑体"/>
          <w:b/>
          <w:bCs/>
          <w:color w:val="auto"/>
          <w:sz w:val="32"/>
          <w:szCs w:val="32"/>
          <w:highlight w:val="none"/>
          <w:lang w:val="en-US" w:eastAsia="zh-CN"/>
        </w:rPr>
        <w:t>叶城县畜牧兽医站2022</w:t>
      </w:r>
      <w:r>
        <w:rPr>
          <w:rFonts w:hint="eastAsia" w:ascii="黑体" w:hAnsi="黑体" w:eastAsia="黑体" w:cs="黑体"/>
          <w:b/>
          <w:bCs/>
          <w:color w:val="auto"/>
          <w:sz w:val="32"/>
          <w:szCs w:val="32"/>
          <w:highlight w:val="none"/>
        </w:rPr>
        <w:t>年</w:t>
      </w:r>
      <w:r>
        <w:rPr>
          <w:rFonts w:hint="eastAsia" w:ascii="黑体" w:hAnsi="黑体" w:eastAsia="黑体" w:cs="黑体"/>
          <w:b/>
          <w:bCs/>
          <w:color w:val="auto"/>
          <w:sz w:val="32"/>
          <w:szCs w:val="32"/>
          <w:highlight w:val="none"/>
          <w:lang w:eastAsia="zh-CN"/>
        </w:rPr>
        <w:t>财政衔接推进乡村振兴补助资金</w:t>
      </w:r>
      <w:r>
        <w:rPr>
          <w:rFonts w:hint="eastAsia" w:ascii="黑体" w:hAnsi="黑体" w:eastAsia="黑体" w:cs="黑体"/>
          <w:b/>
          <w:bCs/>
          <w:color w:val="auto"/>
          <w:sz w:val="32"/>
          <w:szCs w:val="32"/>
          <w:highlight w:val="none"/>
        </w:rPr>
        <w:t>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下达预算及项目情况。</w:t>
      </w:r>
    </w:p>
    <w:p>
      <w:pPr>
        <w:keepNext w:val="0"/>
        <w:keepLines w:val="0"/>
        <w:pageBreakBefore w:val="0"/>
        <w:widowControl w:val="0"/>
        <w:kinsoku/>
        <w:overflowPunct/>
        <w:topLinePunct w:val="0"/>
        <w:autoSpaceDN/>
        <w:bidi w:val="0"/>
        <w:adjustRightInd/>
        <w:snapToGrid/>
        <w:spacing w:line="560" w:lineRule="exact"/>
        <w:ind w:firstLine="1411" w:firstLineChars="441"/>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w:t>
      </w:r>
      <w:r>
        <w:rPr>
          <w:rFonts w:hint="eastAsia" w:ascii="仿宋_GB2312" w:hAnsi="仿宋_GB2312" w:eastAsia="仿宋_GB2312" w:cs="仿宋_GB2312"/>
          <w:color w:val="auto"/>
          <w:kern w:val="0"/>
          <w:sz w:val="32"/>
          <w:szCs w:val="32"/>
          <w:highlight w:val="none"/>
          <w:lang w:bidi="en-US"/>
        </w:rPr>
        <w:t>叶城县12万吨综合饲草料加工厂基础附属设备（完善提升）</w:t>
      </w:r>
      <w:r>
        <w:rPr>
          <w:rFonts w:hint="eastAsia" w:ascii="仿宋_GB2312" w:hAnsi="仿宋_GB2312" w:eastAsia="仿宋_GB2312" w:cs="仿宋_GB2312"/>
          <w:color w:val="auto"/>
          <w:kern w:val="0"/>
          <w:sz w:val="32"/>
          <w:szCs w:val="32"/>
          <w:highlight w:val="none"/>
          <w:lang w:eastAsia="zh-CN" w:bidi="en-US"/>
        </w:rPr>
        <w:t>，</w:t>
      </w:r>
      <w:r>
        <w:rPr>
          <w:rFonts w:hint="eastAsia" w:ascii="仿宋_GB2312" w:hAnsi="仿宋_GB2312" w:eastAsia="仿宋_GB2312" w:cs="仿宋_GB2312"/>
          <w:color w:val="auto"/>
          <w:kern w:val="0"/>
          <w:sz w:val="32"/>
          <w:szCs w:val="32"/>
          <w:highlight w:val="none"/>
          <w:lang w:val="en-US" w:eastAsia="zh-CN" w:bidi="ar-SA"/>
        </w:rPr>
        <w:t>项目预算资金390万元，</w:t>
      </w:r>
      <w:r>
        <w:rPr>
          <w:rFonts w:hint="eastAsia" w:ascii="仿宋_GB2312" w:hAnsi="仿宋_GB2312" w:eastAsia="仿宋_GB2312" w:cs="仿宋_GB2312"/>
          <w:color w:val="auto"/>
          <w:sz w:val="32"/>
          <w:szCs w:val="32"/>
          <w:highlight w:val="none"/>
          <w:lang w:val="en-US" w:eastAsia="zh-CN"/>
        </w:rPr>
        <w:t>通过该项目的实施可不断完善 厂区道路、电气、给排水等基础设施，为厂区正常生产经营提供有利保 障，对提升厂区饲料加工效率及产品质量具有积极的作用，同时项目的建设可不断降低畜牧产业饲料成本，提升产业经济效益，服巩固脱贫攻 坚成果具有积极的意义。</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项目绩效目标设定情况。</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项目总投资390万元，改扩建饲料加工厂区配套沥青地面2600㎡，地面硬化2550㎡，绿化给水管网、电力工程配套等相关附属工程。本项目通过可不断完善 厂区道路、电气、给排水等基础设施，为厂区正常生产经营提供有利保 障，对提升厂区饲料加工效率及产品质量具有积极的作用，同时项目的建设可不断降低畜牧产业饲料成本，提升产业经济效益，服巩固脱贫攻 坚成果具有积极的意义</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1.项目绩效总目标</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叶城县12万吨综合饲草料加工厂基础附属设备（完善提升）项目，项目资金390万元，主要用于道路、供水、电力等基础设施完善提升，不断降低畜牧产业饲料成本，提升产业经济效益，加快畜牧业不断发展进步。改扩建饲料加工厂区配套沥青地面2600㎡，地面硬化2550㎡，绿化给水管网、电力工程配套等相关附属工程。</w:t>
      </w:r>
    </w:p>
    <w:p>
      <w:pPr>
        <w:pStyle w:val="15"/>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2"/>
        <w:rPr>
          <w:rFonts w:hint="eastAsia" w:ascii="仿宋_GB2312" w:hAnsi="仿宋_GB2312" w:eastAsia="仿宋_GB2312" w:cs="仿宋_GB2312"/>
          <w:b/>
          <w:bCs/>
          <w:color w:val="auto"/>
          <w:kern w:val="0"/>
          <w:sz w:val="32"/>
          <w:szCs w:val="32"/>
          <w:highlight w:val="none"/>
          <w:lang w:val="en-US" w:eastAsia="zh-CN" w:bidi="ar-SA"/>
        </w:rPr>
      </w:pPr>
      <w:r>
        <w:rPr>
          <w:rFonts w:hint="eastAsia" w:ascii="仿宋_GB2312" w:hAnsi="仿宋_GB2312" w:eastAsia="仿宋_GB2312" w:cs="仿宋_GB2312"/>
          <w:b/>
          <w:bCs/>
          <w:color w:val="auto"/>
          <w:kern w:val="0"/>
          <w:sz w:val="32"/>
          <w:szCs w:val="32"/>
          <w:highlight w:val="none"/>
          <w:lang w:val="en-US" w:eastAsia="zh-CN" w:bidi="ar-SA"/>
        </w:rPr>
        <w:t>2.阶段性目标</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bidi="ar-SA"/>
        </w:rPr>
        <w:t>该项目叶发改【2022】487号文件立项实施，项目于2022年10月1日开工，预计12月31日完工。改扩建饲料加工厂区配套沥青地面2600㎡，地面硬化2550㎡，绿化给水管网、电力工程配套等相关附属工程。建设地点位于叶城县洛克乡1村，项目区基础配套设施完善，通讯条件优越，基础配套设施均能满足本项目建成后的供应要求。</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二、绩效自评工作开展情况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包括自评工作开展范围、对象、时间及方式等。</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1. 绩效评价范围</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本次评价范围涵盖项目总体绩效目标、各项绩效指标完成情况以及预算执行情况。覆盖项目预算资金支出的所有内容进行评价。包括项目决策、项目实施和项目成果验收流程等。</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 绩效评价对象</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3.绩效评价时间</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2023年1月3日-2023年1月30日</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4. 绩效评价方法</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本次绩效评价方法的选用坚持简便有效的原则采用综合分析法。</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4. 绩效评价标准</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1" w:name="_Toc68364663"/>
      <w:r>
        <w:rPr>
          <w:rFonts w:hint="eastAsia"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绩效评价标准通常包括计划标准、行业标准、历史标准等，用于对绩效指标完成情况进行比较、分析、评价。本次评价主要采用了计划标准。</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2" w:name="_Toc31464"/>
      <w:bookmarkStart w:id="3" w:name="_Toc17882"/>
      <w:r>
        <w:rPr>
          <w:rFonts w:hint="eastAsia" w:ascii="仿宋_GB2312" w:hAnsi="仿宋_GB2312" w:eastAsia="仿宋_GB2312" w:cs="仿宋_GB2312"/>
          <w:color w:val="auto"/>
          <w:sz w:val="32"/>
          <w:szCs w:val="32"/>
          <w:highlight w:val="none"/>
          <w:lang w:val="en-US" w:eastAsia="zh-CN"/>
        </w:rPr>
        <w:t>计划标准：指以预先制定的目标、计划、预算、定额等作为评价标准。</w:t>
      </w:r>
      <w:bookmarkEnd w:id="2"/>
      <w:bookmarkEnd w:id="3"/>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4" w:name="_Toc2318"/>
      <w:bookmarkStart w:id="5" w:name="_Toc5633"/>
      <w:r>
        <w:rPr>
          <w:rFonts w:hint="eastAsia" w:ascii="仿宋_GB2312" w:hAnsi="仿宋_GB2312" w:eastAsia="仿宋_GB2312" w:cs="仿宋_GB2312"/>
          <w:color w:val="auto"/>
          <w:sz w:val="32"/>
          <w:szCs w:val="32"/>
          <w:highlight w:val="none"/>
          <w:lang w:val="en-US" w:eastAsia="zh-CN"/>
        </w:rPr>
        <w:t>行业标准：指参照国家公布的行业指标数据制定的评价标准。</w:t>
      </w:r>
      <w:bookmarkEnd w:id="4"/>
      <w:bookmarkEnd w:id="5"/>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6" w:name="_Toc16028"/>
      <w:bookmarkStart w:id="7" w:name="_Toc430"/>
      <w:r>
        <w:rPr>
          <w:rFonts w:hint="eastAsia" w:ascii="仿宋_GB2312" w:hAnsi="仿宋_GB2312" w:eastAsia="仿宋_GB2312" w:cs="仿宋_GB2312"/>
          <w:color w:val="auto"/>
          <w:sz w:val="32"/>
          <w:szCs w:val="32"/>
          <w:highlight w:val="none"/>
          <w:lang w:val="en-US" w:eastAsia="zh-CN"/>
        </w:rPr>
        <w:t>历史标准：指参照历史数据制定的评价标准，为体现绩效改进的原则，在可实现的条件下应当确定相对较高的评价标准。</w:t>
      </w:r>
      <w:bookmarkEnd w:id="6"/>
      <w:bookmarkEnd w:id="7"/>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（三）绩效评价工作过程</w:t>
      </w:r>
      <w:bookmarkEnd w:id="1"/>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本次评价成立了评价工作组，成员如下：</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本次评价设计了评价方案、评价指标体系，通过资料分析、调研、访谈满意度调查等方式形成评价结论，在与项目单位沟通后确定评价意见，并出具评价报告。</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第一阶段：前期准备。</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我单位绩效评价人员根据《项目支出绩效评价管理办法》（财预〔2020〕10号）文件精神认真学习相关要求与规定，成立绩效评价工作组，作为绩效评价工作具体实施机构。成员构成如下：</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陶建东任评价组组长，绩效评价工作职责为负责全盘工作。</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买合木提·优努斯任评价组副组长，绩效评价工作职责为为对项目实施情况进行实地调查。</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林国印、周学鹏、祖丽乎玛·毛拉任评价组成员，绩效评价工作职责为负责资料审核等工作。</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第二阶段：组织实施。</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经评价组通过实地调研、查阅资料等方式，采用综合分析法对项目的决策、管理、绩效进行的综合评价分析。</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第三阶段：分析评价。</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首先按照指标体系进行定量、定性分析。其次开展量化打分、综合评价工作，形成初步评价结论。最后归纳整体项目情况与存在问题，撰写部门绩效评价报告。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1.项目资金到位情况分析。</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叶城县12万吨综合饲草料加工厂基础附属设备（完善提升）项目下达资金390万元，为巩固拓展脱贫攻坚成果同乡村振兴有效衔接资金，最终确定项目资金总数为390万元。</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2.项目资金执行情况分析。</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叶城县12万吨综合饲草料加工厂基础附属设备（完善提升）项目预算390万元，到位390万元，实际支出382.23万元，预算执行率为98%，</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能够严格按照《项目实施方案》执行，项目执行情况较好。本项目绩效评价工作，有乡镇主要领导亲自挂帅，分管县领导具体负责，从项目到资金，均能后很好的执行。我单位及时向县领导汇报项目建设进度，加强与施工单位的沟通，确保项目按期完工。</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3.项目资金管理情况分析。</w:t>
      </w:r>
    </w:p>
    <w:p>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本项目支出符合《喀什地区财政巩固拓展脱贫攻坚成果同乡村振兴有效衔接资金管理办法（试行）》</w:t>
      </w:r>
      <w:bookmarkStart w:id="8" w:name="_GoBack"/>
      <w:bookmarkEnd w:id="8"/>
      <w:r>
        <w:rPr>
          <w:rFonts w:hint="eastAsia" w:ascii="仿宋_GB2312" w:hAnsi="仿宋_GB2312" w:eastAsia="仿宋_GB2312" w:cs="仿宋_GB2312"/>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1.产出指标完成情况分析。</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配套沥青地面2600㎡，与预期目标一致，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地面硬化2550㎡，与预期目标一致，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附属工程1批，与预期目标一致，根据评分标准，</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合计得10分。</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★项目验收合格率100%，与预期目标一致，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项目开工时间2022年10月1日，与预期目标指标一致，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项目完工时间2022年12月31日，与预期目标指标一致，</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工程完成及时率100%，与预期目标指标一致，根据评分标准，</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val="en-US" w:eastAsia="zh-CN" w:bidi="ar-SA"/>
        </w:rPr>
        <w:t>沥青地面总计费用84.35万元，项目经费都能控制绩效目标范围内，</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val="en-US" w:eastAsia="zh-CN" w:bidi="ar-SA"/>
        </w:rPr>
        <w:t>地面硬化总计费用81.20万元，项目经费都能控制绩效目标范围内，</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指标标杆分值为5分，根据评分标准，该指标不扣分。得5分。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附属工程总计费用224.45万元，实际附属工程总计费用216.68万元，</w:t>
      </w:r>
      <w:r>
        <w:rPr>
          <w:rFonts w:hint="eastAsia" w:ascii="仿宋_GB2312" w:hAnsi="仿宋_GB2312" w:eastAsia="仿宋_GB2312" w:cs="仿宋_GB2312"/>
          <w:color w:val="auto"/>
          <w:kern w:val="2"/>
          <w:sz w:val="32"/>
          <w:szCs w:val="32"/>
          <w:highlight w:val="none"/>
          <w:lang w:val="en-US" w:eastAsia="zh-CN" w:bidi="ar"/>
        </w:rPr>
        <w:t>指标标杆分值为5分，根据评分标准，该指标扣0.2分。得4.8分。偏差原因：预算成本较高；改进措施：合理编制项目成本预算。</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2.效益指标完成情况分析。</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1.实施效益指标：</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★★★解决务工人员10人以上，与预期指标一致，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附属配套设施使用年限25年，本年已达年度指标，</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带动增加务工人员总收入10万元以上，与预期指标一致，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（4）对于“生态效益指标”：</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该项目无生态效益指标</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实施效益指标合计得10分。</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2.满意度指标: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对于“满意度指标：受益巩固脱贫人员满意度95%，与预期目标一致，</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四、偏离绩效目标的原因和下一步改进措施</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叶城县12万吨综合饲草料加工厂基础附属设备（完善提升）项目预算390万元，到位390万元，实际支出382.23万元，预算执行率为98%，项目绩效指标总体完成率为99.5%，无偏差。</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五、综合评价结论</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叶城县12万吨综合饲草料加工厂基础附属设备（完善提升）项目预算390万元，到位390万元，实际支出382.23万元，预算执行率为98%，</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指标标杆分值为10分，根据评分标准，该指标扣0.2分。得9.8分。</w:t>
      </w:r>
      <w:r>
        <w:rPr>
          <w:rFonts w:hint="eastAsia" w:ascii="仿宋_GB2312" w:hAnsi="仿宋_GB2312" w:eastAsia="仿宋_GB2312" w:cs="仿宋_GB2312"/>
          <w:color w:val="auto"/>
          <w:sz w:val="32"/>
          <w:szCs w:val="32"/>
          <w:highlight w:val="none"/>
          <w:lang w:val="en-US" w:eastAsia="zh-CN"/>
        </w:rPr>
        <w:t>项目完工后可有效改善广大农民群众居住环境，使农民群众获得感、幸福感有效提升。</w:t>
      </w:r>
    </w:p>
    <w:p>
      <w:pPr>
        <w:pStyle w:val="3"/>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该项目最终评分99.6分，绩效评级为“优”。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lang w:val="en-US" w:eastAsia="zh-CN"/>
        </w:rPr>
        <w:t>六、</w:t>
      </w:r>
      <w:r>
        <w:rPr>
          <w:rFonts w:hint="eastAsia" w:ascii="仿宋_GB2312" w:hAnsi="仿宋_GB2312" w:eastAsia="仿宋_GB2312" w:cs="仿宋_GB2312"/>
          <w:b/>
          <w:color w:val="auto"/>
          <w:sz w:val="32"/>
          <w:szCs w:val="32"/>
          <w:highlight w:val="none"/>
        </w:rPr>
        <w:t>绩效自评结果拟应用和公开情况</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（一）对衔接推进乡村振兴补助资金项目、绩效公告公示情况</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（二）对绩效自评结果拟应用情况进行说明</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（三）对二级指标权重(分值)分配情况进行说明，赋权的方法或者原则</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5"/>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p>
    <w:p>
      <w:pPr>
        <w:pStyle w:val="2"/>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rFonts w:hint="eastAsia" w:ascii="仿宋_GB2312" w:hAnsi="仿宋_GB2312" w:eastAsia="仿宋_GB2312" w:cs="仿宋_GB2312"/>
          <w:color w:val="auto"/>
          <w:highlight w:val="none"/>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4997DBE"/>
    <w:rsid w:val="059A592B"/>
    <w:rsid w:val="0C033D1A"/>
    <w:rsid w:val="0FD84CB5"/>
    <w:rsid w:val="13337EFC"/>
    <w:rsid w:val="14F612B2"/>
    <w:rsid w:val="187A025D"/>
    <w:rsid w:val="1937751C"/>
    <w:rsid w:val="1ABF7AF2"/>
    <w:rsid w:val="1E4E2C6C"/>
    <w:rsid w:val="1EE92567"/>
    <w:rsid w:val="1F9F0BFF"/>
    <w:rsid w:val="208A2654"/>
    <w:rsid w:val="21DC0794"/>
    <w:rsid w:val="23FC081B"/>
    <w:rsid w:val="258E09AB"/>
    <w:rsid w:val="275E1E77"/>
    <w:rsid w:val="2BD23766"/>
    <w:rsid w:val="2BDE14CF"/>
    <w:rsid w:val="2E51749D"/>
    <w:rsid w:val="30A66A13"/>
    <w:rsid w:val="31AE0AA6"/>
    <w:rsid w:val="3B362906"/>
    <w:rsid w:val="405E6C33"/>
    <w:rsid w:val="41871287"/>
    <w:rsid w:val="42C508A7"/>
    <w:rsid w:val="5B7E6D47"/>
    <w:rsid w:val="66A55136"/>
    <w:rsid w:val="682E0E4F"/>
    <w:rsid w:val="6D3F3949"/>
    <w:rsid w:val="76954A77"/>
    <w:rsid w:val="779F93D0"/>
    <w:rsid w:val="7E3D5B7E"/>
    <w:rsid w:val="7E984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2"/>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5">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6">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8">
    <w:name w:val="Plain Text"/>
    <w:basedOn w:val="1"/>
    <w:unhideWhenUsed/>
    <w:qFormat/>
    <w:uiPriority w:val="99"/>
    <w:rPr>
      <w:rFonts w:ascii="宋体" w:hAnsi="Courier New"/>
    </w:rPr>
  </w:style>
  <w:style w:type="paragraph" w:styleId="9">
    <w:name w:val="Body Text Indent 2"/>
    <w:basedOn w:val="1"/>
    <w:qFormat/>
    <w:uiPriority w:val="0"/>
    <w:pPr>
      <w:ind w:firstLine="280"/>
    </w:pPr>
    <w:rPr>
      <w:rFonts w:ascii="仿宋_GB2312" w:hAnsi="仿宋_GB2312" w:eastAsia="仿宋_GB2312"/>
      <w:kern w:val="1"/>
      <w:sz w:val="28"/>
    </w:rPr>
  </w:style>
  <w:style w:type="paragraph" w:styleId="10">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1">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4">
    <w:name w:val="Strong"/>
    <w:basedOn w:val="13"/>
    <w:qFormat/>
    <w:uiPriority w:val="0"/>
    <w:rPr>
      <w:b/>
      <w:bCs/>
    </w:rPr>
  </w:style>
  <w:style w:type="paragraph" w:customStyle="1" w:styleId="15">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6">
    <w:name w:val="闻政-正文二级标题"/>
    <w:basedOn w:val="5"/>
    <w:next w:val="15"/>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1</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2025-02-13T08:03:16Z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