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ind w:firstLine="643"/>
        <w:jc w:val="center"/>
        <w:textAlignment w:val="auto"/>
        <w:outlineLvl w:val="0"/>
        <w:rPr>
          <w:rFonts w:hint="eastAsia" w:ascii="方正小标宋_GBK" w:hAnsi="方正小标宋_GBK" w:eastAsia="方正小标宋_GBK" w:cs="方正小标宋_GBK"/>
          <w:b/>
          <w:bCs/>
          <w:color w:val="000000"/>
          <w:sz w:val="44"/>
          <w:szCs w:val="44"/>
          <w:lang w:eastAsia="zh-CN"/>
        </w:rPr>
      </w:pPr>
      <w:r>
        <w:rPr>
          <w:rFonts w:hint="eastAsia" w:ascii="方正小标宋_GBK" w:hAnsi="方正小标宋_GBK" w:eastAsia="方正小标宋_GBK" w:cs="方正小标宋_GBK"/>
          <w:b/>
          <w:bCs/>
          <w:color w:val="000000"/>
          <w:sz w:val="44"/>
          <w:szCs w:val="44"/>
          <w:lang w:eastAsia="zh-CN"/>
        </w:rPr>
        <w:t>叶城县小额贷款贴息项目支出自评总结报告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000000"/>
          <w:kern w:val="2"/>
          <w:sz w:val="32"/>
          <w:szCs w:val="32"/>
          <w:lang w:val="en-US" w:eastAsia="zh-CN" w:bidi="ar-SA"/>
        </w:rPr>
      </w:pPr>
    </w:p>
    <w:p>
      <w:pPr>
        <w:spacing w:line="700" w:lineRule="exact"/>
        <w:jc w:val="left"/>
        <w:rPr>
          <w:rFonts w:hint="eastAsia" w:ascii="方正楷体_GBK" w:hAnsi="方正楷体_GBK" w:eastAsia="方正楷体_GBK" w:cs="方正楷体_GBK"/>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 xml:space="preserve">  </w:t>
      </w:r>
      <w:r>
        <w:rPr>
          <w:rFonts w:hint="eastAsia" w:ascii="方正楷体_GBK" w:hAnsi="方正楷体_GBK" w:eastAsia="方正楷体_GBK" w:cs="方正楷体_GBK"/>
          <w:color w:val="000000"/>
          <w:kern w:val="2"/>
          <w:sz w:val="32"/>
          <w:szCs w:val="32"/>
          <w:lang w:val="en-US" w:eastAsia="zh-CN" w:bidi="ar-SA"/>
        </w:rPr>
        <w:t xml:space="preserve">  项目名称：叶城县小额贷款贴息项目</w:t>
      </w:r>
    </w:p>
    <w:p>
      <w:pPr>
        <w:spacing w:line="700" w:lineRule="exact"/>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 xml:space="preserve">    实施单位：叶城县农业农村局</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主管部门：叶城县农业农村局</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项目负责人：陈国疆</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填报时间： 2024年1月1日</w:t>
      </w:r>
    </w:p>
    <w:p>
      <w:pPr>
        <w:spacing w:line="560" w:lineRule="exact"/>
        <w:ind w:firstLine="1200" w:firstLineChars="400"/>
        <w:jc w:val="left"/>
        <w:rPr>
          <w:rFonts w:hint="eastAsia" w:ascii="Times New Roman" w:hAnsi="Times New Roman" w:eastAsia="方正仿宋_GBK" w:cs="方正仿宋_GBK"/>
          <w:color w:val="auto"/>
          <w:kern w:val="0"/>
          <w:sz w:val="30"/>
          <w:szCs w:val="30"/>
          <w:lang w:bidi="en-US"/>
        </w:rPr>
      </w:pPr>
    </w:p>
    <w:p>
      <w:pPr>
        <w:pStyle w:val="8"/>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000000"/>
          <w:sz w:val="32"/>
          <w:szCs w:val="32"/>
          <w:lang w:eastAsia="zh-CN"/>
        </w:rPr>
      </w:pPr>
    </w:p>
    <w:p>
      <w:pPr>
        <w:pageBreakBefore w:val="0"/>
        <w:widowControl w:val="0"/>
        <w:kinsoku/>
        <w:overflowPunct/>
        <w:topLinePunct w:val="0"/>
        <w:autoSpaceDN/>
        <w:bidi w:val="0"/>
        <w:spacing w:line="560" w:lineRule="exact"/>
        <w:jc w:val="both"/>
        <w:textAlignment w:val="auto"/>
        <w:rPr>
          <w:rFonts w:hint="eastAsia" w:ascii="黑体" w:hAnsi="黑体" w:eastAsia="黑体"/>
          <w:b/>
          <w:bCs/>
          <w:color w:val="000000"/>
          <w:sz w:val="32"/>
          <w:szCs w:val="32"/>
          <w:lang w:eastAsia="zh-CN"/>
        </w:rPr>
      </w:pPr>
    </w:p>
    <w:p>
      <w:pPr>
        <w:pageBreakBefore w:val="0"/>
        <w:widowControl w:val="0"/>
        <w:kinsoku/>
        <w:overflowPunct/>
        <w:topLinePunct w:val="0"/>
        <w:autoSpaceDN/>
        <w:bidi w:val="0"/>
        <w:spacing w:line="560" w:lineRule="exact"/>
        <w:ind w:firstLine="880" w:firstLineChars="200"/>
        <w:jc w:val="center"/>
        <w:textAlignment w:val="auto"/>
        <w:rPr>
          <w:rFonts w:hint="eastAsia" w:ascii="方正小标宋_GBK" w:hAnsi="方正小标宋_GBK" w:eastAsia="方正小标宋_GBK" w:cs="方正小标宋_GBK"/>
          <w:b w:val="0"/>
          <w:bCs w:val="0"/>
          <w:color w:val="000000"/>
          <w:sz w:val="44"/>
          <w:szCs w:val="44"/>
        </w:rPr>
      </w:pPr>
      <w:r>
        <w:rPr>
          <w:rFonts w:hint="eastAsia" w:ascii="方正小标宋_GBK" w:hAnsi="方正小标宋_GBK" w:eastAsia="方正小标宋_GBK" w:cs="方正小标宋_GBK"/>
          <w:b w:val="0"/>
          <w:bCs w:val="0"/>
          <w:color w:val="000000"/>
          <w:sz w:val="44"/>
          <w:szCs w:val="44"/>
          <w:lang w:val="en-US" w:eastAsia="zh-CN"/>
        </w:rPr>
        <w:t>叶城县农业农村局2023</w:t>
      </w:r>
      <w:r>
        <w:rPr>
          <w:rFonts w:hint="eastAsia" w:ascii="方正小标宋_GBK" w:hAnsi="方正小标宋_GBK" w:eastAsia="方正小标宋_GBK" w:cs="方正小标宋_GBK"/>
          <w:b w:val="0"/>
          <w:bCs w:val="0"/>
          <w:color w:val="000000"/>
          <w:sz w:val="44"/>
          <w:szCs w:val="44"/>
        </w:rPr>
        <w:t>年</w:t>
      </w:r>
      <w:r>
        <w:rPr>
          <w:rFonts w:hint="eastAsia" w:ascii="方正小标宋_GBK" w:hAnsi="方正小标宋_GBK" w:eastAsia="方正小标宋_GBK" w:cs="方正小标宋_GBK"/>
          <w:b w:val="0"/>
          <w:bCs w:val="0"/>
          <w:color w:val="000000"/>
          <w:sz w:val="44"/>
          <w:szCs w:val="44"/>
          <w:lang w:eastAsia="zh-CN"/>
        </w:rPr>
        <w:t>财政衔接推进乡村振兴补助资金</w:t>
      </w:r>
      <w:r>
        <w:rPr>
          <w:rFonts w:hint="eastAsia" w:ascii="方正小标宋_GBK" w:hAnsi="方正小标宋_GBK" w:eastAsia="方正小标宋_GBK" w:cs="方正小标宋_GBK"/>
          <w:b w:val="0"/>
          <w:bCs w:val="0"/>
          <w:color w:val="000000"/>
          <w:sz w:val="44"/>
          <w:szCs w:val="44"/>
        </w:rPr>
        <w:t>绩效自评总结报告</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w:t>
      </w:r>
      <w:r>
        <w:rPr>
          <w:rFonts w:hint="eastAsia" w:ascii="方正仿宋_GBK" w:hAnsi="方正仿宋_GBK" w:eastAsia="方正仿宋_GBK" w:cs="方正仿宋_GBK"/>
          <w:b/>
          <w:bCs/>
          <w:color w:val="000000"/>
          <w:sz w:val="32"/>
          <w:szCs w:val="32"/>
          <w:lang w:eastAsia="zh-CN"/>
        </w:rPr>
        <w:t>财政衔接推进乡村振兴补助资金</w:t>
      </w:r>
      <w:r>
        <w:rPr>
          <w:rFonts w:hint="eastAsia" w:ascii="方正仿宋_GBK" w:hAnsi="方正仿宋_GBK" w:eastAsia="方正仿宋_GBK" w:cs="方正仿宋_GBK"/>
          <w:b/>
          <w:bCs/>
          <w:color w:val="000000"/>
          <w:sz w:val="32"/>
          <w:szCs w:val="32"/>
        </w:rPr>
        <w:t>下达预算及项目情况。</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根据《关于提前下达2023年中央财政衔接推进乡村振兴补助资金预算的通知》（喀地财振【2022】4 号）、《叶城县小额贷款贴息》（叶财振字【2023】53号）文件通知，拨付我单位 2023 年中央财政衔接推进乡村振兴资金1000万元，用于叶城县小额贷款贴息项目，项目总投资为1000万元，通过该项目的实施，预计带动5249户脱贫户和边缘易致贫户贷款（用于农业生产、种植养殖），切实满足脱贫人口、边缘易致贫人口小额信贷需求，支持脱贫人口、边缘易致贫人口发展生产不返贫、不致贫，使脱贫人口、边缘易致贫人口享受小额贴息贷款项目。带动增加受益脱贫户人口全年总收入达到962.79万元，脱贫户和边缘易致贫户户数5249户。</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b/>
          <w:bCs/>
          <w:color w:val="000000"/>
          <w:sz w:val="32"/>
          <w:szCs w:val="32"/>
          <w:lang w:val="en-US" w:eastAsia="zh-CN"/>
        </w:rPr>
        <w:t>2.</w:t>
      </w:r>
      <w:r>
        <w:rPr>
          <w:rFonts w:hint="eastAsia" w:ascii="方正仿宋_GBK" w:hAnsi="方正仿宋_GBK" w:eastAsia="方正仿宋_GBK" w:cs="方正仿宋_GBK"/>
          <w:b/>
          <w:bCs/>
          <w:color w:val="000000"/>
          <w:sz w:val="32"/>
          <w:szCs w:val="32"/>
          <w:lang w:eastAsia="zh-CN"/>
        </w:rPr>
        <w:t>财政衔接推进乡村振兴补助资金</w:t>
      </w:r>
      <w:r>
        <w:rPr>
          <w:rFonts w:hint="eastAsia" w:ascii="方正仿宋_GBK" w:hAnsi="方正仿宋_GBK" w:eastAsia="方正仿宋_GBK" w:cs="方正仿宋_GBK"/>
          <w:b/>
          <w:bCs/>
          <w:color w:val="000000"/>
          <w:sz w:val="32"/>
          <w:szCs w:val="32"/>
        </w:rPr>
        <w:t>项目绩效目标设定情况。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计划资金1000万元，用于开展乡村振兴小额贷款。该项目的实施，预计带动5249户脱贫户和边缘易致贫户贷款（用于农业生产、种植养殖），切实满足脱贫人口、边缘易致贫人口小额信贷需求，支持脱贫人口、边缘易致贫人口发展生产不返贫、不致贫，使脱贫人口、边缘易致贫人口享受小额贴息贷款项目。带动增加受益脱贫户人口全年总收入达到962.79万元，脱贫户和边缘易致贫户户数5249户。</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ascii="仿宋_GB2312" w:hAnsi="黑体" w:eastAsia="仿宋_GB2312"/>
          <w:b/>
          <w:color w:val="000000"/>
          <w:sz w:val="32"/>
          <w:szCs w:val="32"/>
        </w:rPr>
      </w:pPr>
      <w:r>
        <w:rPr>
          <w:rFonts w:hint="eastAsia" w:ascii="方正黑体_GBK" w:hAnsi="方正黑体_GBK" w:eastAsia="方正黑体_GBK" w:cs="方正黑体_GBK"/>
          <w:b w:val="0"/>
          <w:bCs/>
          <w:color w:val="000000"/>
          <w:sz w:val="32"/>
          <w:szCs w:val="32"/>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 绩效评价范围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 绩效评价对象</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2024年1月1日-2024年1月30日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5. 绩效评价标准</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31464"/>
      <w:bookmarkStart w:id="1" w:name="_Toc17882"/>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5633"/>
      <w:bookmarkStart w:id="3" w:name="_Toc2318"/>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430"/>
      <w:bookmarkStart w:id="5" w:name="_Toc16028"/>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该共安排下达资金1000万元，为衔接资金，最终确定项目资金总数为1000万元。</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截至2023年12月31日，实际支出962.79万元，预算执行率96.28%。</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w:t>
      </w:r>
      <w:bookmarkStart w:id="6" w:name="_GoBack"/>
      <w:bookmarkEnd w:id="6"/>
      <w:r>
        <w:rPr>
          <w:rFonts w:hint="eastAsia" w:ascii="方正仿宋_GBK" w:hAnsi="方正仿宋_GBK" w:eastAsia="方正仿宋_GBK" w:cs="方正仿宋_GBK"/>
          <w:color w:val="000000"/>
          <w:kern w:val="2"/>
          <w:sz w:val="32"/>
          <w:szCs w:val="32"/>
          <w:lang w:val="en-US" w:eastAsia="zh-CN" w:bidi="ar-SA"/>
        </w:rPr>
        <w:t>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脱贫贷款申请满足率100%，与预期目标一致，指标标杆分值为10分，根据评分标准，该指标不扣分，得10分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小额信贷贴息利率3.6%，与预期目标一致，指标标杆分值为5分,根据评分标准，该指标不扣分，得5分。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贷款风险补偿比率100%，与预期目标一致，指标标杆分值为5分,根据评分标准，该指标不扣分，得5分。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乡村振兴小额贷款到期还款率100%，与预期目标一致，指标标杆分值为5分,根据评分标准，该指标不扣分，得5分。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贷款及时发放率100%，与预期目标指标一致，指标标杆分值为8分,根据评分标准，该指标不扣分，得8分。       项目完工时间2023年12月，与预期目标指标一致，指标标杆分值为7分,根据评分标准，该指标不扣分，得7分。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小额贷款贴息总额度962.79</w:t>
      </w:r>
      <w:r>
        <w:rPr>
          <w:rFonts w:hint="eastAsia" w:ascii="方正仿宋_GBK" w:hAnsi="方正仿宋_GBK" w:eastAsia="方正仿宋_GBK" w:cs="方正仿宋_GBK"/>
          <w:color w:val="000000"/>
          <w:kern w:val="2"/>
          <w:sz w:val="32"/>
          <w:szCs w:val="32"/>
          <w:highlight w:val="none"/>
          <w:lang w:val="en-US" w:eastAsia="zh-CN" w:bidi="ar-SA"/>
        </w:rPr>
        <w:t>万</w:t>
      </w:r>
      <w:r>
        <w:rPr>
          <w:rFonts w:hint="eastAsia" w:ascii="方正仿宋_GBK" w:hAnsi="方正仿宋_GBK" w:eastAsia="方正仿宋_GBK" w:cs="方正仿宋_GBK"/>
          <w:color w:val="000000"/>
          <w:kern w:val="2"/>
          <w:sz w:val="32"/>
          <w:szCs w:val="32"/>
          <w:lang w:val="en-US" w:eastAsia="zh-CN" w:bidi="ar-SA"/>
        </w:rPr>
        <w:t>元，与预期目标指标不一致。指标标杆分值为10分，根据评分标准，该指标扣0.38分，得9.62分。合计得9.62分。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带动增加受益脱贫户人口全年总收入962.79万元，与预期指标一致，指标标杆分值为10分，根据评分标准，该指标不扣分，得10分。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受益脱贫户和边缘易致贫户5249户，与</w:t>
      </w:r>
      <w:r>
        <w:rPr>
          <w:rFonts w:hint="eastAsia" w:ascii="方正仿宋_GBK" w:hAnsi="方正仿宋_GBK" w:eastAsia="方正仿宋_GBK" w:cs="方正仿宋_GBK"/>
          <w:color w:val="000000"/>
          <w:kern w:val="2"/>
          <w:sz w:val="32"/>
          <w:szCs w:val="32"/>
          <w:highlight w:val="none"/>
          <w:lang w:val="en-US" w:eastAsia="zh-CN" w:bidi="ar-SA"/>
        </w:rPr>
        <w:t>预期指标一致，</w:t>
      </w:r>
      <w:r>
        <w:rPr>
          <w:rFonts w:hint="eastAsia" w:ascii="方正仿宋_GBK" w:hAnsi="方正仿宋_GBK" w:eastAsia="方正仿宋_GBK" w:cs="方正仿宋_GBK"/>
          <w:color w:val="000000"/>
          <w:kern w:val="2"/>
          <w:sz w:val="32"/>
          <w:szCs w:val="32"/>
          <w:lang w:val="en-US" w:eastAsia="zh-CN" w:bidi="ar-SA"/>
        </w:rPr>
        <w:t>指标标杆分值为10分，根据评分标准，该指标不扣分，得</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10分。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对于“生态效益指标”：</w:t>
      </w:r>
    </w:p>
    <w:p>
      <w:pPr>
        <w:pStyle w:val="4"/>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小额贷款贴息带动就业能力提升效果显著，与预期指标一致，指标标杆分值为10分，根据评分标准，该指标不扣分，得10分。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对于“满意度指标：受益贷款户满意度100%，与预期目标一致，根据评分标准，该指标不扣分，得10分。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0" w:firstLineChars="200"/>
        <w:jc w:val="left"/>
        <w:textAlignment w:val="auto"/>
        <w:rPr>
          <w:rFonts w:hint="eastAsia" w:ascii="方正黑体_GBK" w:hAnsi="方正黑体_GBK" w:eastAsia="方正黑体_GBK" w:cs="方正黑体_GBK"/>
          <w:b w:val="0"/>
          <w:bCs w:val="0"/>
          <w:color w:val="000000"/>
          <w:kern w:val="2"/>
          <w:sz w:val="32"/>
          <w:szCs w:val="32"/>
          <w:lang w:val="en-US" w:eastAsia="zh-CN" w:bidi="ar-SA"/>
        </w:rPr>
      </w:pPr>
      <w:r>
        <w:rPr>
          <w:rFonts w:hint="eastAsia" w:ascii="方正黑体_GBK" w:hAnsi="方正黑体_GBK" w:eastAsia="方正黑体_GBK" w:cs="方正黑体_GBK"/>
          <w:b w:val="0"/>
          <w:bCs w:val="0"/>
          <w:color w:val="000000"/>
          <w:kern w:val="2"/>
          <w:sz w:val="32"/>
          <w:szCs w:val="32"/>
          <w:lang w:val="en-US" w:eastAsia="zh-CN" w:bidi="ar-SA"/>
        </w:rPr>
        <w:t>四、偏离绩效目标的原因和下一步改进措施</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小额贷款贴息项目项目预算1000万元，到位1000万元，实际支出962.79万元，预算执行率为96.28%，项目绩效指标总体完成率为99.24%，偏差率为2.98%，偏差原因：贷款人数未达到补助要求；改进措施：调整预算灵活应用贴息补助。</w:t>
      </w:r>
    </w:p>
    <w:p>
      <w:pPr>
        <w:pStyle w:val="18"/>
        <w:keepNext/>
        <w:keepLines/>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b w:val="0"/>
          <w:bCs w:val="0"/>
          <w:color w:val="auto"/>
          <w:sz w:val="32"/>
          <w:highlight w:val="none"/>
        </w:rPr>
      </w:pPr>
      <w:r>
        <w:rPr>
          <w:rFonts w:hint="eastAsia" w:ascii="方正黑体_GBK" w:hAnsi="方正黑体_GBK" w:eastAsia="方正黑体_GBK" w:cs="方正黑体_GBK"/>
          <w:b w:val="0"/>
          <w:bCs w:val="0"/>
          <w:color w:val="auto"/>
          <w:kern w:val="2"/>
          <w:sz w:val="32"/>
          <w:szCs w:val="32"/>
          <w:highlight w:val="none"/>
          <w:lang w:val="en-US" w:eastAsia="zh-CN" w:bidi="ar-SA"/>
        </w:rPr>
        <w:t>五、综合评价结论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叶城县小额贷款贴息项目解决脱贫户贷款发展产业项目的后顾之忧，鼓励有发展意愿的脱贫户、边缘易致贫户通过贷款大力发展产业，持续稳定增收。该项目最终评分99.24分，绩效评级为“优”。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lang w:val="en-US" w:eastAsia="zh-CN"/>
        </w:rPr>
        <w:t>六、</w:t>
      </w:r>
      <w:r>
        <w:rPr>
          <w:rFonts w:hint="eastAsia" w:ascii="方正黑体_GBK" w:hAnsi="方正黑体_GBK" w:eastAsia="方正黑体_GBK" w:cs="方正黑体_GBK"/>
          <w:b w:val="0"/>
          <w:bCs/>
          <w:color w:val="000000"/>
          <w:sz w:val="32"/>
          <w:szCs w:val="32"/>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overflowPunct/>
        <w:topLinePunct w:val="0"/>
        <w:autoSpaceDE/>
        <w:autoSpaceDN/>
        <w:bidi w:val="0"/>
        <w:adjustRightInd/>
        <w:snapToGrid/>
        <w:spacing w:line="600" w:lineRule="exact"/>
        <w:ind w:firstLine="624" w:firstLineChars="200"/>
        <w:textAlignment w:val="auto"/>
        <w:rPr>
          <w:rStyle w:val="15"/>
          <w:rFonts w:hint="eastAsia" w:ascii="方正黑体_GBK" w:hAnsi="方正黑体_GBK" w:eastAsia="方正黑体_GBK" w:cs="方正黑体_GBK"/>
          <w:b w:val="0"/>
          <w:spacing w:val="-4"/>
          <w:sz w:val="32"/>
          <w:szCs w:val="32"/>
        </w:rPr>
      </w:pPr>
      <w:r>
        <w:rPr>
          <w:rStyle w:val="15"/>
          <w:rFonts w:hint="eastAsia" w:ascii="方正黑体_GBK" w:hAnsi="方正黑体_GBK" w:eastAsia="方正黑体_GBK" w:cs="方正黑体_GBK"/>
          <w:b w:val="0"/>
          <w:spacing w:val="-4"/>
          <w:sz w:val="32"/>
          <w:szCs w:val="32"/>
        </w:rPr>
        <w:t>七、绩效评价工作有关说明</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方正仿宋_GBK" w:hAnsi="方正仿宋_GBK" w:eastAsia="方正仿宋_GBK" w:cs="方正仿宋_GBK"/>
          <w:spacing w:val="-4"/>
          <w:sz w:val="32"/>
          <w:szCs w:val="32"/>
        </w:rPr>
      </w:pPr>
      <w:r>
        <w:rPr>
          <w:rFonts w:hint="eastAsia" w:ascii="方正仿宋_GBK" w:hAnsi="方正仿宋_GBK" w:eastAsia="方正仿宋_GBK" w:cs="方正仿宋_GBK"/>
          <w:spacing w:val="-4"/>
          <w:sz w:val="32"/>
          <w:szCs w:val="32"/>
        </w:rPr>
        <w:t>单位成立了项目绩效评价工作小组，项目组长为</w:t>
      </w:r>
      <w:r>
        <w:rPr>
          <w:rFonts w:hint="eastAsia" w:ascii="方正仿宋_GBK" w:hAnsi="方正仿宋_GBK" w:eastAsia="方正仿宋_GBK" w:cs="方正仿宋_GBK"/>
          <w:spacing w:val="-4"/>
          <w:sz w:val="32"/>
          <w:szCs w:val="32"/>
          <w:lang w:val="en-US" w:eastAsia="zh-CN"/>
        </w:rPr>
        <w:t>陈国疆</w:t>
      </w:r>
      <w:r>
        <w:rPr>
          <w:rFonts w:hint="eastAsia" w:ascii="方正仿宋_GBK" w:hAnsi="方正仿宋_GBK" w:eastAsia="方正仿宋_GBK" w:cs="方正仿宋_GBK"/>
          <w:spacing w:val="-4"/>
          <w:sz w:val="32"/>
          <w:szCs w:val="32"/>
        </w:rPr>
        <w:t>，主要负责制定项目评价方案。项目成员为</w:t>
      </w:r>
      <w:r>
        <w:rPr>
          <w:rFonts w:hint="eastAsia" w:ascii="方正仿宋_GBK" w:hAnsi="方正仿宋_GBK" w:eastAsia="方正仿宋_GBK" w:cs="方正仿宋_GBK"/>
          <w:spacing w:val="-4"/>
          <w:sz w:val="32"/>
          <w:szCs w:val="32"/>
          <w:lang w:val="en-US" w:eastAsia="zh-CN"/>
        </w:rPr>
        <w:t>陈霞</w:t>
      </w:r>
      <w:r>
        <w:rPr>
          <w:rFonts w:hint="eastAsia" w:ascii="方正仿宋_GBK" w:hAnsi="方正仿宋_GBK" w:eastAsia="方正仿宋_GBK" w:cs="方正仿宋_GBK"/>
          <w:spacing w:val="-4"/>
          <w:sz w:val="32"/>
          <w:szCs w:val="32"/>
        </w:rPr>
        <w:t>，主要负责收集核查项目资料、现场实地调查资料、绩效的监控情况资料、最终形成自评报告的初稿。</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D1E6DC-2AF0-49DD-A128-2580CEE7FDD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B4FD51A0-0C91-4295-9CAE-7F175D1CEDAF}"/>
  </w:font>
  <w:font w:name="HYb2gj">
    <w:altName w:val="宋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embedRegular r:id="rId3" w:fontKey="{FFAC31EA-F7FF-43B5-9351-38685A7140CC}"/>
  </w:font>
  <w:font w:name="方正仿宋_GBK">
    <w:panose1 w:val="03000509000000000000"/>
    <w:charset w:val="86"/>
    <w:family w:val="script"/>
    <w:pitch w:val="default"/>
    <w:sig w:usb0="00000001" w:usb1="080E0000" w:usb2="00000000" w:usb3="00000000" w:csb0="00040000" w:csb1="00000000"/>
    <w:embedRegular r:id="rId4" w:fontKey="{E40AFF77-B20B-4E3F-85C5-E8205E09DE2E}"/>
  </w:font>
  <w:font w:name="方正楷体_GBK">
    <w:panose1 w:val="02000000000000000000"/>
    <w:charset w:val="86"/>
    <w:family w:val="auto"/>
    <w:pitch w:val="default"/>
    <w:sig w:usb0="00000000" w:usb1="00000000" w:usb2="00000000" w:usb3="00000000" w:csb0="00000000" w:csb1="00000000"/>
    <w:embedRegular r:id="rId5" w:fontKey="{AE186534-B3F1-4D8C-B8B8-CC7E61C51EC8}"/>
  </w:font>
  <w:font w:name="方正黑体_GBK">
    <w:panose1 w:val="02000000000000000000"/>
    <w:charset w:val="86"/>
    <w:family w:val="auto"/>
    <w:pitch w:val="default"/>
    <w:sig w:usb0="00000000" w:usb1="00000000" w:usb2="00000000" w:usb3="00000000" w:csb0="00000000" w:csb1="00000000"/>
    <w:embedRegular r:id="rId6" w:fontKey="{A518D68D-61D8-459B-813F-47F6EB81261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ZWE1ZWEwMGYzYjg5MzkxZDdjM2JkZjk3ODEyNjgifQ=="/>
  </w:docVars>
  <w:rsids>
    <w:rsidRoot w:val="00F20A26"/>
    <w:rsid w:val="003E0379"/>
    <w:rsid w:val="0055176E"/>
    <w:rsid w:val="00F20A26"/>
    <w:rsid w:val="059A592B"/>
    <w:rsid w:val="071905E6"/>
    <w:rsid w:val="08EC01DC"/>
    <w:rsid w:val="129064AA"/>
    <w:rsid w:val="12A245A9"/>
    <w:rsid w:val="14653122"/>
    <w:rsid w:val="15C10B6C"/>
    <w:rsid w:val="17F82735"/>
    <w:rsid w:val="187A025D"/>
    <w:rsid w:val="1937751C"/>
    <w:rsid w:val="1ABF7AF2"/>
    <w:rsid w:val="1B4D6D35"/>
    <w:rsid w:val="1CE22954"/>
    <w:rsid w:val="1EC62AE1"/>
    <w:rsid w:val="1EE67E50"/>
    <w:rsid w:val="1F3507CD"/>
    <w:rsid w:val="20183F4F"/>
    <w:rsid w:val="20F229F7"/>
    <w:rsid w:val="22084AEF"/>
    <w:rsid w:val="22E936F1"/>
    <w:rsid w:val="298304B9"/>
    <w:rsid w:val="29EC0C5C"/>
    <w:rsid w:val="2B1E4C6A"/>
    <w:rsid w:val="2B8A045F"/>
    <w:rsid w:val="2D5F13D7"/>
    <w:rsid w:val="2E51749D"/>
    <w:rsid w:val="2EF60A24"/>
    <w:rsid w:val="31A02A0C"/>
    <w:rsid w:val="31AE0AA6"/>
    <w:rsid w:val="386D751C"/>
    <w:rsid w:val="3A667D78"/>
    <w:rsid w:val="3AC714AA"/>
    <w:rsid w:val="41871287"/>
    <w:rsid w:val="42A337CB"/>
    <w:rsid w:val="47207E1C"/>
    <w:rsid w:val="4A752D56"/>
    <w:rsid w:val="4BA819CC"/>
    <w:rsid w:val="54575230"/>
    <w:rsid w:val="55791B96"/>
    <w:rsid w:val="55DA66E7"/>
    <w:rsid w:val="581E663B"/>
    <w:rsid w:val="59E308B2"/>
    <w:rsid w:val="5CE81DDD"/>
    <w:rsid w:val="5CEF0BA5"/>
    <w:rsid w:val="614F4951"/>
    <w:rsid w:val="647906B5"/>
    <w:rsid w:val="651A36AB"/>
    <w:rsid w:val="65B341A5"/>
    <w:rsid w:val="6AC53C59"/>
    <w:rsid w:val="6B032E45"/>
    <w:rsid w:val="71A83BF0"/>
    <w:rsid w:val="7B580975"/>
    <w:rsid w:val="7D117A7F"/>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semiHidden/>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4</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2025-02-08T04:55:38Z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AE2389E91B184E30A62C55882DC2A698_12</vt:lpwstr>
  </property>
</Properties>
</file>