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5BEE820">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叶城县农业农村机械化发展服务中心</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440B564">
      <w:r>
        <w:br w:type="page"/>
      </w:r>
    </w:p>
    <w:p w14:paraId="67E4EC00">
      <w:pPr>
        <w:spacing w:line="640" w:lineRule="exact"/>
        <w:jc w:val="center"/>
        <w:outlineLvl w:val="1"/>
      </w:pPr>
      <w:r>
        <w:rPr>
          <w:rFonts w:ascii="黑体" w:hAnsi="黑体" w:eastAsia="黑体"/>
          <w:sz w:val="32"/>
        </w:rPr>
        <w:t>第一部分 单位概况</w:t>
      </w:r>
    </w:p>
    <w:p w14:paraId="4F64823A">
      <w:pPr>
        <w:spacing w:line="640" w:lineRule="exact"/>
        <w:ind w:firstLine="640"/>
        <w:jc w:val="both"/>
        <w:outlineLvl w:val="2"/>
      </w:pPr>
      <w:r>
        <w:rPr>
          <w:rFonts w:ascii="黑体" w:hAnsi="黑体" w:eastAsia="黑体"/>
          <w:sz w:val="32"/>
        </w:rPr>
        <w:t>一、主要职能</w:t>
      </w:r>
    </w:p>
    <w:p w14:paraId="360BC40E">
      <w:pPr>
        <w:spacing w:line="580" w:lineRule="exact"/>
        <w:ind w:firstLine="640"/>
        <w:jc w:val="both"/>
      </w:pPr>
      <w:r>
        <w:rPr>
          <w:rFonts w:ascii="仿宋_GB2312" w:hAnsi="仿宋_GB2312" w:eastAsia="仿宋_GB2312"/>
          <w:sz w:val="32"/>
        </w:rPr>
        <w:t>负责贯彻执行国家、自治区、地区及县有关发展农业机械的方针、政策和法律法规；负责农机行业的科研、农机技术推广和教育培训工作的组织协调，农牧业机械化技术推广项目的选定、论证、申报立项及组织实施；负责新技术、新机具引进、示范和推广工作；负责农机专项资金的使用、管理；完成局机关交办的其他工作。负责贯彻执行国家农机化服务和安全生产的方针政策；开展农机安全宣传教育；为农机安全使用提供服务保障；负责农机操作员业务培训工作；推广先进农机技术，提高农业机械化水平。承担农机技术推广，农机试验示范职责；负责农机技术推广业务指导，农机技术培训和农机信息服务。</w:t>
      </w:r>
    </w:p>
    <w:p w14:paraId="30459FFC">
      <w:pPr>
        <w:spacing w:line="640" w:lineRule="exact"/>
        <w:ind w:firstLine="640"/>
        <w:jc w:val="both"/>
        <w:outlineLvl w:val="2"/>
      </w:pPr>
      <w:r>
        <w:rPr>
          <w:rFonts w:ascii="黑体" w:hAnsi="黑体" w:eastAsia="黑体"/>
          <w:sz w:val="32"/>
        </w:rPr>
        <w:t>二、机构设置及人员情况</w:t>
      </w:r>
    </w:p>
    <w:p w14:paraId="6D789787">
      <w:pPr>
        <w:spacing w:line="580" w:lineRule="exact"/>
        <w:ind w:firstLine="640"/>
        <w:jc w:val="both"/>
      </w:pPr>
      <w:r>
        <w:rPr>
          <w:rFonts w:ascii="仿宋_GB2312" w:hAnsi="仿宋_GB2312" w:eastAsia="仿宋_GB2312"/>
          <w:sz w:val="32"/>
        </w:rPr>
        <w:t>叶城县农业农村机械化发展服务中心2024年度，实有人数54人，其中：在职人员25人，增加7人；离休人员0人，增加0人；退休人员29人,增加2人。</w:t>
      </w:r>
    </w:p>
    <w:p w14:paraId="1F25ECFE">
      <w:pPr>
        <w:spacing w:line="580" w:lineRule="exact"/>
        <w:ind w:firstLine="640"/>
        <w:jc w:val="both"/>
      </w:pPr>
      <w:r>
        <w:rPr>
          <w:rFonts w:ascii="仿宋_GB2312" w:hAnsi="仿宋_GB2312" w:eastAsia="仿宋_GB2312"/>
          <w:sz w:val="32"/>
        </w:rPr>
        <w:t>叶城县农业农村机械化发展服务中心无下属预算单位，下设</w:t>
      </w:r>
      <w:r>
        <w:rPr>
          <w:rFonts w:hint="eastAsia" w:ascii="仿宋_GB2312" w:hAnsi="仿宋_GB2312" w:eastAsia="仿宋_GB2312"/>
          <w:sz w:val="32"/>
          <w:lang w:val="en-US" w:eastAsia="zh-CN"/>
        </w:rPr>
        <w:t>5</w:t>
      </w:r>
      <w:r>
        <w:rPr>
          <w:rFonts w:ascii="仿宋_GB2312" w:hAnsi="仿宋_GB2312" w:eastAsia="仿宋_GB2312"/>
          <w:sz w:val="32"/>
        </w:rPr>
        <w:t>个科室，分别是：农机中心办公室、财务室</w:t>
      </w:r>
      <w:r>
        <w:rPr>
          <w:rFonts w:hint="eastAsia" w:ascii="仿宋_GB2312" w:hAnsi="仿宋_GB2312" w:eastAsia="仿宋_GB2312"/>
          <w:sz w:val="32"/>
          <w:lang w:eastAsia="zh-CN"/>
        </w:rPr>
        <w:t>、</w:t>
      </w:r>
      <w:r>
        <w:rPr>
          <w:rFonts w:ascii="仿宋_GB2312" w:hAnsi="仿宋_GB2312" w:eastAsia="仿宋_GB2312"/>
          <w:sz w:val="32"/>
        </w:rPr>
        <w:t>农机服务站、农业机械化技术推广站、购置补贴办公室。</w:t>
      </w:r>
    </w:p>
    <w:p w14:paraId="337BCDB7">
      <w:r>
        <w:br w:type="page"/>
      </w:r>
    </w:p>
    <w:p w14:paraId="4A5E6895">
      <w:pPr>
        <w:spacing w:line="240" w:lineRule="auto"/>
        <w:jc w:val="center"/>
        <w:outlineLvl w:val="1"/>
      </w:pPr>
      <w:r>
        <w:rPr>
          <w:rFonts w:ascii="黑体" w:hAnsi="黑体" w:eastAsia="黑体"/>
          <w:sz w:val="32"/>
        </w:rPr>
        <w:t>第二部分 部门决算情况说明</w:t>
      </w:r>
    </w:p>
    <w:p w14:paraId="20A07432">
      <w:pPr>
        <w:spacing w:line="640" w:lineRule="exact"/>
        <w:ind w:firstLine="640"/>
        <w:jc w:val="both"/>
        <w:outlineLvl w:val="2"/>
      </w:pPr>
      <w:r>
        <w:rPr>
          <w:rFonts w:ascii="黑体" w:hAnsi="黑体" w:eastAsia="黑体"/>
          <w:sz w:val="32"/>
        </w:rPr>
        <w:t>一、收入支出决算总体情况说明</w:t>
      </w:r>
    </w:p>
    <w:p w14:paraId="53EB28AE">
      <w:pPr>
        <w:spacing w:line="580" w:lineRule="exact"/>
        <w:ind w:firstLine="640"/>
        <w:jc w:val="both"/>
      </w:pPr>
      <w:r>
        <w:rPr>
          <w:rFonts w:ascii="仿宋_GB2312" w:hAnsi="仿宋_GB2312" w:eastAsia="仿宋_GB2312"/>
          <w:b/>
          <w:sz w:val="32"/>
        </w:rPr>
        <w:t>2024年度收入总计1,884.09万元，</w:t>
      </w:r>
      <w:r>
        <w:rPr>
          <w:rFonts w:ascii="仿宋_GB2312" w:hAnsi="仿宋_GB2312" w:eastAsia="仿宋_GB2312"/>
          <w:b w:val="0"/>
          <w:sz w:val="32"/>
        </w:rPr>
        <w:t>其中：本年收入合计1,884.09万元，使用非财政拨款结余（含专用结余）0.00万元，年初结转和结余0.00万元。</w:t>
      </w:r>
    </w:p>
    <w:p w14:paraId="64E936F0">
      <w:pPr>
        <w:spacing w:line="580" w:lineRule="exact"/>
        <w:ind w:firstLine="640"/>
        <w:jc w:val="both"/>
      </w:pPr>
      <w:r>
        <w:rPr>
          <w:rFonts w:ascii="仿宋_GB2312" w:hAnsi="仿宋_GB2312" w:eastAsia="仿宋_GB2312"/>
          <w:b/>
          <w:sz w:val="32"/>
        </w:rPr>
        <w:t>2024年度支出总计1,884.09万元，</w:t>
      </w:r>
      <w:r>
        <w:rPr>
          <w:rFonts w:ascii="仿宋_GB2312" w:hAnsi="仿宋_GB2312" w:eastAsia="仿宋_GB2312"/>
          <w:b w:val="0"/>
          <w:sz w:val="32"/>
        </w:rPr>
        <w:t>其中：本年支出合计1,884.09万元，结余分配0.00万元，年末结转和结余0.00万元。</w:t>
      </w:r>
    </w:p>
    <w:p w14:paraId="21DDDE2C">
      <w:pPr>
        <w:spacing w:line="580" w:lineRule="exact"/>
        <w:ind w:firstLine="640"/>
        <w:jc w:val="both"/>
      </w:pPr>
      <w:r>
        <w:rPr>
          <w:rFonts w:ascii="仿宋_GB2312" w:hAnsi="仿宋_GB2312" w:eastAsia="仿宋_GB2312"/>
          <w:b w:val="0"/>
          <w:sz w:val="32"/>
        </w:rPr>
        <w:t>收入支出总体与上年相比，增加55.33万元，增长3.03%，主要原因是：本年增加叶城县农机中心农副产品加工动力电等项目经费，导致相关经费增加。</w:t>
      </w:r>
    </w:p>
    <w:p w14:paraId="41208F5B">
      <w:pPr>
        <w:spacing w:line="640" w:lineRule="exact"/>
        <w:ind w:firstLine="640"/>
        <w:jc w:val="both"/>
        <w:outlineLvl w:val="2"/>
      </w:pPr>
      <w:r>
        <w:rPr>
          <w:rFonts w:ascii="黑体" w:hAnsi="黑体" w:eastAsia="黑体"/>
          <w:sz w:val="32"/>
        </w:rPr>
        <w:t>二、收入决算情况说明</w:t>
      </w:r>
    </w:p>
    <w:p w14:paraId="4576EDEC">
      <w:pPr>
        <w:spacing w:line="580" w:lineRule="exact"/>
        <w:ind w:firstLine="640"/>
        <w:jc w:val="both"/>
      </w:pPr>
      <w:r>
        <w:rPr>
          <w:rFonts w:ascii="仿宋_GB2312" w:hAnsi="仿宋_GB2312" w:eastAsia="仿宋_GB2312"/>
          <w:b/>
          <w:sz w:val="32"/>
        </w:rPr>
        <w:t>本年收入1,884.09万元，</w:t>
      </w:r>
      <w:r>
        <w:rPr>
          <w:rFonts w:ascii="仿宋_GB2312" w:hAnsi="仿宋_GB2312" w:eastAsia="仿宋_GB2312"/>
          <w:b w:val="0"/>
          <w:sz w:val="32"/>
        </w:rPr>
        <w:t>其中：财政拨款收入1,790.14万元，占95.01%；上级补助收入0.00万元，占0.00%；事业收入0.00万元，占0.00%；经营收入0.00万元，占0.00%；附属单位上缴收入0.00万元，占0.00%；其他收入93.94万元，占4.99%。</w:t>
      </w:r>
    </w:p>
    <w:p w14:paraId="0405FB84">
      <w:pPr>
        <w:spacing w:line="640" w:lineRule="exact"/>
        <w:ind w:firstLine="640"/>
        <w:jc w:val="both"/>
        <w:outlineLvl w:val="2"/>
      </w:pPr>
      <w:r>
        <w:rPr>
          <w:rFonts w:ascii="黑体" w:hAnsi="黑体" w:eastAsia="黑体"/>
          <w:sz w:val="32"/>
        </w:rPr>
        <w:t>三、支出决算情况说明</w:t>
      </w:r>
    </w:p>
    <w:p w14:paraId="4242A17D">
      <w:pPr>
        <w:spacing w:line="580" w:lineRule="exact"/>
        <w:ind w:firstLine="640"/>
        <w:jc w:val="both"/>
      </w:pPr>
      <w:r>
        <w:rPr>
          <w:rFonts w:ascii="仿宋_GB2312" w:hAnsi="仿宋_GB2312" w:eastAsia="仿宋_GB2312"/>
          <w:b/>
          <w:sz w:val="32"/>
        </w:rPr>
        <w:t>本年支出1,884.09万元，</w:t>
      </w:r>
      <w:r>
        <w:rPr>
          <w:rFonts w:ascii="仿宋_GB2312" w:hAnsi="仿宋_GB2312" w:eastAsia="仿宋_GB2312"/>
          <w:b w:val="0"/>
          <w:sz w:val="32"/>
        </w:rPr>
        <w:t>其中：基本支出535.15万元，占28.40%；项目支出1,348.94万元，占71.60%；上缴上级支出0.00万元，占0.00%；经营支出0.00万元，占0.00%；对附属单位补助支出0.00万元，占0.00%。</w:t>
      </w:r>
    </w:p>
    <w:p w14:paraId="1924FF77">
      <w:pPr>
        <w:spacing w:line="640" w:lineRule="exact"/>
        <w:ind w:firstLine="640"/>
        <w:jc w:val="both"/>
        <w:outlineLvl w:val="2"/>
      </w:pPr>
      <w:r>
        <w:rPr>
          <w:rFonts w:ascii="黑体" w:hAnsi="黑体" w:eastAsia="黑体"/>
          <w:sz w:val="32"/>
        </w:rPr>
        <w:t>四、财政拨款收入支出决算总体情况说明</w:t>
      </w:r>
    </w:p>
    <w:p w14:paraId="74655B09">
      <w:pPr>
        <w:spacing w:line="580" w:lineRule="exact"/>
        <w:ind w:firstLine="640"/>
        <w:jc w:val="both"/>
      </w:pPr>
      <w:r>
        <w:rPr>
          <w:rFonts w:ascii="仿宋_GB2312" w:hAnsi="仿宋_GB2312" w:eastAsia="仿宋_GB2312"/>
          <w:b/>
          <w:sz w:val="32"/>
        </w:rPr>
        <w:t>2024年度财政拨款收入总计1,790.14万元，</w:t>
      </w:r>
      <w:r>
        <w:rPr>
          <w:rFonts w:ascii="仿宋_GB2312" w:hAnsi="仿宋_GB2312" w:eastAsia="仿宋_GB2312"/>
          <w:b w:val="0"/>
          <w:sz w:val="32"/>
        </w:rPr>
        <w:t>其中：年初财政拨款结转和结余0.00万元，本年财政拨款收入1,790.14万元。</w:t>
      </w:r>
      <w:r>
        <w:rPr>
          <w:rFonts w:ascii="仿宋_GB2312" w:hAnsi="仿宋_GB2312" w:eastAsia="仿宋_GB2312"/>
          <w:b/>
          <w:sz w:val="32"/>
        </w:rPr>
        <w:t>财政拨款支出总计1,790.14万元，</w:t>
      </w:r>
      <w:r>
        <w:rPr>
          <w:rFonts w:ascii="仿宋_GB2312" w:hAnsi="仿宋_GB2312" w:eastAsia="仿宋_GB2312"/>
          <w:b w:val="0"/>
          <w:sz w:val="32"/>
        </w:rPr>
        <w:t>其中：年末财政拨款结转和结余0.00万元，本年财政拨款支出1,790.14万元。</w:t>
      </w:r>
    </w:p>
    <w:p w14:paraId="4250F40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减少38.62万元，下降2.11%，主要原因是：本年无新增死亡人员，死亡抚恤支出较上年减少，减少叶城县农村机械化发展服务中心工作</w:t>
      </w:r>
      <w:r>
        <w:rPr>
          <w:rFonts w:hint="eastAsia" w:ascii="仿宋_GB2312" w:hAnsi="仿宋_GB2312" w:eastAsia="仿宋_GB2312"/>
          <w:b w:val="0"/>
          <w:sz w:val="32"/>
          <w:lang w:val="en-US" w:eastAsia="zh-CN"/>
        </w:rPr>
        <w:t>经费</w:t>
      </w:r>
      <w:r>
        <w:rPr>
          <w:rFonts w:ascii="仿宋_GB2312" w:hAnsi="仿宋_GB2312" w:eastAsia="仿宋_GB2312"/>
          <w:b w:val="0"/>
          <w:sz w:val="32"/>
        </w:rPr>
        <w:t>、叶城县颗粒饲料加工项目经费，导致相关经费减少。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1,284.22万元，决算数1,790.14万元，预决算差异率39.40%，主要原因是：本年在职人员增加，年中追加人员经费及人员工资、社保、公积金基数调增部分资金，追加农机购置与应用补贴、叶城县2024年超长国债支持农机报废更新补贴等项目经费，导致预决算存在差异。</w:t>
      </w:r>
    </w:p>
    <w:p w14:paraId="0C6FF66B">
      <w:pPr>
        <w:spacing w:line="640" w:lineRule="exact"/>
        <w:ind w:firstLine="640"/>
        <w:jc w:val="both"/>
        <w:outlineLvl w:val="2"/>
      </w:pPr>
      <w:r>
        <w:rPr>
          <w:rFonts w:ascii="黑体" w:hAnsi="黑体" w:eastAsia="黑体"/>
          <w:sz w:val="32"/>
        </w:rPr>
        <w:t>五、一般公共预算财政拨款支出决算情况说明</w:t>
      </w:r>
    </w:p>
    <w:p w14:paraId="6F9F399D">
      <w:pPr>
        <w:spacing w:line="640" w:lineRule="exact"/>
        <w:ind w:firstLine="640"/>
        <w:jc w:val="both"/>
        <w:outlineLvl w:val="3"/>
      </w:pPr>
      <w:r>
        <w:rPr>
          <w:rFonts w:ascii="楷体_GB2312" w:hAnsi="楷体_GB2312" w:eastAsia="楷体_GB2312"/>
          <w:b/>
          <w:sz w:val="32"/>
        </w:rPr>
        <w:t>（一）一般公共预算财政拨款支出决算总体情况</w:t>
      </w:r>
    </w:p>
    <w:p w14:paraId="7B3EE5A6">
      <w:pPr>
        <w:spacing w:line="580" w:lineRule="exact"/>
        <w:ind w:firstLine="640"/>
        <w:jc w:val="both"/>
      </w:pPr>
      <w:r>
        <w:rPr>
          <w:rFonts w:ascii="仿宋_GB2312" w:hAnsi="仿宋_GB2312" w:eastAsia="仿宋_GB2312"/>
          <w:b/>
          <w:sz w:val="32"/>
        </w:rPr>
        <w:t>2024年度一般公共预算财政拨款支出1,674.16万元，</w:t>
      </w:r>
      <w:r>
        <w:rPr>
          <w:rFonts w:ascii="仿宋_GB2312" w:hAnsi="仿宋_GB2312" w:eastAsia="仿宋_GB2312"/>
          <w:b w:val="0"/>
          <w:sz w:val="32"/>
        </w:rPr>
        <w:t>占本年支出合计的88.86%。</w:t>
      </w:r>
      <w:r>
        <w:rPr>
          <w:rFonts w:ascii="仿宋_GB2312" w:hAnsi="仿宋_GB2312" w:eastAsia="仿宋_GB2312"/>
          <w:b/>
          <w:sz w:val="32"/>
        </w:rPr>
        <w:t>与上年相比，</w:t>
      </w:r>
      <w:r>
        <w:rPr>
          <w:rFonts w:ascii="仿宋_GB2312" w:hAnsi="仿宋_GB2312" w:eastAsia="仿宋_GB2312"/>
          <w:b w:val="0"/>
          <w:sz w:val="32"/>
        </w:rPr>
        <w:t>减少154.60万元，下降8.45%，主要原因是：本年无新增死亡人员，死亡抚恤支出较上年减少，减少叶城县农村机械化发展服务中心工作</w:t>
      </w:r>
      <w:r>
        <w:rPr>
          <w:rFonts w:hint="eastAsia" w:ascii="仿宋_GB2312" w:hAnsi="仿宋_GB2312" w:eastAsia="仿宋_GB2312"/>
          <w:b w:val="0"/>
          <w:sz w:val="32"/>
          <w:lang w:val="en-US" w:eastAsia="zh-CN"/>
        </w:rPr>
        <w:t>经费</w:t>
      </w:r>
      <w:r>
        <w:rPr>
          <w:rFonts w:ascii="仿宋_GB2312" w:hAnsi="仿宋_GB2312" w:eastAsia="仿宋_GB2312"/>
          <w:b w:val="0"/>
          <w:sz w:val="32"/>
        </w:rPr>
        <w:t>、叶城县颗粒饲料加工项目经费，导致相关经费减少。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1,284.22万元，决算数1,674.16万元，预决算差异率30.36%，主要原因是：本年在职人员增加，年中追加人员经费及人员工资、社保、公积金基数调增部分资金，追加农机购置与应用补贴等项目经费，导致预决算存在差异。</w:t>
      </w:r>
    </w:p>
    <w:p w14:paraId="521213BD">
      <w:pPr>
        <w:spacing w:line="640" w:lineRule="exact"/>
        <w:ind w:firstLine="640"/>
        <w:jc w:val="both"/>
        <w:outlineLvl w:val="3"/>
      </w:pPr>
      <w:r>
        <w:rPr>
          <w:rFonts w:ascii="楷体_GB2312" w:hAnsi="楷体_GB2312" w:eastAsia="楷体_GB2312"/>
          <w:b/>
          <w:sz w:val="32"/>
        </w:rPr>
        <w:t>（二）一般公共预算财政拨款支出决算结构情况</w:t>
      </w:r>
    </w:p>
    <w:p w14:paraId="192BA626">
      <w:pPr>
        <w:spacing w:line="580" w:lineRule="exact"/>
        <w:ind w:firstLine="640"/>
        <w:jc w:val="both"/>
      </w:pPr>
      <w:r>
        <w:rPr>
          <w:rFonts w:ascii="仿宋_GB2312" w:hAnsi="仿宋_GB2312" w:eastAsia="仿宋_GB2312"/>
          <w:b w:val="0"/>
          <w:sz w:val="32"/>
        </w:rPr>
        <w:t>1.社会保障和就业支出(类)93.66万元,占5.59%。</w:t>
      </w:r>
    </w:p>
    <w:p w14:paraId="3B47468B">
      <w:pPr>
        <w:spacing w:line="580" w:lineRule="exact"/>
        <w:ind w:firstLine="640"/>
        <w:jc w:val="both"/>
      </w:pPr>
      <w:r>
        <w:rPr>
          <w:rFonts w:ascii="仿宋_GB2312" w:hAnsi="仿宋_GB2312" w:eastAsia="仿宋_GB2312"/>
          <w:b w:val="0"/>
          <w:sz w:val="32"/>
        </w:rPr>
        <w:t>2.卫生健康支出(类)25.63万元,占1.53%。</w:t>
      </w:r>
    </w:p>
    <w:p w14:paraId="1C769199">
      <w:pPr>
        <w:spacing w:line="580" w:lineRule="exact"/>
        <w:ind w:firstLine="640"/>
        <w:jc w:val="both"/>
      </w:pPr>
      <w:r>
        <w:rPr>
          <w:rFonts w:ascii="仿宋_GB2312" w:hAnsi="仿宋_GB2312" w:eastAsia="仿宋_GB2312"/>
          <w:b w:val="0"/>
          <w:sz w:val="32"/>
        </w:rPr>
        <w:t>3.农林水支出(类)1,514.65万元,占90.47%。</w:t>
      </w:r>
    </w:p>
    <w:p w14:paraId="749D1EC0">
      <w:pPr>
        <w:spacing w:line="580" w:lineRule="exact"/>
        <w:ind w:firstLine="640"/>
        <w:jc w:val="both"/>
      </w:pPr>
      <w:r>
        <w:rPr>
          <w:rFonts w:ascii="仿宋_GB2312" w:hAnsi="仿宋_GB2312" w:eastAsia="仿宋_GB2312"/>
          <w:b w:val="0"/>
          <w:sz w:val="32"/>
        </w:rPr>
        <w:t>4.住房保障支出(类)40.22万元,占2.40%。</w:t>
      </w:r>
    </w:p>
    <w:p w14:paraId="5F248362">
      <w:pPr>
        <w:spacing w:line="640" w:lineRule="exact"/>
        <w:ind w:firstLine="640"/>
        <w:jc w:val="both"/>
        <w:outlineLvl w:val="3"/>
      </w:pPr>
      <w:r>
        <w:rPr>
          <w:rFonts w:ascii="楷体_GB2312" w:hAnsi="楷体_GB2312" w:eastAsia="楷体_GB2312"/>
          <w:b/>
          <w:sz w:val="32"/>
        </w:rPr>
        <w:t>（三）一般公共预算财政拨款支出决算具体情况</w:t>
      </w:r>
    </w:p>
    <w:p w14:paraId="18216B4E">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1.社会保障和就业支出(类)行政事业单位养老支出(款)事业单位离退休(项):支出决算数为36.43万元，比上年决算减少6.37万元，下降14.88%,主要原因是：上年补发之前年度绩效，本年无此项支出，导致相关经费减少。</w:t>
      </w:r>
    </w:p>
    <w:p w14:paraId="258B0C44">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48.00万元，比上年决算增加16.95万元，增长54.59%,主要原因是：本年在职人员增加，养老保险缴费较上年增加。</w:t>
      </w:r>
    </w:p>
    <w:p w14:paraId="737B0446">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9.22万元，比上年决算减少9.98万元，下降51.98%,主要原因是：本年新增退休人员较上年减少，导致机关事业单位职业年金缴费支出减少。</w:t>
      </w:r>
    </w:p>
    <w:p w14:paraId="319B5BD3">
      <w:pPr>
        <w:spacing w:line="580" w:lineRule="exact"/>
        <w:ind w:firstLine="640"/>
        <w:jc w:val="both"/>
      </w:pPr>
      <w:r>
        <w:rPr>
          <w:rFonts w:ascii="仿宋_GB2312" w:hAnsi="仿宋_GB2312" w:eastAsia="仿宋_GB2312"/>
          <w:b w:val="0"/>
          <w:sz w:val="32"/>
        </w:rPr>
        <w:t>4.社会保障和就业支出(类)抚恤(款)死亡抚恤(项):支出决算数为0.00万元，比上年决算减少98.90万元，下降100.00%,主要原因是：本年无新增死亡人员，死亡抚恤支出较上年减少。</w:t>
      </w:r>
    </w:p>
    <w:p w14:paraId="4CA50BA8">
      <w:pPr>
        <w:spacing w:line="580" w:lineRule="exact"/>
        <w:ind w:firstLine="640"/>
        <w:jc w:val="both"/>
      </w:pPr>
      <w:r>
        <w:rPr>
          <w:rFonts w:ascii="仿宋_GB2312" w:hAnsi="仿宋_GB2312" w:eastAsia="仿宋_GB2312"/>
          <w:b w:val="0"/>
          <w:sz w:val="32"/>
        </w:rPr>
        <w:t>5.卫生健康支出(类)行政事业单位医疗(款)事业单位医疗(项):支出决算数为20.40万元，比上年决算增加6.48万元，增长46.55%,主要原因是：本年在职人员增加，事业单位医疗支出较上年增加。</w:t>
      </w:r>
    </w:p>
    <w:p w14:paraId="265848C8">
      <w:pPr>
        <w:spacing w:line="580" w:lineRule="exact"/>
        <w:ind w:firstLine="640"/>
        <w:jc w:val="both"/>
      </w:pPr>
      <w:r>
        <w:rPr>
          <w:rFonts w:ascii="仿宋_GB2312" w:hAnsi="仿宋_GB2312" w:eastAsia="仿宋_GB2312"/>
          <w:b w:val="0"/>
          <w:sz w:val="32"/>
        </w:rPr>
        <w:t>6.卫生健康支出(类)行政事业单位医疗(款)公务员医疗补助(项):支出决算数为5.23万元，比上年决算增加1.66万元，增长46.50%,主要原因是：本年在职人员增加，公务员医疗补助较上年增加。</w:t>
      </w:r>
    </w:p>
    <w:p w14:paraId="620972CD">
      <w:pPr>
        <w:spacing w:line="580" w:lineRule="exact"/>
        <w:ind w:firstLine="640"/>
        <w:jc w:val="both"/>
      </w:pPr>
      <w:r>
        <w:rPr>
          <w:rFonts w:ascii="仿宋_GB2312" w:hAnsi="仿宋_GB2312" w:eastAsia="仿宋_GB2312"/>
          <w:b w:val="0"/>
          <w:sz w:val="32"/>
        </w:rPr>
        <w:t>7.农林水支出(类)农业农村(款)事业运行(项):支出决算数为375.64万元，比上年决算增加4.22万元，增长1.14%,主要原因是：本年新增在职人员，人员经费增加，导致经费较上年有所增加。</w:t>
      </w:r>
    </w:p>
    <w:p w14:paraId="2FE652FB">
      <w:pPr>
        <w:spacing w:line="580" w:lineRule="exact"/>
        <w:ind w:firstLine="640"/>
        <w:jc w:val="both"/>
      </w:pPr>
      <w:r>
        <w:rPr>
          <w:rFonts w:ascii="仿宋_GB2312" w:hAnsi="仿宋_GB2312" w:eastAsia="仿宋_GB2312"/>
          <w:b w:val="0"/>
          <w:sz w:val="32"/>
        </w:rPr>
        <w:t>8.农林水支出(类)农业农村(款)农业生产发展(项):支出决算数为1,139.01万元，比上年决算增加359.02万元，增长46.03%,主要原因是：本年增加农机购置与应用补贴等项目经费，导致相关经费增加。</w:t>
      </w:r>
    </w:p>
    <w:p w14:paraId="7E35B050">
      <w:pPr>
        <w:spacing w:line="580" w:lineRule="exact"/>
        <w:ind w:firstLine="640"/>
        <w:jc w:val="both"/>
      </w:pPr>
      <w:r>
        <w:rPr>
          <w:rFonts w:ascii="仿宋_GB2312" w:hAnsi="仿宋_GB2312" w:eastAsia="仿宋_GB2312"/>
          <w:b w:val="0"/>
          <w:sz w:val="32"/>
        </w:rPr>
        <w:t>9.农林水支出(类)农业农村(款)其他农业农村支出(项):支出决算数为0.00万元，比上年决算减少1.30万元，下降100.00%,主要原因是：本年减少叶城县农村机械化发展服务中心工作经费，导致相关经费减少。</w:t>
      </w:r>
    </w:p>
    <w:p w14:paraId="1D41DA63">
      <w:pPr>
        <w:spacing w:line="580" w:lineRule="exact"/>
        <w:ind w:firstLine="640"/>
        <w:jc w:val="both"/>
      </w:pPr>
      <w:r>
        <w:rPr>
          <w:rFonts w:ascii="仿宋_GB2312" w:hAnsi="仿宋_GB2312" w:eastAsia="仿宋_GB2312"/>
          <w:b w:val="0"/>
          <w:sz w:val="32"/>
        </w:rPr>
        <w:t>10.农林水支出(类)</w:t>
      </w:r>
      <w:bookmarkStart w:id="0" w:name="_GoBack"/>
      <w:r>
        <w:rPr>
          <w:rFonts w:ascii="仿宋_GB2312" w:hAnsi="仿宋_GB2312" w:eastAsia="仿宋_GB2312"/>
          <w:b w:val="0"/>
          <w:sz w:val="32"/>
        </w:rPr>
        <w:t>巩固脱贫攻坚</w:t>
      </w:r>
      <w:bookmarkEnd w:id="0"/>
      <w:r>
        <w:rPr>
          <w:rFonts w:ascii="仿宋_GB2312" w:hAnsi="仿宋_GB2312" w:eastAsia="仿宋_GB2312"/>
          <w:b w:val="0"/>
          <w:sz w:val="32"/>
        </w:rPr>
        <w:t>成果衔接乡村振兴(款)生产发展(项):支出决算数为0.00万元，比上年决算减少443.34万元，下降100.00%,主要原因是：本年减少叶城县颗粒饲料加工项目经费，导致相关经费减少。</w:t>
      </w:r>
    </w:p>
    <w:p w14:paraId="692664E2">
      <w:pPr>
        <w:spacing w:line="580" w:lineRule="exact"/>
        <w:ind w:firstLine="640"/>
        <w:jc w:val="both"/>
      </w:pPr>
      <w:r>
        <w:rPr>
          <w:rFonts w:ascii="仿宋_GB2312" w:hAnsi="仿宋_GB2312" w:eastAsia="仿宋_GB2312"/>
          <w:b w:val="0"/>
          <w:sz w:val="32"/>
        </w:rPr>
        <w:t>11.住房保障支出(类)住房改革支出(款)住房公积金(项):支出决算数为40.22万元，比上年决算增加16.94万元，增长72.77%,主要原因是：本年在职人员增加，住房公积金支出较上年增加。</w:t>
      </w:r>
    </w:p>
    <w:p w14:paraId="2C82B010">
      <w:pPr>
        <w:spacing w:line="640" w:lineRule="exact"/>
        <w:ind w:firstLine="640"/>
        <w:jc w:val="both"/>
        <w:outlineLvl w:val="2"/>
      </w:pPr>
      <w:r>
        <w:rPr>
          <w:rFonts w:ascii="黑体" w:hAnsi="黑体" w:eastAsia="黑体"/>
          <w:sz w:val="32"/>
        </w:rPr>
        <w:t>六、一般公共预算财政拨款基本支出决算情况说明</w:t>
      </w:r>
    </w:p>
    <w:p w14:paraId="0DD97ECF">
      <w:pPr>
        <w:spacing w:line="580" w:lineRule="exact"/>
        <w:ind w:firstLine="640"/>
        <w:jc w:val="both"/>
      </w:pPr>
      <w:r>
        <w:rPr>
          <w:rFonts w:ascii="仿宋_GB2312" w:hAnsi="仿宋_GB2312" w:eastAsia="仿宋_GB2312"/>
          <w:b w:val="0"/>
          <w:sz w:val="32"/>
        </w:rPr>
        <w:t>2024年度一般公共预算财政拨款基本支出535.15万元，其中：</w:t>
      </w:r>
      <w:r>
        <w:rPr>
          <w:rFonts w:ascii="仿宋_GB2312" w:hAnsi="仿宋_GB2312" w:eastAsia="仿宋_GB2312"/>
          <w:b/>
          <w:sz w:val="32"/>
        </w:rPr>
        <w:t>人员经费520.35万元，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包括：基本工资、津贴补贴、奖金、绩效工资、机关事业单位基本养老保险缴费、职业年金缴费、职工基本医疗保险缴费、公务员医疗补助缴费、其他社会保障缴费、住房公积金、退休费、抚恤金、生活补助。</w:t>
      </w:r>
    </w:p>
    <w:p w14:paraId="4BE14902">
      <w:pPr>
        <w:spacing w:line="580" w:lineRule="exact"/>
        <w:ind w:firstLine="640"/>
        <w:jc w:val="both"/>
      </w:pPr>
      <w:r>
        <w:rPr>
          <w:rFonts w:ascii="仿宋_GB2312" w:hAnsi="仿宋_GB2312" w:eastAsia="仿宋_GB2312"/>
          <w:b/>
          <w:sz w:val="32"/>
        </w:rPr>
        <w:t>公用经费14.79万元，</w:t>
      </w:r>
      <w:r>
        <w:rPr>
          <w:rFonts w:ascii="仿宋_GB2312" w:hAnsi="仿宋_GB2312" w:eastAsia="仿宋_GB2312"/>
          <w:b w:val="0"/>
          <w:sz w:val="32"/>
        </w:rPr>
        <w:t>包括：办公费、水费、电费、邮电费、取暖费、差旅费、公务用车运行维护费。</w:t>
      </w:r>
    </w:p>
    <w:p w14:paraId="63F1ECE3">
      <w:pPr>
        <w:spacing w:line="640" w:lineRule="exact"/>
        <w:ind w:firstLine="640"/>
        <w:jc w:val="both"/>
        <w:outlineLvl w:val="2"/>
      </w:pPr>
      <w:r>
        <w:rPr>
          <w:rFonts w:ascii="黑体" w:hAnsi="黑体" w:eastAsia="黑体"/>
          <w:sz w:val="32"/>
        </w:rPr>
        <w:t>七、政府性基金预算财政拨款收入支出决算情况说明</w:t>
      </w:r>
    </w:p>
    <w:p w14:paraId="60BEEC64">
      <w:pPr>
        <w:spacing w:line="580" w:lineRule="exact"/>
        <w:ind w:firstLine="640"/>
        <w:jc w:val="both"/>
      </w:pPr>
      <w:r>
        <w:rPr>
          <w:rFonts w:ascii="仿宋_GB2312" w:hAnsi="仿宋_GB2312" w:eastAsia="仿宋_GB2312"/>
          <w:b/>
          <w:sz w:val="32"/>
        </w:rPr>
        <w:t>2024年度政府性基金预算财政拨款收入总计115.98万元，</w:t>
      </w:r>
      <w:r>
        <w:rPr>
          <w:rFonts w:ascii="仿宋_GB2312" w:hAnsi="仿宋_GB2312" w:eastAsia="仿宋_GB2312"/>
          <w:b w:val="0"/>
          <w:sz w:val="32"/>
        </w:rPr>
        <w:t>其中：年初结转和结余0.00万元，本年收入115.98万元。</w:t>
      </w:r>
      <w:r>
        <w:rPr>
          <w:rFonts w:ascii="仿宋_GB2312" w:hAnsi="仿宋_GB2312" w:eastAsia="仿宋_GB2312"/>
          <w:b/>
          <w:sz w:val="32"/>
        </w:rPr>
        <w:t>政府性基金预算财政拨款支出总计115.98万元，</w:t>
      </w:r>
      <w:r>
        <w:rPr>
          <w:rFonts w:ascii="仿宋_GB2312" w:hAnsi="仿宋_GB2312" w:eastAsia="仿宋_GB2312"/>
          <w:b w:val="0"/>
          <w:sz w:val="32"/>
        </w:rPr>
        <w:t>其中：年末结转和结余0.00万元，本年支出115.98万元。</w:t>
      </w:r>
    </w:p>
    <w:p w14:paraId="2D1C9C44">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增加115.98万元，增长100.00%，主要原因是：本年增加叶城县2024年超长国债支持农机报废更新补贴项目经费，导致相关经费增加。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年初预算数0.00万元，决算数115.98万元，预决算差异率100.00%，主要原因是：年中追加叶城县2024年超长国债支持农机报废更新补贴项目经费，导致预决算差异。</w:t>
      </w:r>
    </w:p>
    <w:p w14:paraId="4D22B040">
      <w:pPr>
        <w:spacing w:line="580" w:lineRule="exact"/>
        <w:ind w:firstLine="640"/>
        <w:jc w:val="both"/>
      </w:pPr>
      <w:r>
        <w:rPr>
          <w:rFonts w:ascii="仿宋_GB2312" w:hAnsi="仿宋_GB2312" w:eastAsia="仿宋_GB2312"/>
          <w:b w:val="0"/>
          <w:sz w:val="32"/>
        </w:rPr>
        <w:t>政府性基金预算财政拨款支出115.98万元。</w:t>
      </w:r>
    </w:p>
    <w:p w14:paraId="74AD9670">
      <w:pPr>
        <w:spacing w:line="580" w:lineRule="exact"/>
        <w:ind w:firstLine="640"/>
        <w:jc w:val="both"/>
      </w:pPr>
      <w:r>
        <w:rPr>
          <w:rFonts w:ascii="仿宋_GB2312" w:hAnsi="仿宋_GB2312" w:eastAsia="仿宋_GB2312"/>
          <w:b w:val="0"/>
          <w:sz w:val="32"/>
        </w:rPr>
        <w:t>1.资源勘探工业信息等支出(类)超长期特别国债安排的支出(款)制造业(项):支出决算数为115.98万元，比上年决算增加115.98万元，增长100.00%,主要原因是：本年增加叶城县2024年超长国债支持农机报废更新补贴项目经费，导致相关经费增加。</w:t>
      </w:r>
    </w:p>
    <w:p w14:paraId="21C9AD74">
      <w:pPr>
        <w:spacing w:line="640" w:lineRule="exact"/>
        <w:ind w:firstLine="640"/>
        <w:jc w:val="both"/>
        <w:outlineLvl w:val="2"/>
      </w:pPr>
      <w:r>
        <w:rPr>
          <w:rFonts w:ascii="黑体" w:hAnsi="黑体" w:eastAsia="黑体"/>
          <w:sz w:val="32"/>
        </w:rPr>
        <w:t>八、国有资本经营预算财政拨款收入支出决算情况说明</w:t>
      </w:r>
    </w:p>
    <w:p w14:paraId="4859CF5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B50C70F">
      <w:pPr>
        <w:spacing w:line="640" w:lineRule="exact"/>
        <w:ind w:firstLine="640"/>
        <w:jc w:val="both"/>
        <w:outlineLvl w:val="2"/>
      </w:pPr>
      <w:r>
        <w:rPr>
          <w:rFonts w:ascii="黑体" w:hAnsi="黑体" w:eastAsia="黑体"/>
          <w:sz w:val="32"/>
        </w:rPr>
        <w:t>九、财政拨款“三公”经费支出决算情况说明</w:t>
      </w:r>
    </w:p>
    <w:p w14:paraId="2E0FB165">
      <w:pPr>
        <w:spacing w:line="580" w:lineRule="exact"/>
        <w:ind w:firstLine="640"/>
        <w:jc w:val="both"/>
      </w:pPr>
      <w:r>
        <w:rPr>
          <w:rFonts w:ascii="仿宋_GB2312" w:hAnsi="仿宋_GB2312" w:eastAsia="仿宋_GB2312"/>
          <w:b/>
          <w:sz w:val="32"/>
        </w:rPr>
        <w:t>2024年度财政拨款“三公”经费支出2.84万元，</w:t>
      </w:r>
      <w:r>
        <w:rPr>
          <w:rFonts w:ascii="仿宋_GB2312" w:hAnsi="仿宋_GB2312" w:eastAsia="仿宋_GB2312"/>
          <w:b w:val="0"/>
          <w:sz w:val="32"/>
        </w:rPr>
        <w:t>比上年增加2.75万元，增长3,055.56%，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2.84万元，占100.00%，比上年增加2.75万元，增长3,055.56%，主要原因是：本年因业务需求，用车次数增加，燃油费增加，导致公务用车运行维护费较上年增加。公务接待费支出0.00万元，占0.00%，比上年增加0.00万元，增长0.00%，主要原因是：2023年与2024年均未安排公务接待费支出。</w:t>
      </w:r>
    </w:p>
    <w:p w14:paraId="642E8D47">
      <w:pPr>
        <w:spacing w:line="580" w:lineRule="exact"/>
        <w:ind w:firstLine="640"/>
        <w:jc w:val="both"/>
      </w:pPr>
      <w:r>
        <w:rPr>
          <w:rFonts w:ascii="仿宋_GB2312" w:hAnsi="仿宋_GB2312" w:eastAsia="仿宋_GB2312"/>
          <w:b/>
          <w:sz w:val="32"/>
        </w:rPr>
        <w:t>具体情况如下：</w:t>
      </w:r>
    </w:p>
    <w:p w14:paraId="0C0B23A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4DCFF6E">
      <w:pPr>
        <w:spacing w:line="580" w:lineRule="exact"/>
        <w:ind w:firstLine="640"/>
        <w:jc w:val="both"/>
      </w:pPr>
      <w:r>
        <w:rPr>
          <w:rFonts w:ascii="仿宋_GB2312" w:hAnsi="仿宋_GB2312" w:eastAsia="仿宋_GB2312"/>
          <w:b w:val="0"/>
          <w:sz w:val="32"/>
        </w:rPr>
        <w:t>公务用车购置及运行维护费2.84万元，其中：公务用车购置费0.00万元，公务用车运行维护费2.84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14:paraId="1C2E375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568332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2.84万元，决算数2.84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2.84万元，决算数2.84万元，预决算差异率0.00%，主要原因是：严格按照预算执行，预决算无差异。公务接待费全年预算数0.00万元，决算数0.00万元，预决算差异率0.00%，主要原因是：本单位无公务接待费。</w:t>
      </w:r>
    </w:p>
    <w:p w14:paraId="4A6DE3E1">
      <w:pPr>
        <w:spacing w:line="640" w:lineRule="exact"/>
        <w:ind w:firstLine="640"/>
        <w:jc w:val="both"/>
        <w:outlineLvl w:val="2"/>
      </w:pPr>
      <w:r>
        <w:rPr>
          <w:rFonts w:ascii="黑体" w:hAnsi="黑体" w:eastAsia="黑体"/>
          <w:sz w:val="32"/>
        </w:rPr>
        <w:t>十、其他重要事项的情况说明</w:t>
      </w:r>
    </w:p>
    <w:p w14:paraId="5B3FE4D8">
      <w:pPr>
        <w:spacing w:line="640" w:lineRule="exact"/>
        <w:ind w:firstLine="640"/>
        <w:jc w:val="both"/>
        <w:outlineLvl w:val="3"/>
      </w:pPr>
      <w:r>
        <w:rPr>
          <w:rFonts w:ascii="楷体_GB2312" w:hAnsi="楷体_GB2312" w:eastAsia="楷体_GB2312"/>
          <w:b/>
          <w:sz w:val="32"/>
        </w:rPr>
        <w:t>（一）机关运行经费及公用经费支出情况</w:t>
      </w:r>
    </w:p>
    <w:p w14:paraId="625662FF">
      <w:pPr>
        <w:spacing w:line="580" w:lineRule="exact"/>
        <w:ind w:firstLine="640"/>
        <w:jc w:val="both"/>
      </w:pPr>
      <w:r>
        <w:rPr>
          <w:rFonts w:ascii="仿宋_GB2312" w:hAnsi="仿宋_GB2312" w:eastAsia="仿宋_GB2312"/>
          <w:b w:val="0"/>
          <w:sz w:val="32"/>
        </w:rPr>
        <w:t>2024年度叶城县农业农村机械化发展服务中心（事业单位）公用经费支出14.79万元，比上年增加9.11万元，增长160.39%，主要原因是：本年增加办公费、公务用车运行维护费等经费，导致机关运行经费增加。</w:t>
      </w:r>
    </w:p>
    <w:p w14:paraId="3791EE86">
      <w:pPr>
        <w:spacing w:line="640" w:lineRule="exact"/>
        <w:ind w:firstLine="640"/>
        <w:jc w:val="both"/>
        <w:outlineLvl w:val="3"/>
      </w:pPr>
      <w:r>
        <w:rPr>
          <w:rFonts w:ascii="楷体_GB2312" w:hAnsi="楷体_GB2312" w:eastAsia="楷体_GB2312"/>
          <w:b/>
          <w:sz w:val="32"/>
        </w:rPr>
        <w:t>（二）政府采购情况</w:t>
      </w:r>
    </w:p>
    <w:p w14:paraId="03A91CE0">
      <w:pPr>
        <w:spacing w:line="580" w:lineRule="exact"/>
        <w:ind w:firstLine="640"/>
        <w:jc w:val="both"/>
      </w:pPr>
      <w:r>
        <w:rPr>
          <w:rFonts w:ascii="仿宋_GB2312" w:hAnsi="仿宋_GB2312" w:eastAsia="仿宋_GB2312"/>
          <w:b w:val="0"/>
          <w:sz w:val="32"/>
        </w:rPr>
        <w:t>2024年度政府采购支出总额14.01万元，其中：政府采购货物支出11.05万元、政府采购工程支出0.00万元、政府采购服务支出2.96万元。</w:t>
      </w:r>
    </w:p>
    <w:p w14:paraId="3E18444C">
      <w:pPr>
        <w:spacing w:line="580" w:lineRule="exact"/>
        <w:ind w:firstLine="640"/>
        <w:jc w:val="both"/>
      </w:pPr>
      <w:r>
        <w:rPr>
          <w:rFonts w:ascii="仿宋_GB2312" w:hAnsi="仿宋_GB2312" w:eastAsia="仿宋_GB2312"/>
          <w:b w:val="0"/>
          <w:sz w:val="32"/>
        </w:rPr>
        <w:t>授予中小企业合同金额14.01万元，占政府采购支出总额的100.00%，其中：授予小微企业合同金额11.91万元，占政府采购支出总额的85.01%。</w:t>
      </w:r>
    </w:p>
    <w:p w14:paraId="7D3BE11D">
      <w:pPr>
        <w:spacing w:line="640" w:lineRule="exact"/>
        <w:ind w:firstLine="640"/>
        <w:jc w:val="both"/>
        <w:outlineLvl w:val="3"/>
      </w:pPr>
      <w:r>
        <w:rPr>
          <w:rFonts w:ascii="楷体_GB2312" w:hAnsi="楷体_GB2312" w:eastAsia="楷体_GB2312"/>
          <w:b/>
          <w:sz w:val="32"/>
        </w:rPr>
        <w:t>（三）国有资产占用情况说明</w:t>
      </w:r>
    </w:p>
    <w:p w14:paraId="30A992D8">
      <w:pPr>
        <w:spacing w:line="580" w:lineRule="exact"/>
        <w:ind w:firstLine="640"/>
        <w:jc w:val="both"/>
      </w:pPr>
      <w:r>
        <w:rPr>
          <w:rFonts w:ascii="仿宋_GB2312" w:hAnsi="仿宋_GB2312" w:eastAsia="仿宋_GB2312"/>
          <w:b w:val="0"/>
          <w:sz w:val="32"/>
        </w:rPr>
        <w:t>截至2024年12月31日，房屋1,709.03平方米，价值95.47万元。车辆1辆，价值19.50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2E860A22">
      <w:pPr>
        <w:spacing w:line="640" w:lineRule="exact"/>
        <w:ind w:firstLine="640"/>
        <w:jc w:val="both"/>
        <w:outlineLvl w:val="2"/>
      </w:pPr>
      <w:r>
        <w:rPr>
          <w:rFonts w:ascii="黑体" w:hAnsi="黑体" w:eastAsia="黑体"/>
          <w:sz w:val="32"/>
        </w:rPr>
        <w:t>十一、预算绩效的情况说明</w:t>
      </w:r>
    </w:p>
    <w:p w14:paraId="58CF4AA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1,884.09万元，实际执行总额1,884.09万元；预算绩效评价项目2个，全年预算数1,139.00万元，全年执行数1,139.00万元。预算绩效管理取得的成效：一是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二是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w:t>
      </w:r>
      <w:r>
        <w:rPr>
          <w:rFonts w:hint="eastAsia" w:ascii="仿宋_GB2312" w:hAnsi="仿宋_GB2312" w:eastAsia="仿宋_GB2312"/>
          <w:b w:val="0"/>
          <w:sz w:val="32"/>
          <w:lang w:eastAsia="zh-CN"/>
        </w:rPr>
        <w:t>有效</w:t>
      </w:r>
      <w:r>
        <w:rPr>
          <w:rFonts w:ascii="仿宋_GB2312" w:hAnsi="仿宋_GB2312" w:eastAsia="仿宋_GB2312"/>
          <w:b w:val="0"/>
          <w:sz w:val="32"/>
        </w:rPr>
        <w:t>降低资金偏离政策目标的风险，提高了资金使用效益。发现的问题及原因：一是预算管理体制不够完善，管理标准不够明确；二是项目支出绩效评价存在局限，客观性有待加强；三是对全面实施绩效管理认识不够，绩效水平不高，业务人员业务能力和素质还有待进一步提升。下一步改进措施：一是科学分析，严格按照预算绩效管理原则处理，确保指标值准确，与各行业部门对接，加强协调联动；二</w:t>
      </w:r>
      <w:r>
        <w:rPr>
          <w:rFonts w:hint="eastAsia" w:ascii="仿宋_GB2312" w:hAnsi="仿宋_GB2312" w:eastAsia="仿宋_GB2312"/>
          <w:b w:val="0"/>
          <w:sz w:val="32"/>
          <w:lang w:eastAsia="zh-CN"/>
        </w:rPr>
        <w:t>是促</w:t>
      </w:r>
      <w:r>
        <w:rPr>
          <w:rFonts w:ascii="仿宋_GB2312" w:hAnsi="仿宋_GB2312" w:eastAsia="仿宋_GB2312"/>
          <w:b w:val="0"/>
          <w:sz w:val="32"/>
        </w:rPr>
        <w:t>进扩大预算绩效管理范围，让</w:t>
      </w:r>
      <w:r>
        <w:rPr>
          <w:rFonts w:hint="eastAsia" w:ascii="仿宋_GB2312" w:hAnsi="仿宋_GB2312" w:eastAsia="仿宋_GB2312"/>
          <w:b w:val="0"/>
          <w:sz w:val="32"/>
          <w:lang w:eastAsia="zh-CN"/>
        </w:rPr>
        <w:t>本单位</w:t>
      </w:r>
      <w:r>
        <w:rPr>
          <w:rFonts w:ascii="仿宋_GB2312" w:hAnsi="仿宋_GB2312" w:eastAsia="仿宋_GB2312"/>
          <w:b w:val="0"/>
          <w:sz w:val="32"/>
        </w:rPr>
        <w:t>主要领导和相关科室多熟悉预算绩效管理的内容和要求，不断提升预算单位的绩效意识；三是加强对预算绩效业务工作人员的培训，培养专业人才，从而为绩效评估提供更大的基础保障。具体附整体支出绩效自评表，项目支出绩效自评表和评价报告。</w:t>
      </w:r>
    </w:p>
    <w:p w14:paraId="1C51BAB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3E6FA88">
        <w:tblPrEx>
          <w:tblCellMar>
            <w:top w:w="0" w:type="dxa"/>
            <w:left w:w="108" w:type="dxa"/>
            <w:bottom w:w="0" w:type="dxa"/>
            <w:right w:w="108" w:type="dxa"/>
          </w:tblCellMar>
        </w:tblPrEx>
        <w:tc>
          <w:tcPr>
            <w:tcW w:w="8847" w:type="dxa"/>
            <w:gridSpan w:val="9"/>
            <w:vAlign w:val="center"/>
          </w:tcPr>
          <w:p w14:paraId="22645B2C">
            <w:pPr>
              <w:jc w:val="center"/>
            </w:pPr>
            <w:r>
              <w:rPr>
                <w:rFonts w:ascii="宋体" w:hAnsi="宋体" w:eastAsia="宋体"/>
                <w:sz w:val="24"/>
              </w:rPr>
              <w:t>单位整体支出绩效自评表</w:t>
            </w:r>
          </w:p>
        </w:tc>
      </w:tr>
      <w:tr w14:paraId="57606CB8">
        <w:tblPrEx>
          <w:tblCellMar>
            <w:top w:w="0" w:type="dxa"/>
            <w:left w:w="108" w:type="dxa"/>
            <w:bottom w:w="0" w:type="dxa"/>
            <w:right w:w="108" w:type="dxa"/>
          </w:tblCellMar>
        </w:tblPrEx>
        <w:tc>
          <w:tcPr>
            <w:tcW w:w="8847" w:type="dxa"/>
            <w:gridSpan w:val="9"/>
            <w:vAlign w:val="center"/>
          </w:tcPr>
          <w:p w14:paraId="56C1A230">
            <w:pPr>
              <w:jc w:val="center"/>
            </w:pPr>
            <w:r>
              <w:rPr>
                <w:rFonts w:ascii="宋体" w:hAnsi="宋体" w:eastAsia="宋体"/>
                <w:sz w:val="24"/>
              </w:rPr>
              <w:t>（2024年度）</w:t>
            </w:r>
          </w:p>
        </w:tc>
      </w:tr>
      <w:tr w14:paraId="415C5FE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B48B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F2A6D89">
            <w:pPr>
              <w:jc w:val="center"/>
            </w:pPr>
            <w:r>
              <w:rPr>
                <w:rFonts w:ascii="宋体" w:hAnsi="宋体" w:eastAsia="宋体"/>
                <w:sz w:val="16"/>
              </w:rPr>
              <w:t>叶城县农业农村机械化发展服务中心</w:t>
            </w:r>
          </w:p>
        </w:tc>
      </w:tr>
      <w:tr w14:paraId="3EE01C1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325370">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DFA73">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4214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3D19E">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26953">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7B1B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532FC">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4B5E1">
            <w:pPr>
              <w:jc w:val="center"/>
            </w:pPr>
            <w:r>
              <w:rPr>
                <w:rFonts w:ascii="宋体" w:hAnsi="宋体" w:eastAsia="宋体"/>
                <w:sz w:val="16"/>
              </w:rPr>
              <w:t>得分</w:t>
            </w:r>
          </w:p>
        </w:tc>
      </w:tr>
      <w:tr w14:paraId="46CE01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B8AC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3095D">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9FAD7">
            <w:pPr>
              <w:jc w:val="center"/>
            </w:pPr>
            <w:r>
              <w:rPr>
                <w:rFonts w:ascii="宋体" w:hAnsi="宋体" w:eastAsia="宋体"/>
                <w:sz w:val="16"/>
              </w:rPr>
              <w:t>1,284.24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29355">
            <w:pPr>
              <w:jc w:val="center"/>
            </w:pPr>
            <w:r>
              <w:rPr>
                <w:rFonts w:ascii="宋体" w:hAnsi="宋体" w:eastAsia="宋体"/>
                <w:sz w:val="16"/>
              </w:rPr>
              <w:t>1,884.09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07848">
            <w:pPr>
              <w:jc w:val="center"/>
            </w:pPr>
            <w:r>
              <w:rPr>
                <w:rFonts w:ascii="宋体" w:hAnsi="宋体" w:eastAsia="宋体"/>
                <w:sz w:val="16"/>
              </w:rPr>
              <w:t>1,884.09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CBF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CD5B7">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6F2EA">
            <w:pPr>
              <w:jc w:val="center"/>
            </w:pPr>
            <w:r>
              <w:rPr>
                <w:rFonts w:ascii="宋体" w:hAnsi="宋体" w:eastAsia="宋体"/>
                <w:sz w:val="16"/>
              </w:rPr>
              <w:t>10</w:t>
            </w:r>
          </w:p>
        </w:tc>
      </w:tr>
      <w:tr w14:paraId="49A711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0B4A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68102">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7FC5B">
            <w:pPr>
              <w:jc w:val="center"/>
            </w:pPr>
            <w:r>
              <w:rPr>
                <w:rFonts w:ascii="宋体" w:hAnsi="宋体" w:eastAsia="宋体"/>
                <w:sz w:val="16"/>
              </w:rPr>
              <w:t>785.01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1645D">
            <w:pPr>
              <w:jc w:val="center"/>
            </w:pPr>
            <w:r>
              <w:rPr>
                <w:rFonts w:ascii="宋体" w:hAnsi="宋体" w:eastAsia="宋体"/>
                <w:sz w:val="16"/>
              </w:rPr>
              <w:t>1,348.94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53FBE">
            <w:pPr>
              <w:jc w:val="center"/>
            </w:pPr>
            <w:r>
              <w:rPr>
                <w:rFonts w:ascii="宋体" w:hAnsi="宋体" w:eastAsia="宋体"/>
                <w:sz w:val="16"/>
              </w:rPr>
              <w:t>1,348.94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A6C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29CF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2CCCE">
            <w:pPr>
              <w:jc w:val="center"/>
            </w:pPr>
            <w:r>
              <w:rPr>
                <w:rFonts w:ascii="宋体" w:hAnsi="宋体" w:eastAsia="宋体"/>
                <w:sz w:val="16"/>
              </w:rPr>
              <w:t>—</w:t>
            </w:r>
          </w:p>
        </w:tc>
      </w:tr>
      <w:tr w14:paraId="6D0A3A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47EA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2A16C">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AD235">
            <w:pPr>
              <w:jc w:val="center"/>
            </w:pPr>
            <w:r>
              <w:rPr>
                <w:rFonts w:ascii="宋体" w:hAnsi="宋体" w:eastAsia="宋体"/>
                <w:sz w:val="16"/>
              </w:rPr>
              <w:t>499.23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E106B">
            <w:pPr>
              <w:jc w:val="center"/>
            </w:pPr>
            <w:r>
              <w:rPr>
                <w:rFonts w:ascii="宋体" w:hAnsi="宋体" w:eastAsia="宋体"/>
                <w:sz w:val="16"/>
              </w:rPr>
              <w:t>535.15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CB395">
            <w:pPr>
              <w:jc w:val="center"/>
            </w:pPr>
            <w:r>
              <w:rPr>
                <w:rFonts w:ascii="宋体" w:hAnsi="宋体" w:eastAsia="宋体"/>
                <w:sz w:val="16"/>
              </w:rPr>
              <w:t>535.15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BFE8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7CE9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C0F7E">
            <w:pPr>
              <w:jc w:val="center"/>
            </w:pPr>
            <w:r>
              <w:rPr>
                <w:rFonts w:ascii="宋体" w:hAnsi="宋体" w:eastAsia="宋体"/>
                <w:sz w:val="16"/>
              </w:rPr>
              <w:t>—</w:t>
            </w:r>
          </w:p>
        </w:tc>
      </w:tr>
      <w:tr w14:paraId="70F090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6650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116BF">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6A6A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9FF7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2EB4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C19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0D84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564DF">
            <w:pPr>
              <w:jc w:val="center"/>
            </w:pPr>
            <w:r>
              <w:rPr>
                <w:rFonts w:ascii="宋体" w:hAnsi="宋体" w:eastAsia="宋体"/>
                <w:sz w:val="16"/>
              </w:rPr>
              <w:t>—</w:t>
            </w:r>
          </w:p>
        </w:tc>
      </w:tr>
      <w:tr w14:paraId="6927AA5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BA1B8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1B49E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2C4F0D">
            <w:pPr>
              <w:jc w:val="center"/>
            </w:pPr>
            <w:r>
              <w:rPr>
                <w:rFonts w:ascii="宋体" w:hAnsi="宋体" w:eastAsia="宋体"/>
                <w:sz w:val="16"/>
              </w:rPr>
              <w:t>实际完成情况</w:t>
            </w:r>
          </w:p>
        </w:tc>
      </w:tr>
      <w:tr w14:paraId="35031C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04B29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FF05F4">
            <w:pPr>
              <w:jc w:val="both"/>
            </w:pPr>
            <w:r>
              <w:rPr>
                <w:rFonts w:ascii="宋体" w:hAnsi="宋体" w:eastAsia="宋体"/>
                <w:sz w:val="16"/>
              </w:rPr>
              <w:t>2024年农机中心将紧紧围绕地委、县委提出的工作重点和任务，协同推进农业机械化和经济社会高质量发展为主线，以改善农业全面机械化为核心，以解决突出问题为重点，以落实农机安全生产为抓手，全力抓好农业机械化工作,农业机械化发展水平显著提升，农机化技术推广体系进一步完善，推广服务能力明显增强，农机装备结构明显改善，为农业机械化又好又快发展提供有力的技术和装备保障，为全县农业生产全程机械化和经济社会高质量发展打下良好的基础。</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81C43F">
            <w:pPr>
              <w:jc w:val="both"/>
            </w:pPr>
            <w:r>
              <w:rPr>
                <w:rFonts w:hint="eastAsia" w:ascii="宋体" w:hAnsi="宋体"/>
                <w:sz w:val="16"/>
                <w:lang w:eastAsia="zh-CN"/>
              </w:rPr>
              <w:t>截至</w:t>
            </w:r>
            <w:r>
              <w:rPr>
                <w:rFonts w:ascii="宋体" w:hAnsi="宋体" w:eastAsia="宋体"/>
                <w:sz w:val="16"/>
              </w:rPr>
              <w:t>2024年12月31日，本单位一是认真做好2024年度农业机械检审验工作，检审验9729台，已完成9437台，检审验率97%。对农机操作手进行安全宣传教育，培训25场次、受教育7000余人；二是组织开展农机安全教育培训。在‘春耕’、‘三夏’“秋收”期间，坚持在各乡镇集中开展农机安全宣传教育为主题的</w:t>
            </w:r>
            <w:r>
              <w:rPr>
                <w:rFonts w:hint="eastAsia" w:ascii="宋体" w:hAnsi="宋体"/>
                <w:sz w:val="16"/>
                <w:lang w:eastAsia="zh-CN"/>
              </w:rPr>
              <w:t>主题</w:t>
            </w:r>
            <w:r>
              <w:rPr>
                <w:rFonts w:ascii="宋体" w:hAnsi="宋体" w:eastAsia="宋体"/>
                <w:sz w:val="16"/>
              </w:rPr>
              <w:t>教育60场，参加3.5万余人次。三是抓好大型工程机械摸排检审验。大型工程机械应检合计1526台，目前已检311台、注销81台，检审验率26%。已完成农机化调研次数2次，农机调研次数2次，全县新增拖拉机数量411台，完成机耕率100%。农机化技术推广体系进一步完善，推广服务能力明显增强，农机装备结构明显改善，为农业机械化又好又快发展提供有力的技术和装备保障，为全县农业生产全程机械化和经济社会高质量发展打下了良好的基础。</w:t>
            </w:r>
          </w:p>
        </w:tc>
      </w:tr>
      <w:tr w14:paraId="687A469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AFB4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CB4F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1861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03F0F">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A69E0">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8E99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2AE3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E7861">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C2936">
            <w:pPr>
              <w:jc w:val="center"/>
            </w:pPr>
            <w:r>
              <w:rPr>
                <w:rFonts w:ascii="宋体" w:hAnsi="宋体" w:eastAsia="宋体"/>
                <w:sz w:val="16"/>
              </w:rPr>
              <w:t>得分</w:t>
            </w:r>
          </w:p>
        </w:tc>
      </w:tr>
      <w:tr w14:paraId="7D4FA74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321A8E">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1629A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3684C">
            <w:pPr>
              <w:jc w:val="center"/>
            </w:pPr>
            <w:r>
              <w:rPr>
                <w:rFonts w:ascii="宋体" w:hAnsi="宋体" w:eastAsia="宋体"/>
                <w:sz w:val="16"/>
              </w:rPr>
              <w:t>农机化调研次数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C78CC">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E78F6">
            <w:pPr>
              <w:jc w:val="center"/>
            </w:pPr>
            <w:r>
              <w:rPr>
                <w:rFonts w:ascii="宋体" w:hAnsi="宋体" w:eastAsia="宋体"/>
                <w:sz w:val="16"/>
              </w:rPr>
              <w:t>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AD2E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13F08">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5AB2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45924">
            <w:pPr>
              <w:jc w:val="center"/>
            </w:pPr>
            <w:r>
              <w:rPr>
                <w:rFonts w:ascii="宋体" w:hAnsi="宋体" w:eastAsia="宋体"/>
                <w:sz w:val="16"/>
              </w:rPr>
              <w:t>20</w:t>
            </w:r>
          </w:p>
        </w:tc>
      </w:tr>
      <w:tr w14:paraId="3DFF3F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013A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8565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99710">
            <w:pPr>
              <w:jc w:val="center"/>
            </w:pPr>
            <w:r>
              <w:rPr>
                <w:rFonts w:ascii="宋体" w:hAnsi="宋体" w:eastAsia="宋体"/>
                <w:sz w:val="16"/>
              </w:rPr>
              <w:t>农机调研次数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2A383">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96992">
            <w:pPr>
              <w:jc w:val="center"/>
            </w:pPr>
            <w:r>
              <w:rPr>
                <w:rFonts w:ascii="宋体" w:hAnsi="宋体" w:eastAsia="宋体"/>
                <w:sz w:val="16"/>
              </w:rPr>
              <w:t>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7C9F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B8A53">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03CB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F0733">
            <w:pPr>
              <w:jc w:val="center"/>
            </w:pPr>
            <w:r>
              <w:rPr>
                <w:rFonts w:ascii="宋体" w:hAnsi="宋体" w:eastAsia="宋体"/>
                <w:sz w:val="16"/>
              </w:rPr>
              <w:t>20</w:t>
            </w:r>
          </w:p>
        </w:tc>
      </w:tr>
      <w:tr w14:paraId="7BDAF4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CFAE3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5E98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443B1">
            <w:pPr>
              <w:jc w:val="center"/>
            </w:pPr>
            <w:r>
              <w:rPr>
                <w:rFonts w:ascii="宋体" w:hAnsi="宋体" w:eastAsia="宋体"/>
                <w:sz w:val="16"/>
              </w:rPr>
              <w:t>农机管理县数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B4B65">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AB136">
            <w:pPr>
              <w:jc w:val="center"/>
            </w:pPr>
            <w:r>
              <w:rPr>
                <w:rFonts w:ascii="宋体" w:hAnsi="宋体" w:eastAsia="宋体"/>
                <w:sz w:val="16"/>
              </w:rPr>
              <w:t>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DBEC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3A690">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706C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DE9DC">
            <w:pPr>
              <w:jc w:val="center"/>
            </w:pPr>
            <w:r>
              <w:rPr>
                <w:rFonts w:ascii="宋体" w:hAnsi="宋体" w:eastAsia="宋体"/>
                <w:sz w:val="16"/>
              </w:rPr>
              <w:t>20</w:t>
            </w:r>
          </w:p>
        </w:tc>
      </w:tr>
      <w:tr w14:paraId="6A7CFD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05BF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D733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249C2">
            <w:pPr>
              <w:jc w:val="center"/>
            </w:pPr>
            <w:r>
              <w:rPr>
                <w:rFonts w:ascii="宋体" w:hAnsi="宋体" w:eastAsia="宋体"/>
                <w:sz w:val="16"/>
              </w:rPr>
              <w:t>全县新增拖拉机数量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90AB7">
            <w:pPr>
              <w:jc w:val="center"/>
            </w:pPr>
            <w:r>
              <w:rPr>
                <w:rFonts w:ascii="宋体" w:hAnsi="宋体" w:eastAsia="宋体"/>
                <w:sz w:val="16"/>
              </w:rPr>
              <w:t>&gt;=360台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93CB2">
            <w:pPr>
              <w:jc w:val="center"/>
            </w:pPr>
            <w:r>
              <w:rPr>
                <w:rFonts w:ascii="宋体" w:hAnsi="宋体" w:eastAsia="宋体"/>
                <w:sz w:val="16"/>
              </w:rPr>
              <w:t>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53EE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25823">
            <w:pPr>
              <w:jc w:val="center"/>
            </w:pPr>
            <w:r>
              <w:rPr>
                <w:rFonts w:ascii="宋体" w:hAnsi="宋体" w:eastAsia="宋体"/>
                <w:sz w:val="16"/>
              </w:rPr>
              <w:t>411台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9F49E">
            <w:pPr>
              <w:jc w:val="center"/>
            </w:pPr>
            <w:r>
              <w:rPr>
                <w:rFonts w:ascii="宋体" w:hAnsi="宋体" w:eastAsia="宋体"/>
                <w:sz w:val="16"/>
              </w:rPr>
              <w:t>114.17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1EC49">
            <w:pPr>
              <w:jc w:val="center"/>
            </w:pPr>
            <w:r>
              <w:rPr>
                <w:rFonts w:ascii="宋体" w:hAnsi="宋体" w:eastAsia="宋体"/>
                <w:sz w:val="16"/>
              </w:rPr>
              <w:t>20</w:t>
            </w:r>
          </w:p>
        </w:tc>
      </w:tr>
      <w:tr w14:paraId="2ABBE7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FDF4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EC51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F42DC">
            <w:pPr>
              <w:jc w:val="center"/>
            </w:pPr>
            <w:r>
              <w:rPr>
                <w:rFonts w:ascii="宋体" w:hAnsi="宋体" w:eastAsia="宋体"/>
                <w:sz w:val="16"/>
              </w:rPr>
              <w:t>完成机耕率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B8CC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0A04F">
            <w:pPr>
              <w:jc w:val="center"/>
            </w:pPr>
            <w:r>
              <w:rPr>
                <w:rFonts w:ascii="宋体" w:hAnsi="宋体" w:eastAsia="宋体"/>
                <w:sz w:val="16"/>
              </w:rPr>
              <w:t>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83D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AE2F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42A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604FE">
            <w:pPr>
              <w:jc w:val="center"/>
            </w:pPr>
            <w:r>
              <w:rPr>
                <w:rFonts w:ascii="宋体" w:hAnsi="宋体" w:eastAsia="宋体"/>
                <w:sz w:val="16"/>
              </w:rPr>
              <w:t>10</w:t>
            </w:r>
          </w:p>
        </w:tc>
      </w:tr>
    </w:tbl>
    <w:p w14:paraId="7CC4C6B4">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9"/>
        <w:gridCol w:w="628"/>
        <w:gridCol w:w="625"/>
        <w:gridCol w:w="625"/>
        <w:gridCol w:w="696"/>
        <w:gridCol w:w="632"/>
        <w:gridCol w:w="617"/>
        <w:gridCol w:w="632"/>
      </w:tblGrid>
      <w:tr w14:paraId="6ADE3308">
        <w:tblPrEx>
          <w:tblCellMar>
            <w:top w:w="0" w:type="dxa"/>
            <w:left w:w="108" w:type="dxa"/>
            <w:bottom w:w="0" w:type="dxa"/>
            <w:right w:w="108" w:type="dxa"/>
          </w:tblCellMar>
        </w:tblPrEx>
        <w:tc>
          <w:tcPr>
            <w:tcW w:w="8848" w:type="dxa"/>
            <w:gridSpan w:val="14"/>
            <w:vAlign w:val="center"/>
          </w:tcPr>
          <w:p w14:paraId="59018B46">
            <w:pPr>
              <w:jc w:val="center"/>
            </w:pPr>
            <w:r>
              <w:rPr>
                <w:rFonts w:ascii="宋体" w:hAnsi="宋体" w:eastAsia="宋体"/>
                <w:sz w:val="24"/>
              </w:rPr>
              <w:t>项目支出绩效自评表</w:t>
            </w:r>
          </w:p>
        </w:tc>
      </w:tr>
      <w:tr w14:paraId="47CACC05">
        <w:tblPrEx>
          <w:tblCellMar>
            <w:top w:w="0" w:type="dxa"/>
            <w:left w:w="108" w:type="dxa"/>
            <w:bottom w:w="0" w:type="dxa"/>
            <w:right w:w="108" w:type="dxa"/>
          </w:tblCellMar>
        </w:tblPrEx>
        <w:tc>
          <w:tcPr>
            <w:tcW w:w="8848" w:type="dxa"/>
            <w:gridSpan w:val="14"/>
            <w:vAlign w:val="center"/>
          </w:tcPr>
          <w:p w14:paraId="02DAADBC">
            <w:pPr>
              <w:jc w:val="center"/>
            </w:pPr>
            <w:r>
              <w:rPr>
                <w:rFonts w:ascii="宋体" w:hAnsi="宋体" w:eastAsia="宋体"/>
                <w:sz w:val="24"/>
              </w:rPr>
              <w:t>(2024年度)</w:t>
            </w:r>
          </w:p>
        </w:tc>
      </w:tr>
      <w:tr w14:paraId="75500A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178D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1D8989">
            <w:pPr>
              <w:jc w:val="center"/>
            </w:pPr>
            <w:r>
              <w:rPr>
                <w:rFonts w:ascii="宋体" w:hAnsi="宋体" w:eastAsia="宋体"/>
                <w:sz w:val="16"/>
              </w:rPr>
              <w:t>2024年中央农业产业发展资金-农机购置与应用补贴项目</w:t>
            </w:r>
          </w:p>
        </w:tc>
      </w:tr>
      <w:tr w14:paraId="58A52D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323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F55452">
            <w:pPr>
              <w:jc w:val="center"/>
            </w:pPr>
            <w:r>
              <w:rPr>
                <w:rFonts w:ascii="宋体" w:hAnsi="宋体" w:eastAsia="宋体"/>
                <w:sz w:val="16"/>
              </w:rPr>
              <w:t>叶城县农业农村局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3B5F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5CE516">
            <w:pPr>
              <w:jc w:val="center"/>
            </w:pPr>
            <w:r>
              <w:rPr>
                <w:rFonts w:ascii="宋体" w:hAnsi="宋体" w:eastAsia="宋体"/>
                <w:sz w:val="16"/>
              </w:rPr>
              <w:t>叶城县农业农村机械化发展服务中心</w:t>
            </w:r>
          </w:p>
        </w:tc>
      </w:tr>
      <w:tr w14:paraId="3A5C32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AD75C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DDBB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94A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F6AF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6E0F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4E63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A7EF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9DD84">
            <w:pPr>
              <w:jc w:val="center"/>
            </w:pPr>
            <w:r>
              <w:rPr>
                <w:rFonts w:ascii="宋体" w:hAnsi="宋体" w:eastAsia="宋体"/>
                <w:sz w:val="16"/>
              </w:rPr>
              <w:t>得分</w:t>
            </w:r>
          </w:p>
        </w:tc>
      </w:tr>
      <w:tr w14:paraId="66997B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5AE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E239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F0B83">
            <w:pPr>
              <w:jc w:val="center"/>
            </w:pPr>
            <w:r>
              <w:rPr>
                <w:rFonts w:ascii="宋体" w:hAnsi="宋体" w:eastAsia="宋体"/>
                <w:sz w:val="16"/>
              </w:rPr>
              <w:t>765.00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2A191">
            <w:pPr>
              <w:jc w:val="center"/>
            </w:pPr>
            <w:r>
              <w:rPr>
                <w:rFonts w:ascii="宋体" w:hAnsi="宋体" w:eastAsia="宋体"/>
                <w:sz w:val="16"/>
              </w:rPr>
              <w:t>1,119.00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CE5F7">
            <w:pPr>
              <w:jc w:val="center"/>
            </w:pPr>
            <w:r>
              <w:rPr>
                <w:rFonts w:ascii="宋体" w:hAnsi="宋体" w:eastAsia="宋体"/>
                <w:sz w:val="16"/>
              </w:rPr>
              <w:t>1,119.00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A52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53DC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4E09E">
            <w:pPr>
              <w:jc w:val="center"/>
            </w:pPr>
            <w:r>
              <w:rPr>
                <w:rFonts w:ascii="宋体" w:hAnsi="宋体" w:eastAsia="宋体"/>
                <w:sz w:val="16"/>
              </w:rPr>
              <w:t>10.00分</w:t>
            </w:r>
          </w:p>
        </w:tc>
      </w:tr>
      <w:tr w14:paraId="729D89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E94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54AD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377CE">
            <w:pPr>
              <w:jc w:val="center"/>
            </w:pPr>
            <w:r>
              <w:rPr>
                <w:rFonts w:ascii="宋体" w:hAnsi="宋体" w:eastAsia="宋体"/>
                <w:sz w:val="16"/>
              </w:rPr>
              <w:t>765.00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87E94">
            <w:pPr>
              <w:jc w:val="center"/>
            </w:pPr>
            <w:r>
              <w:rPr>
                <w:rFonts w:ascii="宋体" w:hAnsi="宋体" w:eastAsia="宋体"/>
                <w:sz w:val="16"/>
              </w:rPr>
              <w:t>1,119.00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BE517">
            <w:pPr>
              <w:jc w:val="center"/>
            </w:pPr>
            <w:r>
              <w:rPr>
                <w:rFonts w:ascii="宋体" w:hAnsi="宋体" w:eastAsia="宋体"/>
                <w:sz w:val="16"/>
              </w:rPr>
              <w:t>1,119.00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478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9F5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83167">
            <w:pPr>
              <w:jc w:val="center"/>
            </w:pPr>
            <w:r>
              <w:rPr>
                <w:rFonts w:ascii="宋体" w:hAnsi="宋体" w:eastAsia="宋体"/>
                <w:sz w:val="16"/>
              </w:rPr>
              <w:t>—</w:t>
            </w:r>
          </w:p>
        </w:tc>
      </w:tr>
      <w:tr w14:paraId="14E8FA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BC6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97EE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9A7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CA0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A48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EEA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78D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2F556">
            <w:pPr>
              <w:jc w:val="center"/>
            </w:pPr>
            <w:r>
              <w:rPr>
                <w:rFonts w:ascii="宋体" w:hAnsi="宋体" w:eastAsia="宋体"/>
                <w:sz w:val="16"/>
              </w:rPr>
              <w:t>—</w:t>
            </w:r>
          </w:p>
        </w:tc>
      </w:tr>
      <w:tr w14:paraId="561BC2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95DAD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137D4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807920">
            <w:pPr>
              <w:jc w:val="center"/>
            </w:pPr>
            <w:r>
              <w:rPr>
                <w:rFonts w:ascii="宋体" w:hAnsi="宋体" w:eastAsia="宋体"/>
                <w:sz w:val="16"/>
              </w:rPr>
              <w:t>实际完成情况</w:t>
            </w:r>
          </w:p>
        </w:tc>
      </w:tr>
      <w:tr w14:paraId="0A7C38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45E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B5DAE0">
            <w:pPr>
              <w:jc w:val="both"/>
            </w:pPr>
            <w:r>
              <w:rPr>
                <w:rFonts w:ascii="宋体" w:hAnsi="宋体" w:eastAsia="宋体"/>
                <w:sz w:val="16"/>
              </w:rPr>
              <w:t>项目总投资1119万元，用于2024年中央农业生产发展资金农机购置补贴项目，项目的实施可以促进我县农机化全面快速发展，支持引导农民购置使用先进适用的农业机械，引领推动农业机械化向全程全面高质高效发展，加快推动农机装备产业转型升级，为实施乡村振兴战略、推进农业农村现代化提供坚实支撑，补贴额依据同档产品上年市场销售均价测算，原则上测算比例不超过30%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3BABD2">
            <w:pPr>
              <w:jc w:val="both"/>
            </w:pPr>
            <w:r>
              <w:rPr>
                <w:rFonts w:hint="eastAsia" w:ascii="宋体" w:hAnsi="宋体"/>
                <w:sz w:val="16"/>
                <w:lang w:eastAsia="zh-CN"/>
              </w:rPr>
              <w:t>截至</w:t>
            </w:r>
            <w:r>
              <w:rPr>
                <w:rFonts w:ascii="宋体" w:hAnsi="宋体" w:eastAsia="宋体"/>
                <w:sz w:val="16"/>
              </w:rPr>
              <w:t>2024年12月31日，该项目预算资金1119万元，到位资金1119万元，已支付1119万元，发放报废补贴农机700台231.4万元，发放购置补贴农机具908台887.6万元，购置补贴发放准确率100%，项目的实施可以促进我县农机化全面快速发展，支持引导农民购置使用先进适用的农业机械，引领推动农业机械化向全程全面高质高效发展，加快推动农机装备产业转型升级，为实施乡村振兴战略、推进农业农村现代化提供坚实支撑，补贴额依据同档产品上年市场销售均价测算，原则上测算比例不超过30%。</w:t>
            </w:r>
          </w:p>
        </w:tc>
      </w:tr>
      <w:tr w14:paraId="291F69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7272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69F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CB58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2BED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22AB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DEBE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46DE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3B26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C259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37F7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C1C3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C209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3D7B8">
            <w:pPr>
              <w:jc w:val="center"/>
            </w:pPr>
            <w:r>
              <w:rPr>
                <w:rFonts w:ascii="宋体" w:hAnsi="宋体" w:eastAsia="宋体"/>
                <w:sz w:val="16"/>
              </w:rPr>
              <w:t>偏差原因分析及改进措施</w:t>
            </w:r>
          </w:p>
        </w:tc>
      </w:tr>
      <w:tr w14:paraId="29845D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ED8CB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F7D7A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3504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64E5C">
            <w:pPr>
              <w:jc w:val="center"/>
            </w:pPr>
            <w:r>
              <w:rPr>
                <w:rFonts w:ascii="宋体" w:hAnsi="宋体" w:eastAsia="宋体"/>
                <w:sz w:val="16"/>
              </w:rPr>
              <w:t>受报废补贴农机数量（台）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D65F4">
            <w:pPr>
              <w:jc w:val="center"/>
            </w:pPr>
            <w:r>
              <w:rPr>
                <w:rFonts w:ascii="宋体" w:hAnsi="宋体" w:eastAsia="宋体"/>
                <w:sz w:val="16"/>
              </w:rPr>
              <w:t>&gt;=617台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6DC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9F7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3AB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62A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87A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0FC73">
            <w:pPr>
              <w:jc w:val="center"/>
            </w:pPr>
            <w:r>
              <w:rPr>
                <w:rFonts w:ascii="宋体" w:hAnsi="宋体" w:eastAsia="宋体"/>
                <w:sz w:val="16"/>
              </w:rPr>
              <w:t>=700台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BC97D">
            <w:pPr>
              <w:jc w:val="center"/>
            </w:pPr>
            <w:r>
              <w:rPr>
                <w:rFonts w:ascii="宋体" w:hAnsi="宋体" w:eastAsia="宋体"/>
                <w:sz w:val="16"/>
              </w:rPr>
              <w:t>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815C3">
            <w:pPr>
              <w:jc w:val="center"/>
            </w:pPr>
            <w:r>
              <w:rPr>
                <w:rFonts w:ascii="宋体" w:hAnsi="宋体" w:eastAsia="宋体"/>
                <w:sz w:val="16"/>
              </w:rPr>
              <w:t>偏差原因：因年初预算不精准，故存在偏差；改进措施：做好年初预算分析</w:t>
            </w:r>
          </w:p>
        </w:tc>
      </w:tr>
      <w:tr w14:paraId="2C7485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17F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CCD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3D7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1354F">
            <w:pPr>
              <w:jc w:val="center"/>
            </w:pPr>
            <w:r>
              <w:rPr>
                <w:rFonts w:ascii="宋体" w:hAnsi="宋体" w:eastAsia="宋体"/>
                <w:sz w:val="16"/>
              </w:rPr>
              <w:t>受购置补贴农机具数量（台）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983BF">
            <w:pPr>
              <w:jc w:val="center"/>
            </w:pPr>
            <w:r>
              <w:rPr>
                <w:rFonts w:ascii="宋体" w:hAnsi="宋体" w:eastAsia="宋体"/>
                <w:sz w:val="16"/>
              </w:rPr>
              <w:t>&gt;=806台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3DE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CDA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C02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87B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062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DDD3E">
            <w:pPr>
              <w:jc w:val="center"/>
            </w:pPr>
            <w:r>
              <w:rPr>
                <w:rFonts w:ascii="宋体" w:hAnsi="宋体" w:eastAsia="宋体"/>
                <w:sz w:val="16"/>
              </w:rPr>
              <w:t>=908台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B583">
            <w:pPr>
              <w:jc w:val="center"/>
            </w:pPr>
            <w:r>
              <w:rPr>
                <w:rFonts w:ascii="宋体" w:hAnsi="宋体" w:eastAsia="宋体"/>
                <w:sz w:val="16"/>
              </w:rPr>
              <w:t>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81651">
            <w:pPr>
              <w:jc w:val="center"/>
            </w:pPr>
            <w:r>
              <w:rPr>
                <w:rFonts w:ascii="宋体" w:hAnsi="宋体" w:eastAsia="宋体"/>
                <w:sz w:val="16"/>
              </w:rPr>
              <w:t>偏差原因：因年初预算不精准，故存在偏差；改进措施：做好年初预算分析</w:t>
            </w:r>
          </w:p>
        </w:tc>
      </w:tr>
      <w:tr w14:paraId="2E95BF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389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642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8B38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AEBF4">
            <w:pPr>
              <w:jc w:val="center"/>
            </w:pPr>
            <w:r>
              <w:rPr>
                <w:rFonts w:ascii="宋体" w:hAnsi="宋体" w:eastAsia="宋体"/>
                <w:sz w:val="16"/>
              </w:rPr>
              <w:t>购置补贴发放准确率(%)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5B3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E96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30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689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CDC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36B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CB9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080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F332C">
            <w:pPr>
              <w:jc w:val="center"/>
            </w:pPr>
          </w:p>
        </w:tc>
      </w:tr>
      <w:tr w14:paraId="540497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2FB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4A4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ACE5C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C4607">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706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1D3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7B3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7C2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F4B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D9E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689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5C49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1058F">
            <w:pPr>
              <w:jc w:val="center"/>
            </w:pPr>
          </w:p>
        </w:tc>
      </w:tr>
      <w:tr w14:paraId="240280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900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C0F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FAF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8A8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0A2C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0E9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858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BFF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0B1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648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A24A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215F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19FDF">
            <w:pPr>
              <w:jc w:val="center"/>
            </w:pPr>
          </w:p>
        </w:tc>
      </w:tr>
      <w:tr w14:paraId="5783C4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854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D0B4C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437B7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12AA0">
            <w:pPr>
              <w:jc w:val="center"/>
            </w:pPr>
            <w:r>
              <w:rPr>
                <w:rFonts w:ascii="宋体" w:hAnsi="宋体" w:eastAsia="宋体"/>
                <w:sz w:val="16"/>
              </w:rPr>
              <w:t>农机报废补贴成本（万元）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60889">
            <w:pPr>
              <w:jc w:val="center"/>
            </w:pPr>
            <w:r>
              <w:rPr>
                <w:rFonts w:ascii="宋体" w:hAnsi="宋体" w:eastAsia="宋体"/>
                <w:sz w:val="16"/>
              </w:rPr>
              <w:t>&lt;=231.4万元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EC5C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062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08A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E73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C18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E958B">
            <w:pPr>
              <w:jc w:val="center"/>
            </w:pPr>
            <w:r>
              <w:rPr>
                <w:rFonts w:ascii="宋体" w:hAnsi="宋体" w:eastAsia="宋体"/>
                <w:sz w:val="16"/>
              </w:rPr>
              <w:t>=231.4万元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A9C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2F8AE">
            <w:pPr>
              <w:jc w:val="center"/>
            </w:pPr>
          </w:p>
        </w:tc>
      </w:tr>
      <w:tr w14:paraId="538650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543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1E6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4A6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C972F">
            <w:pPr>
              <w:jc w:val="center"/>
            </w:pPr>
            <w:r>
              <w:rPr>
                <w:rFonts w:ascii="宋体" w:hAnsi="宋体" w:eastAsia="宋体"/>
                <w:sz w:val="16"/>
              </w:rPr>
              <w:t>农机具购置补贴成本（万元）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5D063">
            <w:pPr>
              <w:jc w:val="center"/>
            </w:pPr>
            <w:r>
              <w:rPr>
                <w:rFonts w:ascii="宋体" w:hAnsi="宋体" w:eastAsia="宋体"/>
                <w:sz w:val="16"/>
              </w:rPr>
              <w:t>&lt;=887.6万元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21B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A03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708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505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125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5BEC2">
            <w:pPr>
              <w:jc w:val="center"/>
            </w:pPr>
            <w:r>
              <w:rPr>
                <w:rFonts w:ascii="宋体" w:hAnsi="宋体" w:eastAsia="宋体"/>
                <w:sz w:val="16"/>
              </w:rPr>
              <w:t>=887.6万元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FA5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8061E">
            <w:pPr>
              <w:jc w:val="center"/>
            </w:pPr>
          </w:p>
        </w:tc>
      </w:tr>
      <w:tr w14:paraId="3D5B16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B28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C030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645B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CEEC5">
            <w:pPr>
              <w:jc w:val="center"/>
            </w:pPr>
            <w:r>
              <w:rPr>
                <w:rFonts w:ascii="宋体" w:hAnsi="宋体" w:eastAsia="宋体"/>
                <w:sz w:val="16"/>
              </w:rPr>
              <w:t>有效提高农户生产效率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44A2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924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D07A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02A3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5C80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7BF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6893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0F71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3A71F">
            <w:pPr>
              <w:jc w:val="center"/>
            </w:pPr>
          </w:p>
        </w:tc>
      </w:tr>
      <w:tr w14:paraId="19FC1B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996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348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347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C48CB">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22FE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694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3483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CA3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873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AA6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369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292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B6DC4">
            <w:pPr>
              <w:jc w:val="center"/>
            </w:pPr>
            <w:r>
              <w:rPr>
                <w:rFonts w:ascii="宋体" w:hAnsi="宋体" w:eastAsia="宋体"/>
                <w:sz w:val="16"/>
              </w:rPr>
              <w:t>偏差原因：该项目受益人群对项目的实施均满意；改进措施：做好年初预算分析</w:t>
            </w:r>
          </w:p>
        </w:tc>
      </w:tr>
      <w:tr w14:paraId="6790F02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B24F7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F78B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CB350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87034">
            <w:pPr>
              <w:jc w:val="center"/>
            </w:pPr>
            <w:r>
              <w:rPr>
                <w:rFonts w:ascii="宋体" w:hAnsi="宋体" w:eastAsia="宋体"/>
                <w:sz w:val="16"/>
              </w:rPr>
              <w:t>97.5分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637C989"/>
        </w:tc>
      </w:tr>
    </w:tbl>
    <w:p w14:paraId="48C8D74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6B69A8F8">
        <w:tblPrEx>
          <w:tblCellMar>
            <w:top w:w="0" w:type="dxa"/>
            <w:left w:w="108" w:type="dxa"/>
            <w:bottom w:w="0" w:type="dxa"/>
            <w:right w:w="108" w:type="dxa"/>
          </w:tblCellMar>
        </w:tblPrEx>
        <w:tc>
          <w:tcPr>
            <w:tcW w:w="8848" w:type="dxa"/>
            <w:gridSpan w:val="14"/>
            <w:vAlign w:val="center"/>
          </w:tcPr>
          <w:p w14:paraId="62255C62">
            <w:pPr>
              <w:jc w:val="center"/>
            </w:pPr>
            <w:r>
              <w:rPr>
                <w:rFonts w:ascii="宋体" w:hAnsi="宋体" w:eastAsia="宋体"/>
                <w:sz w:val="24"/>
              </w:rPr>
              <w:t>项目支出绩效自评表</w:t>
            </w:r>
          </w:p>
        </w:tc>
      </w:tr>
      <w:tr w14:paraId="5A32D203">
        <w:tblPrEx>
          <w:tblCellMar>
            <w:top w:w="0" w:type="dxa"/>
            <w:left w:w="108" w:type="dxa"/>
            <w:bottom w:w="0" w:type="dxa"/>
            <w:right w:w="108" w:type="dxa"/>
          </w:tblCellMar>
        </w:tblPrEx>
        <w:tc>
          <w:tcPr>
            <w:tcW w:w="8848" w:type="dxa"/>
            <w:gridSpan w:val="14"/>
            <w:vAlign w:val="center"/>
          </w:tcPr>
          <w:p w14:paraId="45F1A255">
            <w:pPr>
              <w:jc w:val="center"/>
            </w:pPr>
            <w:r>
              <w:rPr>
                <w:rFonts w:ascii="宋体" w:hAnsi="宋体" w:eastAsia="宋体"/>
                <w:sz w:val="24"/>
              </w:rPr>
              <w:t>(2024年度)</w:t>
            </w:r>
          </w:p>
        </w:tc>
      </w:tr>
      <w:tr w14:paraId="7FCA9C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DF3F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196505">
            <w:pPr>
              <w:jc w:val="center"/>
            </w:pPr>
            <w:r>
              <w:rPr>
                <w:rFonts w:ascii="宋体" w:hAnsi="宋体" w:eastAsia="宋体"/>
                <w:sz w:val="16"/>
              </w:rPr>
              <w:t>2024年自治区财政扶持农机化发展专项资金项目</w:t>
            </w:r>
          </w:p>
        </w:tc>
      </w:tr>
      <w:tr w14:paraId="5AA3E0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012D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7E3965">
            <w:pPr>
              <w:jc w:val="center"/>
            </w:pPr>
            <w:r>
              <w:rPr>
                <w:rFonts w:ascii="宋体" w:hAnsi="宋体" w:eastAsia="宋体"/>
                <w:sz w:val="16"/>
              </w:rPr>
              <w:t>叶城县农业农村局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1F15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0B1260">
            <w:pPr>
              <w:jc w:val="center"/>
            </w:pPr>
            <w:r>
              <w:rPr>
                <w:rFonts w:ascii="宋体" w:hAnsi="宋体" w:eastAsia="宋体"/>
                <w:sz w:val="16"/>
              </w:rPr>
              <w:t>叶城县农业农村机械化发展服务中心</w:t>
            </w:r>
          </w:p>
        </w:tc>
      </w:tr>
      <w:tr w14:paraId="632224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1C1F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C020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3A55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8B4F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FF36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E1F3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8015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14455">
            <w:pPr>
              <w:jc w:val="center"/>
            </w:pPr>
            <w:r>
              <w:rPr>
                <w:rFonts w:ascii="宋体" w:hAnsi="宋体" w:eastAsia="宋体"/>
                <w:sz w:val="16"/>
              </w:rPr>
              <w:t>得分</w:t>
            </w:r>
          </w:p>
        </w:tc>
      </w:tr>
      <w:tr w14:paraId="73C5C9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4F9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AA8B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1EF3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1032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A7A5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AB1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0A30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5779B">
            <w:pPr>
              <w:jc w:val="center"/>
            </w:pPr>
            <w:r>
              <w:rPr>
                <w:rFonts w:ascii="宋体" w:hAnsi="宋体" w:eastAsia="宋体"/>
                <w:sz w:val="16"/>
              </w:rPr>
              <w:t>10.00分</w:t>
            </w:r>
          </w:p>
        </w:tc>
      </w:tr>
      <w:tr w14:paraId="28F8EC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493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491F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8E2D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DBA46">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2645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88D4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40C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15DB1">
            <w:pPr>
              <w:jc w:val="center"/>
            </w:pPr>
            <w:r>
              <w:rPr>
                <w:rFonts w:ascii="宋体" w:hAnsi="宋体" w:eastAsia="宋体"/>
                <w:sz w:val="16"/>
              </w:rPr>
              <w:t>—</w:t>
            </w:r>
          </w:p>
        </w:tc>
      </w:tr>
      <w:tr w14:paraId="0F5DE0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5D1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BF32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2EB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DAF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145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769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40D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70B5F">
            <w:pPr>
              <w:jc w:val="center"/>
            </w:pPr>
            <w:r>
              <w:rPr>
                <w:rFonts w:ascii="宋体" w:hAnsi="宋体" w:eastAsia="宋体"/>
                <w:sz w:val="16"/>
              </w:rPr>
              <w:t>—</w:t>
            </w:r>
          </w:p>
        </w:tc>
      </w:tr>
      <w:tr w14:paraId="755003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0E819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314E3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2C0ADA">
            <w:pPr>
              <w:jc w:val="center"/>
            </w:pPr>
            <w:r>
              <w:rPr>
                <w:rFonts w:ascii="宋体" w:hAnsi="宋体" w:eastAsia="宋体"/>
                <w:sz w:val="16"/>
              </w:rPr>
              <w:t>实际完成情况</w:t>
            </w:r>
          </w:p>
        </w:tc>
      </w:tr>
      <w:tr w14:paraId="65740F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619B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A0B313">
            <w:pPr>
              <w:jc w:val="both"/>
            </w:pPr>
            <w:r>
              <w:rPr>
                <w:rFonts w:ascii="宋体" w:hAnsi="宋体" w:eastAsia="宋体"/>
                <w:sz w:val="16"/>
              </w:rPr>
              <w:t>根据喀地财农</w:t>
            </w:r>
            <w:r>
              <w:rPr>
                <w:rFonts w:hint="eastAsia" w:ascii="宋体" w:hAnsi="宋体"/>
                <w:sz w:val="16"/>
                <w:lang w:eastAsia="zh-CN"/>
              </w:rPr>
              <w:t>〔2023〕41号</w:t>
            </w:r>
            <w:r>
              <w:rPr>
                <w:rFonts w:ascii="宋体" w:hAnsi="宋体" w:eastAsia="宋体"/>
                <w:sz w:val="16"/>
              </w:rPr>
              <w:t>文件，该项目下达总资金20万元，在叶城县巴仁乡建立林果业机械化技术示范区500亩，通过运用好本县已有的开沟机、整形修剪机、自走式升降作业平台、植保机械、机械化收获、碎枝机、农家肥翻堆机等林果机械，示范推广林果机械化作业。购置国产通用多功能一体打印机4台、国产通用台式电脑4台、身份证读卡器4个、过塑机4个、针式打印机4台、高拍仪4个、农机事故勘查设备1套，其他所需的办公用品。项目实施后，使我县农机安全监管水平和服务水平得到明显改善，提高事故应急处理的快速反应能力，改善监理队伍办公环境，提高监理人员素质，确保农机安全生产，维护广大农牧民生命财产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A737A6">
            <w:pPr>
              <w:jc w:val="both"/>
            </w:pPr>
            <w:r>
              <w:rPr>
                <w:rFonts w:hint="eastAsia" w:ascii="宋体" w:hAnsi="宋体"/>
                <w:sz w:val="16"/>
                <w:lang w:eastAsia="zh-CN"/>
              </w:rPr>
              <w:t>截至</w:t>
            </w:r>
            <w:r>
              <w:rPr>
                <w:rFonts w:ascii="宋体" w:hAnsi="宋体" w:eastAsia="宋体"/>
                <w:sz w:val="16"/>
              </w:rPr>
              <w:t>2024年12月31日，该项目预算资金20万元，到位资金20万元，已支付20万元。在叶城县巴仁乡建立林果业机械化技术示范区516.5亩,购置国产通用多功能一体打印机4台、国产通用台式电脑4台、身份证读卡器4个、过塑机4个、针式打印机4台、高拍仪4个、农机事故勘查设备1套，其他所需的办公用品，项目设施质量验收合格率100%。项目实施后，使我县农机安全监管水平和服务水平得到明显改善，提高事故应急处理的快速反应能力，改善监理队伍办公环境，提高监理人员素质，确保农机安全生产，维护广大农牧民生命财产安全。</w:t>
            </w:r>
          </w:p>
        </w:tc>
      </w:tr>
      <w:tr w14:paraId="1DA8A1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5DAB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D802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6D8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5EFA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F996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3645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7463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D5A6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5530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9D87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B20A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0801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5733B">
            <w:pPr>
              <w:jc w:val="center"/>
            </w:pPr>
            <w:r>
              <w:rPr>
                <w:rFonts w:ascii="宋体" w:hAnsi="宋体" w:eastAsia="宋体"/>
                <w:sz w:val="16"/>
              </w:rPr>
              <w:t>偏差原因分析及改进措施</w:t>
            </w:r>
          </w:p>
        </w:tc>
      </w:tr>
      <w:tr w14:paraId="1F5DDE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FDCF9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070C8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5177C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027D9">
            <w:pPr>
              <w:jc w:val="center"/>
            </w:pPr>
            <w:r>
              <w:rPr>
                <w:rFonts w:ascii="宋体" w:hAnsi="宋体" w:eastAsia="宋体"/>
                <w:sz w:val="16"/>
              </w:rPr>
              <w:t>林果业机械化修剪面积（亩）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1FF17">
            <w:pPr>
              <w:jc w:val="center"/>
            </w:pPr>
            <w:r>
              <w:rPr>
                <w:rFonts w:ascii="宋体" w:hAnsi="宋体" w:eastAsia="宋体"/>
                <w:sz w:val="16"/>
              </w:rPr>
              <w:t>&gt;=500亩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EFB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3B9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74B8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E7E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395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9D666">
            <w:pPr>
              <w:jc w:val="center"/>
            </w:pPr>
            <w:r>
              <w:rPr>
                <w:rFonts w:ascii="宋体" w:hAnsi="宋体" w:eastAsia="宋体"/>
                <w:sz w:val="16"/>
              </w:rPr>
              <w:t>&gt;=516.5亩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D924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50BBE">
            <w:pPr>
              <w:jc w:val="center"/>
            </w:pPr>
          </w:p>
        </w:tc>
      </w:tr>
      <w:tr w14:paraId="70F3ED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4DD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B55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CA5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3AB6">
            <w:pPr>
              <w:jc w:val="center"/>
            </w:pPr>
            <w:r>
              <w:rPr>
                <w:rFonts w:ascii="宋体" w:hAnsi="宋体" w:eastAsia="宋体"/>
                <w:sz w:val="16"/>
              </w:rPr>
              <w:t>购置国产通用多功能一体打印机（台）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D64D5">
            <w:pPr>
              <w:jc w:val="center"/>
            </w:pPr>
            <w:r>
              <w:rPr>
                <w:rFonts w:ascii="宋体" w:hAnsi="宋体" w:eastAsia="宋体"/>
                <w:sz w:val="16"/>
              </w:rPr>
              <w: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B14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3D3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203F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24D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D78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13358">
            <w:pPr>
              <w:jc w:val="center"/>
            </w:pPr>
            <w:r>
              <w:rPr>
                <w:rFonts w:ascii="宋体" w:hAnsi="宋体" w:eastAsia="宋体"/>
                <w:sz w:val="16"/>
              </w:rPr>
              <w: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430F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40331">
            <w:pPr>
              <w:jc w:val="center"/>
            </w:pPr>
          </w:p>
        </w:tc>
      </w:tr>
      <w:tr w14:paraId="62860D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D77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7CC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3F7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363F0">
            <w:pPr>
              <w:jc w:val="center"/>
            </w:pPr>
            <w:r>
              <w:rPr>
                <w:rFonts w:ascii="宋体" w:hAnsi="宋体" w:eastAsia="宋体"/>
                <w:sz w:val="16"/>
              </w:rPr>
              <w:t>购置国产通用台式电脑（台）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99FE7">
            <w:pPr>
              <w:jc w:val="center"/>
            </w:pPr>
            <w:r>
              <w:rPr>
                <w:rFonts w:ascii="宋体" w:hAnsi="宋体" w:eastAsia="宋体"/>
                <w:sz w:val="16"/>
              </w:rPr>
              <w: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68C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597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363B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A2F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40A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A51E9">
            <w:pPr>
              <w:jc w:val="center"/>
            </w:pPr>
            <w:r>
              <w:rPr>
                <w:rFonts w:ascii="宋体" w:hAnsi="宋体" w:eastAsia="宋体"/>
                <w:sz w:val="16"/>
              </w:rPr>
              <w: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9CC3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11779">
            <w:pPr>
              <w:jc w:val="center"/>
            </w:pPr>
          </w:p>
        </w:tc>
      </w:tr>
      <w:tr w14:paraId="7A0461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396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9A1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D52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A5C66">
            <w:pPr>
              <w:jc w:val="center"/>
            </w:pPr>
            <w:r>
              <w:rPr>
                <w:rFonts w:ascii="宋体" w:hAnsi="宋体" w:eastAsia="宋体"/>
                <w:sz w:val="16"/>
              </w:rPr>
              <w:t>购置身份证读卡器（个）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A47D7">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9DC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BBA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DE49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357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90E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BCE08">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4540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C612D">
            <w:pPr>
              <w:jc w:val="center"/>
            </w:pPr>
          </w:p>
        </w:tc>
      </w:tr>
      <w:tr w14:paraId="0934C0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381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49D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895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D789F">
            <w:pPr>
              <w:jc w:val="center"/>
            </w:pPr>
            <w:r>
              <w:rPr>
                <w:rFonts w:ascii="宋体" w:hAnsi="宋体" w:eastAsia="宋体"/>
                <w:sz w:val="16"/>
              </w:rPr>
              <w:t>购置过塑机（个）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1BD7">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398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C7F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CFE6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601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5E2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CD16D">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7447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0F811">
            <w:pPr>
              <w:jc w:val="center"/>
            </w:pPr>
          </w:p>
        </w:tc>
      </w:tr>
      <w:tr w14:paraId="71538F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06C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281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0CA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5CBD3">
            <w:pPr>
              <w:jc w:val="center"/>
            </w:pPr>
            <w:r>
              <w:rPr>
                <w:rFonts w:ascii="宋体" w:hAnsi="宋体" w:eastAsia="宋体"/>
                <w:sz w:val="16"/>
              </w:rPr>
              <w:t>购置针式打印机（台）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2A9D8">
            <w:pPr>
              <w:jc w:val="center"/>
            </w:pPr>
            <w:r>
              <w:rPr>
                <w:rFonts w:ascii="宋体" w:hAnsi="宋体" w:eastAsia="宋体"/>
                <w:sz w:val="16"/>
              </w:rPr>
              <w: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0FD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BD2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978A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048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E66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8FD84">
            <w:pPr>
              <w:jc w:val="center"/>
            </w:pPr>
            <w:r>
              <w:rPr>
                <w:rFonts w:ascii="宋体" w:hAnsi="宋体" w:eastAsia="宋体"/>
                <w:sz w:val="16"/>
              </w:rPr>
              <w: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557B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445A6">
            <w:pPr>
              <w:jc w:val="center"/>
            </w:pPr>
          </w:p>
        </w:tc>
      </w:tr>
      <w:tr w14:paraId="4A96FA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1CD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C6B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0E9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02530">
            <w:pPr>
              <w:jc w:val="center"/>
            </w:pPr>
            <w:r>
              <w:rPr>
                <w:rFonts w:ascii="宋体" w:hAnsi="宋体" w:eastAsia="宋体"/>
                <w:sz w:val="16"/>
              </w:rPr>
              <w:t>购置高拍仪（个）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AC777">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DC3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E50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F387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162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67F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962E1">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ACB4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0AB0C">
            <w:pPr>
              <w:jc w:val="center"/>
            </w:pPr>
          </w:p>
        </w:tc>
      </w:tr>
      <w:tr w14:paraId="6B7780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542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332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B24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31D29">
            <w:pPr>
              <w:jc w:val="center"/>
            </w:pPr>
            <w:r>
              <w:rPr>
                <w:rFonts w:ascii="宋体" w:hAnsi="宋体" w:eastAsia="宋体"/>
                <w:sz w:val="16"/>
              </w:rPr>
              <w:t>农机事故勘查设备（套）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F840">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210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2C2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F7FF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EA2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8E7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F326C">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E17A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5F8F4">
            <w:pPr>
              <w:jc w:val="center"/>
            </w:pPr>
          </w:p>
        </w:tc>
      </w:tr>
      <w:tr w14:paraId="769336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ED5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E68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10E9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38014">
            <w:pPr>
              <w:jc w:val="center"/>
            </w:pPr>
            <w:r>
              <w:rPr>
                <w:rFonts w:ascii="宋体" w:hAnsi="宋体" w:eastAsia="宋体"/>
                <w:sz w:val="16"/>
              </w:rPr>
              <w:t>项目设施质量验收合格率（%）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2B6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E63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66D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C75D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FA6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EC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88F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F9E2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AC4DB">
            <w:pPr>
              <w:jc w:val="center"/>
            </w:pPr>
          </w:p>
        </w:tc>
      </w:tr>
      <w:tr w14:paraId="6B4CE6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83F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F42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D919A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1DD0C">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EDE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045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9E7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28B4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199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6E4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73E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5D0F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6547A">
            <w:pPr>
              <w:jc w:val="center"/>
            </w:pPr>
          </w:p>
        </w:tc>
      </w:tr>
      <w:tr w14:paraId="469983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398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411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CDA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DA34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F744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8C9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DB9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9030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582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9D5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D8B7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30A3C">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8B01F">
            <w:pPr>
              <w:jc w:val="center"/>
            </w:pPr>
          </w:p>
        </w:tc>
      </w:tr>
      <w:tr w14:paraId="06AC48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79B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8D6C9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98753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D9AE8">
            <w:pPr>
              <w:jc w:val="center"/>
            </w:pPr>
            <w:r>
              <w:rPr>
                <w:rFonts w:ascii="宋体" w:hAnsi="宋体" w:eastAsia="宋体"/>
                <w:sz w:val="16"/>
              </w:rPr>
              <w:t>购置设备成本（万元）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0A416">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2BEA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79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4BF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6F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47B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321AD">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8F0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68A92">
            <w:pPr>
              <w:jc w:val="center"/>
            </w:pPr>
          </w:p>
        </w:tc>
      </w:tr>
      <w:tr w14:paraId="1B44A7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22A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48D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D4D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B7BCD">
            <w:pPr>
              <w:jc w:val="center"/>
            </w:pPr>
            <w:r>
              <w:rPr>
                <w:rFonts w:ascii="宋体" w:hAnsi="宋体" w:eastAsia="宋体"/>
                <w:sz w:val="16"/>
              </w:rPr>
              <w:t>机械化作业费成本（万元）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37741">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BDB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218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6DE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79F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C9A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D18B5">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5AD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D544D">
            <w:pPr>
              <w:jc w:val="center"/>
            </w:pPr>
          </w:p>
        </w:tc>
      </w:tr>
      <w:tr w14:paraId="1532A9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EE8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1FBBF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3AD6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24CB4">
            <w:pPr>
              <w:jc w:val="center"/>
            </w:pPr>
            <w:r>
              <w:rPr>
                <w:rFonts w:ascii="宋体" w:hAnsi="宋体" w:eastAsia="宋体"/>
                <w:sz w:val="16"/>
              </w:rPr>
              <w:t>减轻农民劳动强度，剩余时间外出务工，实现农业增产、农民增收致富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B8314">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EA7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5ED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651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92A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A84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3AD9B">
            <w:pPr>
              <w:jc w:val="center"/>
            </w:pPr>
            <w:r>
              <w:rPr>
                <w:rFonts w:ascii="宋体" w:hAnsi="宋体" w:eastAsia="宋体"/>
                <w:sz w:val="16"/>
              </w:rPr>
              <w:t>有效减轻</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213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BF557">
            <w:pPr>
              <w:jc w:val="center"/>
            </w:pPr>
          </w:p>
        </w:tc>
      </w:tr>
      <w:tr w14:paraId="62E7C0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46B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851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31BD8">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9CF05">
            <w:pPr>
              <w:jc w:val="center"/>
            </w:pPr>
            <w:r>
              <w:rPr>
                <w:rFonts w:ascii="宋体" w:hAnsi="宋体" w:eastAsia="宋体"/>
                <w:sz w:val="16"/>
              </w:rPr>
              <w:t>促进国土绿化进程，美化环境，净化空气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1B0FE">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AFA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584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902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48FD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34B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79892">
            <w:pPr>
              <w:jc w:val="center"/>
            </w:pPr>
            <w:r>
              <w:rPr>
                <w:rFonts w:ascii="宋体" w:hAnsi="宋体" w:eastAsia="宋体"/>
                <w:sz w:val="16"/>
              </w:rPr>
              <w:t>有效促进</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D1D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A7B6E">
            <w:pPr>
              <w:jc w:val="center"/>
            </w:pPr>
          </w:p>
        </w:tc>
      </w:tr>
      <w:tr w14:paraId="6C1496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143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261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B62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C1992">
            <w:pPr>
              <w:jc w:val="center"/>
            </w:pPr>
            <w:r>
              <w:rPr>
                <w:rFonts w:ascii="宋体" w:hAnsi="宋体" w:eastAsia="宋体"/>
                <w:sz w:val="16"/>
              </w:rPr>
              <w:t>受益农民满意度（%）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F361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08B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809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184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7875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8BF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740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D6C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975B6">
            <w:pPr>
              <w:jc w:val="center"/>
            </w:pPr>
            <w:r>
              <w:rPr>
                <w:rFonts w:ascii="宋体" w:hAnsi="宋体" w:eastAsia="宋体"/>
                <w:sz w:val="16"/>
              </w:rPr>
              <w:t>偏差原因：该项目受益人员对项目的实施均满意；改进措施：做好年初预算分析。</w:t>
            </w:r>
          </w:p>
        </w:tc>
      </w:tr>
      <w:tr w14:paraId="3051DF3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D0500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F33A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B33F3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78A1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6DFF50E"/>
        </w:tc>
      </w:tr>
    </w:tbl>
    <w:p w14:paraId="0F8F82E3">
      <w:r>
        <w:br w:type="page"/>
      </w:r>
    </w:p>
    <w:p w14:paraId="477DC979">
      <w:pPr>
        <w:spacing w:line="640" w:lineRule="exact"/>
        <w:ind w:firstLine="640"/>
        <w:jc w:val="both"/>
        <w:outlineLvl w:val="2"/>
      </w:pPr>
      <w:r>
        <w:rPr>
          <w:rFonts w:ascii="黑体" w:hAnsi="黑体" w:eastAsia="黑体"/>
          <w:sz w:val="32"/>
        </w:rPr>
        <w:t>十二、其他需说明的事项</w:t>
      </w:r>
    </w:p>
    <w:p w14:paraId="318C888C">
      <w:pPr>
        <w:spacing w:line="580" w:lineRule="exact"/>
        <w:ind w:firstLine="640"/>
        <w:jc w:val="both"/>
      </w:pPr>
      <w:r>
        <w:rPr>
          <w:rFonts w:ascii="仿宋_GB2312" w:hAnsi="仿宋_GB2312" w:eastAsia="仿宋_GB2312"/>
          <w:b w:val="0"/>
          <w:sz w:val="32"/>
        </w:rPr>
        <w:t>本单位无其他需说明的事项。</w:t>
      </w:r>
    </w:p>
    <w:p w14:paraId="7E2926AC">
      <w:r>
        <w:br w:type="page"/>
      </w:r>
    </w:p>
    <w:p w14:paraId="1D1B023C">
      <w:pPr>
        <w:spacing w:line="240" w:lineRule="auto"/>
        <w:jc w:val="center"/>
        <w:outlineLvl w:val="1"/>
      </w:pPr>
      <w:r>
        <w:rPr>
          <w:rFonts w:ascii="黑体" w:hAnsi="黑体" w:eastAsia="黑体"/>
          <w:sz w:val="32"/>
        </w:rPr>
        <w:t>第三部分 专业名词解释</w:t>
      </w:r>
    </w:p>
    <w:p w14:paraId="1B89EB8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682B0E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B22EA3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56E049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16C993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B82D2E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F9646A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18E962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ADDB81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41F131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6A40B3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AAED0B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F31A13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42DD32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E41297C">
      <w:r>
        <w:br w:type="page"/>
      </w:r>
    </w:p>
    <w:p w14:paraId="70A821DE">
      <w:pPr>
        <w:spacing w:line="240" w:lineRule="auto"/>
        <w:jc w:val="center"/>
        <w:outlineLvl w:val="1"/>
      </w:pPr>
      <w:r>
        <w:rPr>
          <w:rFonts w:ascii="黑体" w:hAnsi="黑体" w:eastAsia="黑体"/>
          <w:sz w:val="32"/>
        </w:rPr>
        <w:t>第四部分 部门决算报表（见附表）</w:t>
      </w:r>
    </w:p>
    <w:p w14:paraId="37F1CE92">
      <w:pPr>
        <w:spacing w:line="240" w:lineRule="auto"/>
        <w:ind w:firstLine="640"/>
        <w:jc w:val="both"/>
      </w:pPr>
      <w:r>
        <w:rPr>
          <w:rFonts w:ascii="仿宋_GB2312" w:hAnsi="仿宋_GB2312" w:eastAsia="仿宋_GB2312"/>
          <w:b w:val="0"/>
          <w:sz w:val="32"/>
        </w:rPr>
        <w:t>一、《收入支出决算总表》</w:t>
      </w:r>
    </w:p>
    <w:p w14:paraId="53C5F3CB">
      <w:pPr>
        <w:spacing w:line="240" w:lineRule="auto"/>
        <w:ind w:firstLine="640"/>
        <w:jc w:val="both"/>
      </w:pPr>
      <w:r>
        <w:rPr>
          <w:rFonts w:ascii="仿宋_GB2312" w:hAnsi="仿宋_GB2312" w:eastAsia="仿宋_GB2312"/>
          <w:b w:val="0"/>
          <w:sz w:val="32"/>
        </w:rPr>
        <w:t>二、《收入决算表》</w:t>
      </w:r>
    </w:p>
    <w:p w14:paraId="418069B2">
      <w:pPr>
        <w:spacing w:line="240" w:lineRule="auto"/>
        <w:ind w:firstLine="640"/>
        <w:jc w:val="both"/>
      </w:pPr>
      <w:r>
        <w:rPr>
          <w:rFonts w:ascii="仿宋_GB2312" w:hAnsi="仿宋_GB2312" w:eastAsia="仿宋_GB2312"/>
          <w:b w:val="0"/>
          <w:sz w:val="32"/>
        </w:rPr>
        <w:t>三、《支出决算表》</w:t>
      </w:r>
    </w:p>
    <w:p w14:paraId="04E490A6">
      <w:pPr>
        <w:spacing w:line="240" w:lineRule="auto"/>
        <w:ind w:firstLine="640"/>
        <w:jc w:val="both"/>
      </w:pPr>
      <w:r>
        <w:rPr>
          <w:rFonts w:ascii="仿宋_GB2312" w:hAnsi="仿宋_GB2312" w:eastAsia="仿宋_GB2312"/>
          <w:b w:val="0"/>
          <w:sz w:val="32"/>
        </w:rPr>
        <w:t>四、《财政拨款收入支出决算总表》</w:t>
      </w:r>
    </w:p>
    <w:p w14:paraId="7A7BF423">
      <w:pPr>
        <w:spacing w:line="240" w:lineRule="auto"/>
        <w:ind w:firstLine="640"/>
        <w:jc w:val="both"/>
      </w:pPr>
      <w:r>
        <w:rPr>
          <w:rFonts w:ascii="仿宋_GB2312" w:hAnsi="仿宋_GB2312" w:eastAsia="仿宋_GB2312"/>
          <w:b w:val="0"/>
          <w:sz w:val="32"/>
        </w:rPr>
        <w:t>五、《一般公共预算财政拨款支出决算表》</w:t>
      </w:r>
    </w:p>
    <w:p w14:paraId="101DED0F">
      <w:pPr>
        <w:spacing w:line="240" w:lineRule="auto"/>
        <w:ind w:firstLine="640"/>
        <w:jc w:val="both"/>
      </w:pPr>
      <w:r>
        <w:rPr>
          <w:rFonts w:ascii="仿宋_GB2312" w:hAnsi="仿宋_GB2312" w:eastAsia="仿宋_GB2312"/>
          <w:b w:val="0"/>
          <w:sz w:val="32"/>
        </w:rPr>
        <w:t>六、《一般公共预算财政拨款基本支出决算表》</w:t>
      </w:r>
    </w:p>
    <w:p w14:paraId="553CB113">
      <w:pPr>
        <w:spacing w:line="240" w:lineRule="auto"/>
        <w:ind w:firstLine="640"/>
        <w:jc w:val="both"/>
      </w:pPr>
      <w:r>
        <w:rPr>
          <w:rFonts w:ascii="仿宋_GB2312" w:hAnsi="仿宋_GB2312" w:eastAsia="仿宋_GB2312"/>
          <w:b w:val="0"/>
          <w:sz w:val="32"/>
        </w:rPr>
        <w:t>七、《政府性基金预算财政拨款收入支出决算表》</w:t>
      </w:r>
    </w:p>
    <w:p w14:paraId="4A2998CC">
      <w:pPr>
        <w:spacing w:line="240" w:lineRule="auto"/>
        <w:ind w:firstLine="640"/>
        <w:jc w:val="both"/>
      </w:pPr>
      <w:r>
        <w:rPr>
          <w:rFonts w:ascii="仿宋_GB2312" w:hAnsi="仿宋_GB2312" w:eastAsia="仿宋_GB2312"/>
          <w:b w:val="0"/>
          <w:sz w:val="32"/>
        </w:rPr>
        <w:t>八、《国有资本经营预算财政拨款收入支出决算表》</w:t>
      </w:r>
    </w:p>
    <w:p w14:paraId="5980B310">
      <w:pPr>
        <w:spacing w:line="240" w:lineRule="auto"/>
        <w:ind w:firstLine="640"/>
        <w:jc w:val="both"/>
      </w:pPr>
      <w:r>
        <w:rPr>
          <w:rFonts w:ascii="仿宋_GB2312" w:hAnsi="仿宋_GB2312" w:eastAsia="仿宋_GB2312"/>
          <w:b w:val="0"/>
          <w:sz w:val="32"/>
        </w:rPr>
        <w:t>九、《财政拨款“三公”经费支出决算表》</w:t>
      </w:r>
    </w:p>
    <w:p w14:paraId="5BA9AD13">
      <w:pPr>
        <w:spacing w:line="240" w:lineRule="auto"/>
        <w:ind w:firstLine="640"/>
        <w:jc w:val="both"/>
      </w:pPr>
    </w:p>
    <w:p w14:paraId="41324EE8">
      <w:pPr>
        <w:spacing w:line="240" w:lineRule="auto"/>
        <w:ind w:firstLine="640"/>
        <w:jc w:val="both"/>
      </w:pPr>
    </w:p>
    <w:p w14:paraId="39EFCC39">
      <w:pPr>
        <w:spacing w:line="240" w:lineRule="auto"/>
        <w:ind w:firstLine="640"/>
        <w:jc w:val="both"/>
      </w:pPr>
    </w:p>
    <w:p w14:paraId="3B8C5584">
      <w:pPr>
        <w:spacing w:line="240" w:lineRule="auto"/>
        <w:ind w:firstLine="640"/>
        <w:jc w:val="both"/>
      </w:pPr>
    </w:p>
    <w:p w14:paraId="5ADB6D6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989A496-FB41-42D2-8A31-FBB361194C5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56C1EF9-C666-4E03-AFCA-03E756AF2F70}"/>
  </w:font>
  <w:font w:name="仿宋_GB2312">
    <w:panose1 w:val="02010609030101010101"/>
    <w:charset w:val="86"/>
    <w:family w:val="modern"/>
    <w:pitch w:val="default"/>
    <w:sig w:usb0="00000001" w:usb1="080E0000" w:usb2="00000000" w:usb3="00000000" w:csb0="00040000" w:csb1="00000000"/>
    <w:embedRegular r:id="rId3" w:fontKey="{31894D21-EFEF-4CB6-8607-3360B4B7943E}"/>
  </w:font>
  <w:font w:name="楷体_GB2312">
    <w:panose1 w:val="02010609030101010101"/>
    <w:charset w:val="86"/>
    <w:family w:val="auto"/>
    <w:pitch w:val="default"/>
    <w:sig w:usb0="00000001" w:usb1="080E0000" w:usb2="00000000" w:usb3="00000000" w:csb0="00040000" w:csb1="00000000"/>
    <w:embedRegular r:id="rId4" w:fontKey="{4D8A8484-8670-4796-BB19-9F1315EBC2B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3DC6E3B"/>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2CD0C8B"/>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6398</Words>
  <Characters>7434</Characters>
  <Lines>0</Lines>
  <Paragraphs>0</Paragraphs>
  <TotalTime>11</TotalTime>
  <ScaleCrop>false</ScaleCrop>
  <LinksUpToDate>false</LinksUpToDate>
  <CharactersWithSpaces>7442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2025-09-29T08:09:23Z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