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47225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叶城县农产品质量安全检验检测中心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4C7DBF">
      <w:r>
        <w:br w:type="page"/>
      </w:r>
    </w:p>
    <w:p w14:paraId="5CA24B96">
      <w:pPr>
        <w:spacing w:line="640" w:lineRule="exact"/>
        <w:jc w:val="center"/>
        <w:outlineLvl w:val="1"/>
      </w:pPr>
      <w:r>
        <w:rPr>
          <w:rFonts w:ascii="黑体" w:hAnsi="黑体" w:eastAsia="黑体"/>
          <w:sz w:val="32"/>
        </w:rPr>
        <w:t>第一部分 单位概况</w:t>
      </w:r>
    </w:p>
    <w:p w14:paraId="2343C887">
      <w:pPr>
        <w:spacing w:line="640" w:lineRule="exact"/>
        <w:ind w:firstLine="640"/>
        <w:jc w:val="both"/>
        <w:outlineLvl w:val="2"/>
      </w:pPr>
      <w:r>
        <w:rPr>
          <w:rFonts w:ascii="黑体" w:hAnsi="黑体" w:eastAsia="黑体"/>
          <w:sz w:val="32"/>
        </w:rPr>
        <w:t>一、主要职能</w:t>
      </w:r>
    </w:p>
    <w:p w14:paraId="0CB39FCB">
      <w:pPr>
        <w:spacing w:line="580" w:lineRule="exact"/>
        <w:ind w:firstLine="640"/>
        <w:jc w:val="both"/>
      </w:pPr>
      <w:r>
        <w:rPr>
          <w:rFonts w:ascii="仿宋_GB2312" w:hAnsi="仿宋_GB2312" w:eastAsia="仿宋_GB2312"/>
          <w:sz w:val="32"/>
        </w:rPr>
        <w:t>贯彻执行国家关于农产品质量安全管理及监测方面的法律、法规和规章制度；负责县域农产品市场准入的检验检测工作和农产品生产基地、批发市场、零售市场和超市农产品质量安全的日常监督检验；负责农产品质量审定和农产品认证申请；承担农产品质量安全方</w:t>
      </w:r>
      <w:r>
        <w:rPr>
          <w:rFonts w:hint="eastAsia" w:ascii="仿宋_GB2312" w:hAnsi="仿宋_GB2312" w:eastAsia="仿宋_GB2312"/>
          <w:sz w:val="32"/>
          <w:lang w:eastAsia="zh-CN"/>
        </w:rPr>
        <w:t>面的</w:t>
      </w:r>
      <w:r>
        <w:rPr>
          <w:rFonts w:ascii="仿宋_GB2312" w:hAnsi="仿宋_GB2312" w:eastAsia="仿宋_GB2312"/>
          <w:sz w:val="32"/>
        </w:rPr>
        <w:t>标准宣传贯彻和技术培训；接受委托检验和农产品质量安全方面的技术咨询与技术服务工作；承担农业投入品和农产品生产企业的升级，产品检验和产品质量分等分级的检验；指导全县农业标准化生产及农产品质量安全体系建设等；完成上级主管部门交办的其他工作任务。</w:t>
      </w:r>
    </w:p>
    <w:p w14:paraId="255414BB">
      <w:pPr>
        <w:spacing w:line="640" w:lineRule="exact"/>
        <w:ind w:firstLine="640"/>
        <w:jc w:val="both"/>
        <w:outlineLvl w:val="2"/>
      </w:pPr>
      <w:r>
        <w:rPr>
          <w:rFonts w:ascii="黑体" w:hAnsi="黑体" w:eastAsia="黑体"/>
          <w:sz w:val="32"/>
        </w:rPr>
        <w:t>二、机构设置及人员情况</w:t>
      </w:r>
    </w:p>
    <w:p w14:paraId="60A588FE">
      <w:pPr>
        <w:spacing w:line="580" w:lineRule="exact"/>
        <w:ind w:firstLine="640"/>
        <w:jc w:val="both"/>
      </w:pPr>
      <w:r>
        <w:rPr>
          <w:rFonts w:ascii="仿宋_GB2312" w:hAnsi="仿宋_GB2312" w:eastAsia="仿宋_GB2312"/>
          <w:sz w:val="32"/>
        </w:rPr>
        <w:t>叶城县农产品质量安全检验检测中心2024年度，实有人数8人，其中：在职人员8人，增加1人；离休人员0人，增加0人；退休人员0人,增加0人。</w:t>
      </w:r>
    </w:p>
    <w:p w14:paraId="49144F33">
      <w:pPr>
        <w:spacing w:line="580" w:lineRule="exact"/>
        <w:ind w:firstLine="640"/>
        <w:jc w:val="both"/>
      </w:pPr>
      <w:r>
        <w:rPr>
          <w:rFonts w:ascii="仿宋_GB2312" w:hAnsi="仿宋_GB2312" w:eastAsia="仿宋_GB2312"/>
          <w:sz w:val="32"/>
        </w:rPr>
        <w:t>叶城县农产品质量安全检验检测中心无下属预算单位，下设2个科室，分别是：化验室、业务室。</w:t>
      </w:r>
    </w:p>
    <w:p w14:paraId="7B585961">
      <w:r>
        <w:br w:type="page"/>
      </w:r>
    </w:p>
    <w:p w14:paraId="7CF8A1AF">
      <w:pPr>
        <w:spacing w:line="240" w:lineRule="auto"/>
        <w:jc w:val="center"/>
        <w:outlineLvl w:val="1"/>
      </w:pPr>
      <w:r>
        <w:rPr>
          <w:rFonts w:ascii="黑体" w:hAnsi="黑体" w:eastAsia="黑体"/>
          <w:sz w:val="32"/>
        </w:rPr>
        <w:t>第二部分 部门决算情况说明</w:t>
      </w:r>
    </w:p>
    <w:p w14:paraId="12FCD628">
      <w:pPr>
        <w:spacing w:line="640" w:lineRule="exact"/>
        <w:ind w:firstLine="640"/>
        <w:jc w:val="both"/>
        <w:outlineLvl w:val="2"/>
      </w:pPr>
      <w:r>
        <w:rPr>
          <w:rFonts w:ascii="黑体" w:hAnsi="黑体" w:eastAsia="黑体"/>
          <w:sz w:val="32"/>
        </w:rPr>
        <w:t>一、收入支出决算总体情况说明</w:t>
      </w:r>
    </w:p>
    <w:p w14:paraId="5BC57B07">
      <w:pPr>
        <w:spacing w:line="580" w:lineRule="exact"/>
        <w:ind w:firstLine="640"/>
        <w:jc w:val="both"/>
      </w:pPr>
      <w:r>
        <w:rPr>
          <w:rFonts w:ascii="仿宋_GB2312" w:hAnsi="仿宋_GB2312" w:eastAsia="仿宋_GB2312"/>
          <w:b/>
          <w:sz w:val="32"/>
        </w:rPr>
        <w:t>2024年度收入总计207.42万元，</w:t>
      </w:r>
      <w:r>
        <w:rPr>
          <w:rFonts w:ascii="仿宋_GB2312" w:hAnsi="仿宋_GB2312" w:eastAsia="仿宋_GB2312"/>
          <w:b w:val="0"/>
          <w:sz w:val="32"/>
        </w:rPr>
        <w:t>其中：本年收入合计207.42万元，使用非财政拨款结余（含专用结余）0.00万元，年初结转和结余0.00万元。</w:t>
      </w:r>
    </w:p>
    <w:p w14:paraId="721B45E6">
      <w:pPr>
        <w:spacing w:line="580" w:lineRule="exact"/>
        <w:ind w:firstLine="640"/>
        <w:jc w:val="both"/>
      </w:pPr>
      <w:r>
        <w:rPr>
          <w:rFonts w:ascii="仿宋_GB2312" w:hAnsi="仿宋_GB2312" w:eastAsia="仿宋_GB2312"/>
          <w:b/>
          <w:sz w:val="32"/>
        </w:rPr>
        <w:t>2024年度支出总计207.42万元，</w:t>
      </w:r>
      <w:r>
        <w:rPr>
          <w:rFonts w:ascii="仿宋_GB2312" w:hAnsi="仿宋_GB2312" w:eastAsia="仿宋_GB2312"/>
          <w:b w:val="0"/>
          <w:sz w:val="32"/>
        </w:rPr>
        <w:t>其中：本年支出合计207.42万元，结余分配0.00万元，年末结转和结余0.00万元。</w:t>
      </w:r>
    </w:p>
    <w:p w14:paraId="5788595A">
      <w:pPr>
        <w:spacing w:line="580" w:lineRule="exact"/>
        <w:ind w:firstLine="640"/>
        <w:jc w:val="both"/>
      </w:pPr>
      <w:r>
        <w:rPr>
          <w:rFonts w:ascii="仿宋_GB2312" w:hAnsi="仿宋_GB2312" w:eastAsia="仿宋_GB2312"/>
          <w:b w:val="0"/>
          <w:sz w:val="32"/>
        </w:rPr>
        <w:t>收入支出总体与上年相比，增加16.68万元，增长8.74%，主要原因是：本年在职人员增加，在职人员工资调增、社保、公积金基数调增，人员经费增加。</w:t>
      </w:r>
    </w:p>
    <w:p w14:paraId="3F6DD333">
      <w:pPr>
        <w:spacing w:line="640" w:lineRule="exact"/>
        <w:ind w:firstLine="640"/>
        <w:jc w:val="both"/>
        <w:outlineLvl w:val="2"/>
      </w:pPr>
      <w:r>
        <w:rPr>
          <w:rFonts w:ascii="黑体" w:hAnsi="黑体" w:eastAsia="黑体"/>
          <w:sz w:val="32"/>
        </w:rPr>
        <w:t>二、收入决算情况说明</w:t>
      </w:r>
    </w:p>
    <w:p w14:paraId="5B40C559">
      <w:pPr>
        <w:spacing w:line="580" w:lineRule="exact"/>
        <w:ind w:firstLine="640"/>
        <w:jc w:val="both"/>
      </w:pPr>
      <w:r>
        <w:rPr>
          <w:rFonts w:ascii="仿宋_GB2312" w:hAnsi="仿宋_GB2312" w:eastAsia="仿宋_GB2312"/>
          <w:b/>
          <w:sz w:val="32"/>
        </w:rPr>
        <w:t>本年收入207.42万元，</w:t>
      </w:r>
      <w:r>
        <w:rPr>
          <w:rFonts w:ascii="仿宋_GB2312" w:hAnsi="仿宋_GB2312" w:eastAsia="仿宋_GB2312"/>
          <w:b w:val="0"/>
          <w:sz w:val="32"/>
        </w:rPr>
        <w:t>其中：财政拨款收入207.42万元，占100.00%；上级补助收入0.00万元，占0.00%；事业收入0.00万元，占0.00%；经营收入0.00万元，占0.00%；附属单位上缴收入0.00万元，占0.00%；其他收入0.00万元，占0.00%。</w:t>
      </w:r>
    </w:p>
    <w:p w14:paraId="7943F975">
      <w:pPr>
        <w:spacing w:line="640" w:lineRule="exact"/>
        <w:ind w:firstLine="640"/>
        <w:jc w:val="both"/>
        <w:outlineLvl w:val="2"/>
      </w:pPr>
      <w:r>
        <w:rPr>
          <w:rFonts w:ascii="黑体" w:hAnsi="黑体" w:eastAsia="黑体"/>
          <w:sz w:val="32"/>
        </w:rPr>
        <w:t>三、支出决算情况说明</w:t>
      </w:r>
    </w:p>
    <w:p w14:paraId="5745BE00">
      <w:pPr>
        <w:spacing w:line="580" w:lineRule="exact"/>
        <w:ind w:firstLine="640"/>
        <w:jc w:val="both"/>
      </w:pPr>
      <w:r>
        <w:rPr>
          <w:rFonts w:ascii="仿宋_GB2312" w:hAnsi="仿宋_GB2312" w:eastAsia="仿宋_GB2312"/>
          <w:b/>
          <w:sz w:val="32"/>
        </w:rPr>
        <w:t>本年支出207.42万元，</w:t>
      </w:r>
      <w:r>
        <w:rPr>
          <w:rFonts w:ascii="仿宋_GB2312" w:hAnsi="仿宋_GB2312" w:eastAsia="仿宋_GB2312"/>
          <w:b w:val="0"/>
          <w:sz w:val="32"/>
        </w:rPr>
        <w:t>其中：基本支出207.42万元，占100.00%；项目支出0.00万元，占0.00%；上缴上级支出0.00万元，占0.00%；经营支出0.00万元，占0.00%；对附属单位补助支出0.00万元，占0.00%。</w:t>
      </w:r>
    </w:p>
    <w:p w14:paraId="286E0DC0">
      <w:pPr>
        <w:spacing w:line="640" w:lineRule="exact"/>
        <w:ind w:firstLine="640"/>
        <w:jc w:val="both"/>
        <w:outlineLvl w:val="2"/>
      </w:pPr>
      <w:r>
        <w:rPr>
          <w:rFonts w:ascii="黑体" w:hAnsi="黑体" w:eastAsia="黑体"/>
          <w:sz w:val="32"/>
        </w:rPr>
        <w:t>四、财政拨款收入支出决算总体情况说明</w:t>
      </w:r>
    </w:p>
    <w:p w14:paraId="3D6B910B">
      <w:pPr>
        <w:spacing w:line="580" w:lineRule="exact"/>
        <w:ind w:firstLine="640"/>
        <w:jc w:val="both"/>
      </w:pPr>
      <w:r>
        <w:rPr>
          <w:rFonts w:ascii="仿宋_GB2312" w:hAnsi="仿宋_GB2312" w:eastAsia="仿宋_GB2312"/>
          <w:b/>
          <w:sz w:val="32"/>
        </w:rPr>
        <w:t>2024年度财政拨款收入总计207.42万元，</w:t>
      </w:r>
      <w:r>
        <w:rPr>
          <w:rFonts w:ascii="仿宋_GB2312" w:hAnsi="仿宋_GB2312" w:eastAsia="仿宋_GB2312"/>
          <w:b w:val="0"/>
          <w:sz w:val="32"/>
        </w:rPr>
        <w:t>其中：年初财政拨款结转和结余0.00万元，本年财政拨款收入207.42万元。</w:t>
      </w:r>
      <w:r>
        <w:rPr>
          <w:rFonts w:ascii="仿宋_GB2312" w:hAnsi="仿宋_GB2312" w:eastAsia="仿宋_GB2312"/>
          <w:b/>
          <w:sz w:val="32"/>
        </w:rPr>
        <w:t>财政拨款支出总计207.42万元，</w:t>
      </w:r>
      <w:r>
        <w:rPr>
          <w:rFonts w:ascii="仿宋_GB2312" w:hAnsi="仿宋_GB2312" w:eastAsia="仿宋_GB2312"/>
          <w:b w:val="0"/>
          <w:sz w:val="32"/>
        </w:rPr>
        <w:t>其中：年末财政拨款结转和结余0.00万元，本年财政拨款支出207.42万元。</w:t>
      </w:r>
    </w:p>
    <w:p w14:paraId="2B025D3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增加16.68万元，增长8.74%，主要原因是：本年在职人员增加，在职人员工资调增、社保、公积金基数调增，人员经费增加。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年初预算数201.94万元，决算数207.42万元，预决算差异率2.71%，主要原因是：年中追加人员工资、社保、公积金基数调增部分资金，导致预决算差异。</w:t>
      </w:r>
    </w:p>
    <w:p w14:paraId="1FE922FA">
      <w:pPr>
        <w:spacing w:line="640" w:lineRule="exact"/>
        <w:ind w:firstLine="640"/>
        <w:jc w:val="both"/>
        <w:outlineLvl w:val="2"/>
      </w:pPr>
      <w:r>
        <w:rPr>
          <w:rFonts w:ascii="黑体" w:hAnsi="黑体" w:eastAsia="黑体"/>
          <w:sz w:val="32"/>
        </w:rPr>
        <w:t>五、一般公共预算财政拨款支出决算情况说明</w:t>
      </w:r>
    </w:p>
    <w:p w14:paraId="46C7EBD3">
      <w:pPr>
        <w:spacing w:line="640" w:lineRule="exact"/>
        <w:ind w:firstLine="640"/>
        <w:jc w:val="both"/>
        <w:outlineLvl w:val="3"/>
      </w:pPr>
      <w:r>
        <w:rPr>
          <w:rFonts w:ascii="楷体_GB2312" w:hAnsi="楷体_GB2312" w:eastAsia="楷体_GB2312"/>
          <w:b/>
          <w:sz w:val="32"/>
        </w:rPr>
        <w:t>（一）一般公共预算财政拨款支出决算总体情况</w:t>
      </w:r>
    </w:p>
    <w:p w14:paraId="0BF4E0DF">
      <w:pPr>
        <w:spacing w:line="580" w:lineRule="exact"/>
        <w:ind w:firstLine="640"/>
        <w:jc w:val="both"/>
      </w:pPr>
      <w:r>
        <w:rPr>
          <w:rFonts w:ascii="仿宋_GB2312" w:hAnsi="仿宋_GB2312" w:eastAsia="仿宋_GB2312"/>
          <w:b/>
          <w:sz w:val="32"/>
        </w:rPr>
        <w:t>2024年度一般公共预算财政拨款支出207.42万元，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增加16.68万元，增长8.74%，主要原因是：本年在职人员增加，在职人员工资调增、社保、公积金基数调增，人员经费增加。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年初预算数201.94万元，决算数207.42万元，预决算差异率2.71%，主要原因是：年中追加人员工资、社保、公积金基数调增部分资金，导致预决算差异。</w:t>
      </w:r>
    </w:p>
    <w:p w14:paraId="03C5473D">
      <w:pPr>
        <w:spacing w:line="640" w:lineRule="exact"/>
        <w:ind w:firstLine="640"/>
        <w:jc w:val="both"/>
        <w:outlineLvl w:val="3"/>
      </w:pPr>
      <w:r>
        <w:rPr>
          <w:rFonts w:ascii="楷体_GB2312" w:hAnsi="楷体_GB2312" w:eastAsia="楷体_GB2312"/>
          <w:b/>
          <w:sz w:val="32"/>
        </w:rPr>
        <w:t>（二）一般公共预算财政拨款支出决算结构情况</w:t>
      </w:r>
    </w:p>
    <w:p w14:paraId="63E0F49E">
      <w:pPr>
        <w:spacing w:line="580" w:lineRule="exact"/>
        <w:ind w:firstLine="640"/>
        <w:jc w:val="both"/>
      </w:pPr>
      <w:r>
        <w:rPr>
          <w:rFonts w:ascii="仿宋_GB2312" w:hAnsi="仿宋_GB2312" w:eastAsia="仿宋_GB2312"/>
          <w:b w:val="0"/>
          <w:sz w:val="32"/>
        </w:rPr>
        <w:t>1.社会保障和就业支出(类)22.06万元,占10.64%。</w:t>
      </w:r>
    </w:p>
    <w:p w14:paraId="15EA011A">
      <w:pPr>
        <w:spacing w:line="580" w:lineRule="exact"/>
        <w:ind w:firstLine="640"/>
        <w:jc w:val="both"/>
      </w:pPr>
      <w:r>
        <w:rPr>
          <w:rFonts w:ascii="仿宋_GB2312" w:hAnsi="仿宋_GB2312" w:eastAsia="仿宋_GB2312"/>
          <w:b w:val="0"/>
          <w:sz w:val="32"/>
        </w:rPr>
        <w:t>2.卫生健康支出(类)9.38万元,占4.52%。</w:t>
      </w:r>
    </w:p>
    <w:p w14:paraId="373665A6">
      <w:pPr>
        <w:spacing w:line="580" w:lineRule="exact"/>
        <w:ind w:firstLine="640"/>
        <w:jc w:val="both"/>
      </w:pPr>
      <w:r>
        <w:rPr>
          <w:rFonts w:ascii="仿宋_GB2312" w:hAnsi="仿宋_GB2312" w:eastAsia="仿宋_GB2312"/>
          <w:b w:val="0"/>
          <w:sz w:val="32"/>
        </w:rPr>
        <w:t>3.农林水支出(类)158.83万元,占76.57%。</w:t>
      </w:r>
    </w:p>
    <w:p w14:paraId="0380357B">
      <w:pPr>
        <w:spacing w:line="580" w:lineRule="exact"/>
        <w:ind w:firstLine="640"/>
        <w:jc w:val="both"/>
      </w:pPr>
      <w:r>
        <w:rPr>
          <w:rFonts w:ascii="仿宋_GB2312" w:hAnsi="仿宋_GB2312" w:eastAsia="仿宋_GB2312"/>
          <w:b w:val="0"/>
          <w:sz w:val="32"/>
        </w:rPr>
        <w:t>4.住房保障支出(类)17.16万元,占8.27%。</w:t>
      </w:r>
    </w:p>
    <w:p w14:paraId="7F0519F8">
      <w:pPr>
        <w:spacing w:line="640" w:lineRule="exact"/>
        <w:ind w:firstLine="640"/>
        <w:jc w:val="both"/>
        <w:outlineLvl w:val="3"/>
      </w:pPr>
      <w:r>
        <w:rPr>
          <w:rFonts w:ascii="楷体_GB2312" w:hAnsi="楷体_GB2312" w:eastAsia="楷体_GB2312"/>
          <w:b/>
          <w:sz w:val="32"/>
        </w:rPr>
        <w:t>（三）一般公共预算财政拨款支出决算具体情况</w:t>
      </w:r>
    </w:p>
    <w:p w14:paraId="4C6899C2">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22.06万元，比上年决算增加9.63万元，增长77.47%,主要原因是：本年在职人员增加，养老缴费基数上涨，养老保险缴费较上年增加。</w:t>
      </w:r>
    </w:p>
    <w:p w14:paraId="6F786126">
      <w:pPr>
        <w:spacing w:line="580" w:lineRule="exact"/>
        <w:ind w:firstLine="640"/>
        <w:jc w:val="both"/>
      </w:pPr>
      <w:r>
        <w:rPr>
          <w:rFonts w:ascii="仿宋_GB2312" w:hAnsi="仿宋_GB2312" w:eastAsia="仿宋_GB2312"/>
          <w:b w:val="0"/>
          <w:sz w:val="32"/>
        </w:rPr>
        <w:t>2.卫生健康支出(类)行政事业单位医疗(款)事业单位医疗(项):支出决算数为9.38万元，比上年决算增加4.10万元，增长77.65%,主要原因是：本年在职人员增加，事业单位医疗基数上涨，事业单位医疗较上年增加。</w:t>
      </w:r>
    </w:p>
    <w:p w14:paraId="71DB5F6E">
      <w:pPr>
        <w:spacing w:line="580" w:lineRule="exact"/>
        <w:ind w:firstLine="640"/>
        <w:jc w:val="both"/>
      </w:pPr>
      <w:r>
        <w:rPr>
          <w:rFonts w:ascii="仿宋_GB2312" w:hAnsi="仿宋_GB2312" w:eastAsia="仿宋_GB2312"/>
          <w:b w:val="0"/>
          <w:sz w:val="32"/>
        </w:rPr>
        <w:t>3.农林水支出(类)农业农村(款)事业运行(项):支出决算数为158.83万元，比上年决算增加15.25万元，增长10.62%,主要原因是：本年新增在职人员，在职人员工资调增，导致经费较上年有所增加。</w:t>
      </w:r>
    </w:p>
    <w:p w14:paraId="07DD1086">
      <w:pPr>
        <w:spacing w:line="580" w:lineRule="exact"/>
        <w:ind w:firstLine="640"/>
        <w:jc w:val="both"/>
      </w:pPr>
      <w:r>
        <w:rPr>
          <w:rFonts w:ascii="仿宋_GB2312" w:hAnsi="仿宋_GB2312" w:eastAsia="仿宋_GB2312"/>
          <w:b w:val="0"/>
          <w:sz w:val="32"/>
        </w:rPr>
        <w:t>4.农林水支出(类)农业农村(款)农产品质量安全(项):支出决算数为0.00万元，比上年决算减少20.00万元，下降100.00%,主要原因是：本年减少农产品质量安全运行经费项目经费，导致相关经费减少。</w:t>
      </w:r>
    </w:p>
    <w:p w14:paraId="71AB5C8F">
      <w:pPr>
        <w:spacing w:line="580" w:lineRule="exact"/>
        <w:ind w:firstLine="640"/>
        <w:jc w:val="both"/>
      </w:pPr>
      <w:r>
        <w:rPr>
          <w:rFonts w:ascii="仿宋_GB2312" w:hAnsi="仿宋_GB2312" w:eastAsia="仿宋_GB2312"/>
          <w:b w:val="0"/>
          <w:sz w:val="32"/>
        </w:rPr>
        <w:t>5.住房保障支出(类)住房改革支出(款)住房公积金(项):支出决算数为17.16万元，比上年决算增加7.71万元，增长81.59%,主要原因是：本年在职人员增加，在职人员工资基数调增，公积金缴费基数上涨，相应支出增加。</w:t>
      </w:r>
    </w:p>
    <w:p w14:paraId="0FBD0FC7">
      <w:pPr>
        <w:spacing w:line="640" w:lineRule="exact"/>
        <w:ind w:firstLine="640"/>
        <w:jc w:val="both"/>
        <w:outlineLvl w:val="2"/>
      </w:pPr>
      <w:r>
        <w:rPr>
          <w:rFonts w:ascii="黑体" w:hAnsi="黑体" w:eastAsia="黑体"/>
          <w:sz w:val="32"/>
        </w:rPr>
        <w:t>六、一般公共预算财政拨款基本支出决算情况说明</w:t>
      </w:r>
    </w:p>
    <w:p w14:paraId="3AEB74C8">
      <w:pPr>
        <w:spacing w:line="580" w:lineRule="exact"/>
        <w:ind w:firstLine="640"/>
        <w:jc w:val="both"/>
      </w:pPr>
      <w:r>
        <w:rPr>
          <w:rFonts w:ascii="仿宋_GB2312" w:hAnsi="仿宋_GB2312" w:eastAsia="仿宋_GB2312"/>
          <w:b w:val="0"/>
          <w:sz w:val="32"/>
        </w:rPr>
        <w:t>2024年度一般公共预算财政拨款基本支出207.42万元，其中：</w:t>
      </w:r>
      <w:r>
        <w:rPr>
          <w:rFonts w:ascii="仿宋_GB2312" w:hAnsi="仿宋_GB2312" w:eastAsia="仿宋_GB2312"/>
          <w:b/>
          <w:sz w:val="32"/>
        </w:rPr>
        <w:t>人员经费203.99万元，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3A907C04">
      <w:pPr>
        <w:spacing w:line="580" w:lineRule="exact"/>
        <w:ind w:firstLine="640"/>
        <w:jc w:val="both"/>
      </w:pPr>
      <w:r>
        <w:rPr>
          <w:rFonts w:ascii="仿宋_GB2312" w:hAnsi="仿宋_GB2312" w:eastAsia="仿宋_GB2312"/>
          <w:b/>
          <w:sz w:val="32"/>
        </w:rPr>
        <w:t>公用经费3.44万元，</w:t>
      </w:r>
      <w:r>
        <w:rPr>
          <w:rFonts w:ascii="仿宋_GB2312" w:hAnsi="仿宋_GB2312" w:eastAsia="仿宋_GB2312"/>
          <w:b w:val="0"/>
          <w:sz w:val="32"/>
        </w:rPr>
        <w:t>包括：办公费、水费、电费、邮电费、差旅费、培训费、其他交通费用。</w:t>
      </w:r>
    </w:p>
    <w:p w14:paraId="7DB82F4F">
      <w:pPr>
        <w:spacing w:line="640" w:lineRule="exact"/>
        <w:ind w:firstLine="640"/>
        <w:jc w:val="both"/>
        <w:outlineLvl w:val="2"/>
      </w:pPr>
      <w:r>
        <w:rPr>
          <w:rFonts w:ascii="黑体" w:hAnsi="黑体" w:eastAsia="黑体"/>
          <w:sz w:val="32"/>
        </w:rPr>
        <w:t>七、政府性基金预算财政拨款收入支出决算情况说明</w:t>
      </w:r>
    </w:p>
    <w:p w14:paraId="38F8AFB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4E30225">
      <w:pPr>
        <w:spacing w:line="640" w:lineRule="exact"/>
        <w:ind w:firstLine="640"/>
        <w:jc w:val="both"/>
        <w:outlineLvl w:val="2"/>
      </w:pPr>
      <w:r>
        <w:rPr>
          <w:rFonts w:ascii="黑体" w:hAnsi="黑体" w:eastAsia="黑体"/>
          <w:sz w:val="32"/>
        </w:rPr>
        <w:t>八、国有资本经营预算财政拨款收入支出决算情况说明</w:t>
      </w:r>
    </w:p>
    <w:p w14:paraId="5ED9FDE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742D8F">
      <w:pPr>
        <w:spacing w:line="640" w:lineRule="exact"/>
        <w:ind w:firstLine="640"/>
        <w:jc w:val="both"/>
        <w:outlineLvl w:val="2"/>
      </w:pPr>
      <w:r>
        <w:rPr>
          <w:rFonts w:ascii="黑体" w:hAnsi="黑体" w:eastAsia="黑体"/>
          <w:sz w:val="32"/>
        </w:rPr>
        <w:t>九、财政拨款“三公”经费支出决算情况说明</w:t>
      </w:r>
    </w:p>
    <w:p w14:paraId="1C8C7C4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0.44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0.44万元，下降100.00%，主要原因是：严格落实中央八项规定精神，厉行节约，减少公务用车运行维护费。公务接待费支出0.00万元，占0.00%，比上年增加0.00万元，增长0.00%，主要原因是：2023年与2024年均未安排公务接待费支出。</w:t>
      </w:r>
    </w:p>
    <w:p w14:paraId="48474D18">
      <w:pPr>
        <w:spacing w:line="580" w:lineRule="exact"/>
        <w:ind w:firstLine="640"/>
        <w:jc w:val="both"/>
      </w:pPr>
      <w:r>
        <w:rPr>
          <w:rFonts w:ascii="仿宋_GB2312" w:hAnsi="仿宋_GB2312" w:eastAsia="仿宋_GB2312"/>
          <w:b/>
          <w:sz w:val="32"/>
        </w:rPr>
        <w:t>具体情况如下：</w:t>
      </w:r>
    </w:p>
    <w:p w14:paraId="634F7E7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E9B4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车辆借</w:t>
      </w:r>
      <w:r>
        <w:rPr>
          <w:rFonts w:hint="eastAsia" w:ascii="仿宋_GB2312" w:hAnsi="仿宋_GB2312" w:eastAsia="仿宋_GB2312"/>
          <w:b w:val="0"/>
          <w:sz w:val="32"/>
          <w:lang w:val="en-US" w:eastAsia="zh-CN"/>
        </w:rPr>
        <w:t>给</w:t>
      </w:r>
      <w:r>
        <w:rPr>
          <w:rFonts w:ascii="仿宋_GB2312" w:hAnsi="仿宋_GB2312" w:eastAsia="仿宋_GB2312"/>
          <w:b w:val="0"/>
          <w:sz w:val="32"/>
        </w:rPr>
        <w:t>其他单位使用，车辆费用由使用单位支付。</w:t>
      </w:r>
    </w:p>
    <w:p w14:paraId="068EB375">
      <w:pPr>
        <w:spacing w:line="580" w:lineRule="exact"/>
        <w:ind w:firstLine="640"/>
        <w:jc w:val="both"/>
      </w:pPr>
      <w:r>
        <w:rPr>
          <w:rFonts w:ascii="仿宋_GB2312" w:hAnsi="仿宋_GB2312" w:eastAsia="仿宋_GB2312"/>
          <w:b w:val="0"/>
          <w:sz w:val="32"/>
        </w:rPr>
        <w:t>公务接待费0.00万元，开支内容包括本单位本年无公务接待费。单位全年安排的国内公务接待0批次，0人次。</w:t>
      </w:r>
    </w:p>
    <w:p w14:paraId="51010CE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财政拨款“三公”经费支出全年预算数1.42万元，决算数0.00万元，预决算差异率-100.00%，主要原因是：严格落实中央八项规定精神，厉行节约，</w:t>
      </w:r>
      <w:r>
        <w:rPr>
          <w:rFonts w:hint="eastAsia" w:ascii="仿宋_GB2312" w:hAnsi="仿宋_GB2312" w:eastAsia="仿宋_GB2312"/>
          <w:b w:val="0"/>
          <w:sz w:val="32"/>
          <w:lang w:val="en-US" w:eastAsia="zh-CN"/>
        </w:rPr>
        <w:t>减少财政拨款“三公”经费</w:t>
      </w:r>
      <w:r>
        <w:rPr>
          <w:rFonts w:ascii="仿宋_GB2312" w:hAnsi="仿宋_GB2312" w:eastAsia="仿宋_GB2312"/>
          <w:b w:val="0"/>
          <w:sz w:val="32"/>
        </w:rPr>
        <w:t>。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0.00万元，预决算差异率-100.00%，主要原因是：严格落实中央八项规定精神，厉行节约，</w:t>
      </w:r>
      <w:r>
        <w:rPr>
          <w:rFonts w:hint="eastAsia" w:ascii="仿宋_GB2312" w:hAnsi="仿宋_GB2312" w:eastAsia="仿宋_GB2312"/>
          <w:b w:val="0"/>
          <w:sz w:val="32"/>
          <w:lang w:val="en-US" w:eastAsia="zh-CN"/>
        </w:rPr>
        <w:t>减少</w:t>
      </w:r>
      <w:bookmarkStart w:id="0" w:name="_GoBack"/>
      <w:bookmarkEnd w:id="0"/>
      <w:r>
        <w:rPr>
          <w:rFonts w:ascii="仿宋_GB2312" w:hAnsi="仿宋_GB2312" w:eastAsia="仿宋_GB2312"/>
          <w:b w:val="0"/>
          <w:sz w:val="32"/>
        </w:rPr>
        <w:t>公务用车</w:t>
      </w:r>
      <w:r>
        <w:rPr>
          <w:rFonts w:hint="eastAsia" w:ascii="仿宋_GB2312" w:hAnsi="仿宋_GB2312" w:eastAsia="仿宋_GB2312"/>
          <w:b w:val="0"/>
          <w:sz w:val="32"/>
          <w:lang w:val="en-US" w:eastAsia="zh-CN"/>
        </w:rPr>
        <w:t>运行维护费</w:t>
      </w:r>
      <w:r>
        <w:rPr>
          <w:rFonts w:ascii="仿宋_GB2312" w:hAnsi="仿宋_GB2312" w:eastAsia="仿宋_GB2312"/>
          <w:b w:val="0"/>
          <w:sz w:val="32"/>
        </w:rPr>
        <w:t>。公务接待费全年预算数0.00万元，决算数0.00万元，预决算差异率0.00%，主要原因是：本单位无公务接待费。</w:t>
      </w:r>
    </w:p>
    <w:p w14:paraId="79032962">
      <w:pPr>
        <w:spacing w:line="640" w:lineRule="exact"/>
        <w:ind w:firstLine="640"/>
        <w:jc w:val="both"/>
        <w:outlineLvl w:val="2"/>
      </w:pPr>
      <w:r>
        <w:rPr>
          <w:rFonts w:ascii="黑体" w:hAnsi="黑体" w:eastAsia="黑体"/>
          <w:sz w:val="32"/>
        </w:rPr>
        <w:t>十、其他重要事项的情况说明</w:t>
      </w:r>
    </w:p>
    <w:p w14:paraId="5204649F">
      <w:pPr>
        <w:spacing w:line="640" w:lineRule="exact"/>
        <w:ind w:firstLine="640"/>
        <w:jc w:val="both"/>
        <w:outlineLvl w:val="3"/>
      </w:pPr>
      <w:r>
        <w:rPr>
          <w:rFonts w:ascii="楷体_GB2312" w:hAnsi="楷体_GB2312" w:eastAsia="楷体_GB2312"/>
          <w:b/>
          <w:sz w:val="32"/>
        </w:rPr>
        <w:t>（一）机关运行经费及公用经费支出情况</w:t>
      </w:r>
    </w:p>
    <w:p w14:paraId="0431E759">
      <w:pPr>
        <w:spacing w:line="580" w:lineRule="exact"/>
        <w:ind w:firstLine="640"/>
        <w:jc w:val="both"/>
      </w:pPr>
      <w:r>
        <w:rPr>
          <w:rFonts w:ascii="仿宋_GB2312" w:hAnsi="仿宋_GB2312" w:eastAsia="仿宋_GB2312"/>
          <w:b w:val="0"/>
          <w:sz w:val="32"/>
        </w:rPr>
        <w:t>2024年度叶城县农产品质量安全检验检测中心（事业单位）公用经费支出3.44万元，比上年增加1.19万元，增长52.89%，主要原因是：本年度在职人员增加，公用经费增加。</w:t>
      </w:r>
    </w:p>
    <w:p w14:paraId="40584373">
      <w:pPr>
        <w:spacing w:line="640" w:lineRule="exact"/>
        <w:ind w:firstLine="640"/>
        <w:jc w:val="both"/>
        <w:outlineLvl w:val="3"/>
      </w:pPr>
      <w:r>
        <w:rPr>
          <w:rFonts w:ascii="楷体_GB2312" w:hAnsi="楷体_GB2312" w:eastAsia="楷体_GB2312"/>
          <w:b/>
          <w:sz w:val="32"/>
        </w:rPr>
        <w:t>（二）政府采购情况</w:t>
      </w:r>
    </w:p>
    <w:p w14:paraId="2E5DE452">
      <w:pPr>
        <w:spacing w:line="580" w:lineRule="exact"/>
        <w:ind w:firstLine="640"/>
        <w:jc w:val="both"/>
      </w:pPr>
      <w:r>
        <w:rPr>
          <w:rFonts w:ascii="仿宋_GB2312" w:hAnsi="仿宋_GB2312" w:eastAsia="仿宋_GB2312"/>
          <w:b w:val="0"/>
          <w:sz w:val="32"/>
        </w:rPr>
        <w:t>2024年度政府采购支出总额20.82万元，其中：政府采购货物支出18.19万元、政府采购工程支出0.00万元、政府采购服务支出2.63万元。</w:t>
      </w:r>
    </w:p>
    <w:p w14:paraId="3E82CCB5">
      <w:pPr>
        <w:spacing w:line="580" w:lineRule="exact"/>
        <w:ind w:firstLine="640"/>
        <w:jc w:val="both"/>
      </w:pPr>
      <w:r>
        <w:rPr>
          <w:rFonts w:ascii="仿宋_GB2312" w:hAnsi="仿宋_GB2312" w:eastAsia="仿宋_GB2312"/>
          <w:b w:val="0"/>
          <w:sz w:val="32"/>
        </w:rPr>
        <w:t>授予中小企业合同金额20.82万元，占政府采购支出总额的100.00%，其中：授予小微企业合同金额7.14万元，占政府采购支出总额的34.29%。</w:t>
      </w:r>
    </w:p>
    <w:p w14:paraId="115F6844">
      <w:pPr>
        <w:spacing w:line="640" w:lineRule="exact"/>
        <w:ind w:firstLine="640"/>
        <w:jc w:val="both"/>
        <w:outlineLvl w:val="3"/>
      </w:pPr>
      <w:r>
        <w:rPr>
          <w:rFonts w:ascii="楷体_GB2312" w:hAnsi="楷体_GB2312" w:eastAsia="楷体_GB2312"/>
          <w:b/>
          <w:sz w:val="32"/>
        </w:rPr>
        <w:t>（三）国有资产占用情况说明</w:t>
      </w:r>
    </w:p>
    <w:p w14:paraId="6A20F9DA">
      <w:pPr>
        <w:spacing w:line="580" w:lineRule="exact"/>
        <w:ind w:firstLine="640"/>
        <w:jc w:val="both"/>
      </w:pPr>
      <w:r>
        <w:rPr>
          <w:rFonts w:ascii="仿宋_GB2312" w:hAnsi="仿宋_GB2312" w:eastAsia="仿宋_GB2312"/>
          <w:b w:val="0"/>
          <w:sz w:val="32"/>
        </w:rPr>
        <w:t>截至2024年12月31日，房屋0.00平方米，价值0.00万元。车辆1辆，价值18.00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3台（套）。</w:t>
      </w:r>
    </w:p>
    <w:p w14:paraId="05F9CE4F">
      <w:pPr>
        <w:spacing w:line="640" w:lineRule="exact"/>
        <w:ind w:firstLine="640"/>
        <w:jc w:val="both"/>
        <w:outlineLvl w:val="2"/>
      </w:pPr>
      <w:r>
        <w:rPr>
          <w:rFonts w:ascii="黑体" w:hAnsi="黑体" w:eastAsia="黑体"/>
          <w:sz w:val="32"/>
        </w:rPr>
        <w:t>十一、预算绩效的情况说明</w:t>
      </w:r>
    </w:p>
    <w:p w14:paraId="2E7432E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207.42万元，实际执行总额207.42万元；预算绩效评价项目1个，全年预算数20.00万元，全年执行数20.00万元。预算绩效管理取得的成效：一是本项目能够严格按照项目实施方案执行，项目执行情况较好；二是加强组织领导，本项目绩效评价工作，有县政府主要领导亲自挂帅，分管县领导具体负责，从项目到资金，均能够很</w:t>
      </w:r>
      <w:r>
        <w:rPr>
          <w:rFonts w:hint="eastAsia" w:ascii="仿宋_GB2312" w:hAnsi="仿宋_GB2312" w:eastAsia="仿宋_GB2312"/>
          <w:b w:val="0"/>
          <w:sz w:val="32"/>
          <w:lang w:eastAsia="zh-CN"/>
        </w:rPr>
        <w:t>好地</w:t>
      </w:r>
      <w:r>
        <w:rPr>
          <w:rFonts w:ascii="仿宋_GB2312" w:hAnsi="仿宋_GB2312" w:eastAsia="仿宋_GB2312"/>
          <w:b w:val="0"/>
          <w:sz w:val="32"/>
        </w:rPr>
        <w:t>执行；三是加强沟通协调，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二是项目评价资料有待进一步完善；三是通过绩效管理，发现实施中存在漏洞，以后加强管理，及时掌握与之相关的各类信息，减少成本，使资金效益最大化；四是评价工作应从项目实施方案源头抓起，评价工作和意识应贯穿项目整个过程。具体附整体支出绩效自评表，项目支出绩效自评表和评价报告。</w:t>
      </w:r>
    </w:p>
    <w:p w14:paraId="2C49D7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9D485B">
        <w:tblPrEx>
          <w:tblCellMar>
            <w:top w:w="0" w:type="dxa"/>
            <w:left w:w="108" w:type="dxa"/>
            <w:bottom w:w="0" w:type="dxa"/>
            <w:right w:w="108" w:type="dxa"/>
          </w:tblCellMar>
        </w:tblPrEx>
        <w:tc>
          <w:tcPr>
            <w:tcW w:w="8847" w:type="dxa"/>
            <w:gridSpan w:val="9"/>
            <w:vAlign w:val="center"/>
          </w:tcPr>
          <w:p w14:paraId="21C63C9B">
            <w:pPr>
              <w:jc w:val="center"/>
            </w:pPr>
            <w:r>
              <w:rPr>
                <w:rFonts w:ascii="宋体" w:hAnsi="宋体" w:eastAsia="宋体"/>
                <w:sz w:val="24"/>
              </w:rPr>
              <w:t>单位整体支出绩效自评表</w:t>
            </w:r>
          </w:p>
        </w:tc>
      </w:tr>
      <w:tr w14:paraId="7D17085C">
        <w:tblPrEx>
          <w:tblCellMar>
            <w:top w:w="0" w:type="dxa"/>
            <w:left w:w="108" w:type="dxa"/>
            <w:bottom w:w="0" w:type="dxa"/>
            <w:right w:w="108" w:type="dxa"/>
          </w:tblCellMar>
        </w:tblPrEx>
        <w:tc>
          <w:tcPr>
            <w:tcW w:w="8847" w:type="dxa"/>
            <w:gridSpan w:val="9"/>
            <w:vAlign w:val="center"/>
          </w:tcPr>
          <w:p w14:paraId="32DBEB7F">
            <w:pPr>
              <w:jc w:val="center"/>
            </w:pPr>
            <w:r>
              <w:rPr>
                <w:rFonts w:ascii="宋体" w:hAnsi="宋体" w:eastAsia="宋体"/>
                <w:sz w:val="24"/>
              </w:rPr>
              <w:t>（2024年度）</w:t>
            </w:r>
          </w:p>
        </w:tc>
      </w:tr>
      <w:tr w14:paraId="03D514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E111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8A4158">
            <w:pPr>
              <w:jc w:val="center"/>
            </w:pPr>
            <w:r>
              <w:rPr>
                <w:rFonts w:ascii="宋体" w:hAnsi="宋体" w:eastAsia="宋体"/>
                <w:sz w:val="16"/>
              </w:rPr>
              <w:t>叶城县农产品质量安全检验检测中心</w:t>
            </w:r>
          </w:p>
        </w:tc>
      </w:tr>
      <w:tr w14:paraId="76872C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A653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E93A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0B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AF32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B5B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A1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4625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CE8F">
            <w:pPr>
              <w:jc w:val="center"/>
            </w:pPr>
            <w:r>
              <w:rPr>
                <w:rFonts w:ascii="宋体" w:hAnsi="宋体" w:eastAsia="宋体"/>
                <w:sz w:val="16"/>
              </w:rPr>
              <w:t>得分</w:t>
            </w:r>
          </w:p>
        </w:tc>
      </w:tr>
      <w:tr w14:paraId="6B3B2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5B3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A591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6D426">
            <w:pPr>
              <w:jc w:val="center"/>
            </w:pPr>
            <w:r>
              <w:rPr>
                <w:rFonts w:ascii="宋体" w:hAnsi="宋体" w:eastAsia="宋体"/>
                <w:sz w:val="16"/>
              </w:rPr>
              <w:t>201.94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A1C5">
            <w:pPr>
              <w:jc w:val="center"/>
            </w:pPr>
            <w:r>
              <w:rPr>
                <w:rFonts w:ascii="宋体" w:hAnsi="宋体" w:eastAsia="宋体"/>
                <w:sz w:val="16"/>
              </w:rPr>
              <w:t>207.42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F3F17">
            <w:pPr>
              <w:jc w:val="center"/>
            </w:pPr>
            <w:r>
              <w:rPr>
                <w:rFonts w:ascii="宋体" w:hAnsi="宋体" w:eastAsia="宋体"/>
                <w:sz w:val="16"/>
              </w:rPr>
              <w:t>207.42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B5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BC31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51D00">
            <w:pPr>
              <w:jc w:val="center"/>
            </w:pPr>
            <w:r>
              <w:rPr>
                <w:rFonts w:ascii="宋体" w:hAnsi="宋体" w:eastAsia="宋体"/>
                <w:sz w:val="16"/>
              </w:rPr>
              <w:t>10</w:t>
            </w:r>
          </w:p>
        </w:tc>
      </w:tr>
      <w:tr w14:paraId="07BB2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642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627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87E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23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F1F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F2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13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CC3E">
            <w:pPr>
              <w:jc w:val="center"/>
            </w:pPr>
            <w:r>
              <w:rPr>
                <w:rFonts w:ascii="宋体" w:hAnsi="宋体" w:eastAsia="宋体"/>
                <w:sz w:val="16"/>
              </w:rPr>
              <w:t>—</w:t>
            </w:r>
          </w:p>
        </w:tc>
      </w:tr>
      <w:tr w14:paraId="09E534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056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8EB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C66BC">
            <w:pPr>
              <w:jc w:val="center"/>
            </w:pPr>
            <w:r>
              <w:rPr>
                <w:rFonts w:ascii="宋体" w:hAnsi="宋体" w:eastAsia="宋体"/>
                <w:sz w:val="16"/>
              </w:rPr>
              <w:t>201.94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B2E9">
            <w:pPr>
              <w:jc w:val="center"/>
            </w:pPr>
            <w:r>
              <w:rPr>
                <w:rFonts w:ascii="宋体" w:hAnsi="宋体" w:eastAsia="宋体"/>
                <w:sz w:val="16"/>
              </w:rPr>
              <w:t>207.42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F63D">
            <w:pPr>
              <w:jc w:val="center"/>
            </w:pPr>
            <w:r>
              <w:rPr>
                <w:rFonts w:ascii="宋体" w:hAnsi="宋体" w:eastAsia="宋体"/>
                <w:sz w:val="16"/>
              </w:rPr>
              <w:t>207.42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A5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B11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8A5D">
            <w:pPr>
              <w:jc w:val="center"/>
            </w:pPr>
            <w:r>
              <w:rPr>
                <w:rFonts w:ascii="宋体" w:hAnsi="宋体" w:eastAsia="宋体"/>
                <w:sz w:val="16"/>
              </w:rPr>
              <w:t>—</w:t>
            </w:r>
          </w:p>
        </w:tc>
      </w:tr>
      <w:tr w14:paraId="05253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C4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DECF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2F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8F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415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9CC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F6BF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462E">
            <w:pPr>
              <w:jc w:val="center"/>
            </w:pPr>
            <w:r>
              <w:rPr>
                <w:rFonts w:ascii="宋体" w:hAnsi="宋体" w:eastAsia="宋体"/>
                <w:sz w:val="16"/>
              </w:rPr>
              <w:t>—</w:t>
            </w:r>
          </w:p>
        </w:tc>
      </w:tr>
      <w:tr w14:paraId="0A5E83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16E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1E5E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5210FF">
            <w:pPr>
              <w:jc w:val="center"/>
            </w:pPr>
            <w:r>
              <w:rPr>
                <w:rFonts w:ascii="宋体" w:hAnsi="宋体" w:eastAsia="宋体"/>
                <w:sz w:val="16"/>
              </w:rPr>
              <w:t>实际完成情况</w:t>
            </w:r>
          </w:p>
        </w:tc>
      </w:tr>
      <w:tr w14:paraId="573FF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E69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59592">
            <w:pPr>
              <w:jc w:val="both"/>
            </w:pPr>
            <w:r>
              <w:rPr>
                <w:rFonts w:ascii="宋体" w:hAnsi="宋体" w:eastAsia="宋体"/>
                <w:sz w:val="16"/>
              </w:rPr>
              <w:t>贯彻执行上级有关农产品质量安全的法律，法规；负责县级，监督抽查等日常监督检验；负责农产品的产地环境监测，对农业投入品的质量检验，产品质量分级分等的检验；开展农产品质量安全标准的宣传普及和检测技术的培训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7627D">
            <w:pPr>
              <w:jc w:val="both"/>
            </w:pPr>
            <w:r>
              <w:rPr>
                <w:rFonts w:ascii="宋体" w:hAnsi="宋体" w:eastAsia="宋体"/>
                <w:sz w:val="16"/>
              </w:rPr>
              <w:t>截至2024年12月31日，2024 年以来，检测中心按照地区农产品质量安全监管工作要求，正常开展农产品风险监测工作，按照农产品质量安全“四个最严”要求，积极开展农产品质量安全法治宣传工作，坚定立场，不负使命，积极发挥县级检测中心农产品质量安全监管作用、提供绿色食品、名特优新产品申报服务，做好跟踪指导、开展农产品质量安全宣讲，让农产品种管销参与者更加懂法守法、对标对表查差距，主动学习提高检测能力，基本通过扩项考核。主要实现检测参数达到137个、组织开展培训场次4次。</w:t>
            </w:r>
          </w:p>
        </w:tc>
      </w:tr>
      <w:tr w14:paraId="598708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5BE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4A5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42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C295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D30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D0A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B93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0AB2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C07D4">
            <w:pPr>
              <w:jc w:val="center"/>
            </w:pPr>
            <w:r>
              <w:rPr>
                <w:rFonts w:ascii="宋体" w:hAnsi="宋体" w:eastAsia="宋体"/>
                <w:sz w:val="16"/>
              </w:rPr>
              <w:t>得分</w:t>
            </w:r>
          </w:p>
        </w:tc>
      </w:tr>
      <w:tr w14:paraId="1297DF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6E21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334E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74C69">
            <w:pPr>
              <w:jc w:val="center"/>
            </w:pPr>
            <w:r>
              <w:rPr>
                <w:rFonts w:ascii="宋体" w:hAnsi="宋体" w:eastAsia="宋体"/>
                <w:sz w:val="16"/>
              </w:rPr>
              <w:t>实现检测参数达到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6F0C">
            <w:pPr>
              <w:jc w:val="center"/>
            </w:pPr>
            <w:r>
              <w:rPr>
                <w:rFonts w:ascii="宋体" w:hAnsi="宋体" w:eastAsia="宋体"/>
                <w:sz w:val="16"/>
              </w:rPr>
              <w:t>=136个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5D59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D00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1A9F5">
            <w:pPr>
              <w:jc w:val="center"/>
            </w:pPr>
            <w:r>
              <w:rPr>
                <w:rFonts w:ascii="宋体" w:hAnsi="宋体" w:eastAsia="宋体"/>
                <w:sz w:val="16"/>
              </w:rPr>
              <w:t>137个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A82F">
            <w:pPr>
              <w:jc w:val="center"/>
            </w:pPr>
            <w:r>
              <w:rPr>
                <w:rFonts w:ascii="宋体" w:hAnsi="宋体" w:eastAsia="宋体"/>
                <w:sz w:val="16"/>
              </w:rPr>
              <w:t>100.73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FB68">
            <w:pPr>
              <w:jc w:val="center"/>
            </w:pPr>
            <w:r>
              <w:rPr>
                <w:rFonts w:ascii="宋体" w:hAnsi="宋体" w:eastAsia="宋体"/>
                <w:sz w:val="16"/>
              </w:rPr>
              <w:t>18</w:t>
            </w:r>
          </w:p>
        </w:tc>
      </w:tr>
      <w:tr w14:paraId="5BE32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81C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426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8573">
            <w:pPr>
              <w:jc w:val="center"/>
            </w:pPr>
            <w:r>
              <w:rPr>
                <w:rFonts w:ascii="宋体" w:hAnsi="宋体" w:eastAsia="宋体"/>
                <w:sz w:val="16"/>
              </w:rPr>
              <w:t>组织开展培训场次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FF18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148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FAF1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01E3">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13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45B6C">
            <w:pPr>
              <w:jc w:val="center"/>
            </w:pPr>
            <w:r>
              <w:rPr>
                <w:rFonts w:ascii="宋体" w:hAnsi="宋体" w:eastAsia="宋体"/>
                <w:sz w:val="16"/>
              </w:rPr>
              <w:t>18</w:t>
            </w:r>
          </w:p>
        </w:tc>
      </w:tr>
      <w:tr w14:paraId="71A610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7F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E7F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ED52">
            <w:pPr>
              <w:jc w:val="center"/>
            </w:pPr>
            <w:r>
              <w:rPr>
                <w:rFonts w:ascii="宋体" w:hAnsi="宋体" w:eastAsia="宋体"/>
                <w:sz w:val="16"/>
              </w:rPr>
              <w:t>农产品年抽检量达到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193C">
            <w:pPr>
              <w:jc w:val="center"/>
            </w:pPr>
            <w:r>
              <w:rPr>
                <w:rFonts w:ascii="宋体" w:hAnsi="宋体" w:eastAsia="宋体"/>
                <w:sz w:val="16"/>
              </w:rPr>
              <w:t>=1.50批次/千人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0FBF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0FE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ED2F">
            <w:pPr>
              <w:jc w:val="center"/>
            </w:pPr>
            <w:r>
              <w:rPr>
                <w:rFonts w:ascii="宋体" w:hAnsi="宋体" w:eastAsia="宋体"/>
                <w:sz w:val="16"/>
              </w:rPr>
              <w:t>1.50批次/千人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E79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24166">
            <w:pPr>
              <w:jc w:val="center"/>
            </w:pPr>
            <w:r>
              <w:rPr>
                <w:rFonts w:ascii="宋体" w:hAnsi="宋体" w:eastAsia="宋体"/>
                <w:sz w:val="16"/>
              </w:rPr>
              <w:t>18</w:t>
            </w:r>
          </w:p>
        </w:tc>
      </w:tr>
      <w:tr w14:paraId="39560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4B6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829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1D13">
            <w:pPr>
              <w:jc w:val="center"/>
            </w:pPr>
            <w:r>
              <w:rPr>
                <w:rFonts w:ascii="宋体" w:hAnsi="宋体" w:eastAsia="宋体"/>
                <w:sz w:val="16"/>
              </w:rPr>
              <w:t>保障单位在职人员数量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E2098">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02A1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0174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266B">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FC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644F">
            <w:pPr>
              <w:jc w:val="center"/>
            </w:pPr>
            <w:r>
              <w:rPr>
                <w:rFonts w:ascii="宋体" w:hAnsi="宋体" w:eastAsia="宋体"/>
                <w:sz w:val="16"/>
              </w:rPr>
              <w:t>18</w:t>
            </w:r>
          </w:p>
        </w:tc>
      </w:tr>
      <w:tr w14:paraId="47726D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30F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7D4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F542">
            <w:pPr>
              <w:jc w:val="center"/>
            </w:pPr>
            <w:r>
              <w:rPr>
                <w:rFonts w:ascii="宋体" w:hAnsi="宋体" w:eastAsia="宋体"/>
                <w:sz w:val="16"/>
              </w:rPr>
              <w:t>监测总体合格率达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56B4D">
            <w:pPr>
              <w:jc w:val="center"/>
            </w:pPr>
            <w:r>
              <w:rPr>
                <w:rFonts w:ascii="宋体" w:hAnsi="宋体" w:eastAsia="宋体"/>
                <w:sz w:val="16"/>
              </w:rPr>
              <w:t>&gt;=97%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3DD8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F5FB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6031">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A12DC">
            <w:pPr>
              <w:jc w:val="center"/>
            </w:pPr>
            <w:r>
              <w:rPr>
                <w:rFonts w:ascii="宋体" w:hAnsi="宋体" w:eastAsia="宋体"/>
                <w:sz w:val="16"/>
              </w:rPr>
              <w:t>101.03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31CA">
            <w:pPr>
              <w:jc w:val="center"/>
            </w:pPr>
            <w:r>
              <w:rPr>
                <w:rFonts w:ascii="宋体" w:hAnsi="宋体" w:eastAsia="宋体"/>
                <w:sz w:val="16"/>
              </w:rPr>
              <w:t>18</w:t>
            </w:r>
          </w:p>
        </w:tc>
      </w:tr>
    </w:tbl>
    <w:p w14:paraId="40FD2B27">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96"/>
        <w:gridCol w:w="776"/>
        <w:gridCol w:w="614"/>
        <w:gridCol w:w="776"/>
        <w:gridCol w:w="620"/>
        <w:gridCol w:w="614"/>
        <w:gridCol w:w="620"/>
        <w:gridCol w:w="631"/>
        <w:gridCol w:w="632"/>
        <w:gridCol w:w="598"/>
        <w:gridCol w:w="631"/>
      </w:tblGrid>
      <w:tr w14:paraId="1BACBA07">
        <w:tblPrEx>
          <w:tblCellMar>
            <w:top w:w="0" w:type="dxa"/>
            <w:left w:w="108" w:type="dxa"/>
            <w:bottom w:w="0" w:type="dxa"/>
            <w:right w:w="108" w:type="dxa"/>
          </w:tblCellMar>
        </w:tblPrEx>
        <w:tc>
          <w:tcPr>
            <w:tcW w:w="8848" w:type="dxa"/>
            <w:gridSpan w:val="14"/>
            <w:vAlign w:val="center"/>
          </w:tcPr>
          <w:p w14:paraId="5A9D5D85">
            <w:pPr>
              <w:jc w:val="center"/>
            </w:pPr>
            <w:r>
              <w:rPr>
                <w:rFonts w:ascii="宋体" w:hAnsi="宋体" w:eastAsia="宋体"/>
                <w:sz w:val="24"/>
              </w:rPr>
              <w:t>项目支出绩效自评表</w:t>
            </w:r>
          </w:p>
        </w:tc>
      </w:tr>
      <w:tr w14:paraId="1434AA13">
        <w:tblPrEx>
          <w:tblCellMar>
            <w:top w:w="0" w:type="dxa"/>
            <w:left w:w="108" w:type="dxa"/>
            <w:bottom w:w="0" w:type="dxa"/>
            <w:right w:w="108" w:type="dxa"/>
          </w:tblCellMar>
        </w:tblPrEx>
        <w:tc>
          <w:tcPr>
            <w:tcW w:w="8848" w:type="dxa"/>
            <w:gridSpan w:val="14"/>
            <w:vAlign w:val="center"/>
          </w:tcPr>
          <w:p w14:paraId="607668BB">
            <w:pPr>
              <w:jc w:val="center"/>
            </w:pPr>
            <w:r>
              <w:rPr>
                <w:rFonts w:ascii="宋体" w:hAnsi="宋体" w:eastAsia="宋体"/>
                <w:sz w:val="24"/>
              </w:rPr>
              <w:t>(2024年度)</w:t>
            </w:r>
          </w:p>
        </w:tc>
      </w:tr>
      <w:tr w14:paraId="7FC2BE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C3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694108">
            <w:pPr>
              <w:jc w:val="center"/>
            </w:pPr>
            <w:r>
              <w:rPr>
                <w:rFonts w:ascii="宋体" w:hAnsi="宋体" w:eastAsia="宋体"/>
                <w:sz w:val="16"/>
              </w:rPr>
              <w:t>农产品质量检测中心运转经费项目</w:t>
            </w:r>
          </w:p>
        </w:tc>
      </w:tr>
      <w:tr w14:paraId="2D054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23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DDEB5">
            <w:pPr>
              <w:jc w:val="center"/>
            </w:pPr>
            <w:r>
              <w:rPr>
                <w:rFonts w:ascii="宋体" w:hAnsi="宋体" w:eastAsia="宋体"/>
                <w:sz w:val="16"/>
              </w:rPr>
              <w:t>叶城县农产品质量安全检验检测中心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B7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9B6C0">
            <w:pPr>
              <w:jc w:val="center"/>
            </w:pPr>
            <w:r>
              <w:rPr>
                <w:rFonts w:ascii="宋体" w:hAnsi="宋体" w:eastAsia="宋体"/>
                <w:sz w:val="16"/>
              </w:rPr>
              <w:t>叶城县农产品质量安全检验检测中心</w:t>
            </w:r>
          </w:p>
        </w:tc>
      </w:tr>
      <w:tr w14:paraId="77F01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EF8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9EA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C6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341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780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BBE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89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5D1A">
            <w:pPr>
              <w:jc w:val="center"/>
            </w:pPr>
            <w:r>
              <w:rPr>
                <w:rFonts w:ascii="宋体" w:hAnsi="宋体" w:eastAsia="宋体"/>
                <w:sz w:val="16"/>
              </w:rPr>
              <w:t>得分</w:t>
            </w:r>
          </w:p>
        </w:tc>
      </w:tr>
      <w:tr w14:paraId="1BD9A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18F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44B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61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D8A6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53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EC5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3A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2CBA">
            <w:pPr>
              <w:jc w:val="center"/>
            </w:pPr>
            <w:r>
              <w:rPr>
                <w:rFonts w:ascii="宋体" w:hAnsi="宋体" w:eastAsia="宋体"/>
                <w:sz w:val="16"/>
              </w:rPr>
              <w:t>10.00分</w:t>
            </w:r>
          </w:p>
        </w:tc>
      </w:tr>
      <w:tr w14:paraId="27364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42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83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311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3ECB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3ED3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67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5F6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C189">
            <w:pPr>
              <w:jc w:val="center"/>
            </w:pPr>
            <w:r>
              <w:rPr>
                <w:rFonts w:ascii="宋体" w:hAnsi="宋体" w:eastAsia="宋体"/>
                <w:sz w:val="16"/>
              </w:rPr>
              <w:t>—</w:t>
            </w:r>
          </w:p>
        </w:tc>
      </w:tr>
      <w:tr w14:paraId="7D99F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BB4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20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42D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98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D4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9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152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98ED">
            <w:pPr>
              <w:jc w:val="center"/>
            </w:pPr>
            <w:r>
              <w:rPr>
                <w:rFonts w:ascii="宋体" w:hAnsi="宋体" w:eastAsia="宋体"/>
                <w:sz w:val="16"/>
              </w:rPr>
              <w:t>—</w:t>
            </w:r>
          </w:p>
        </w:tc>
      </w:tr>
      <w:tr w14:paraId="149865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66D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07D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982336">
            <w:pPr>
              <w:jc w:val="center"/>
            </w:pPr>
            <w:r>
              <w:rPr>
                <w:rFonts w:ascii="宋体" w:hAnsi="宋体" w:eastAsia="宋体"/>
                <w:sz w:val="16"/>
              </w:rPr>
              <w:t>实际完成情况</w:t>
            </w:r>
          </w:p>
        </w:tc>
      </w:tr>
      <w:tr w14:paraId="1C41C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45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48CC6">
            <w:pPr>
              <w:jc w:val="both"/>
            </w:pPr>
            <w:r>
              <w:rPr>
                <w:rFonts w:ascii="宋体" w:hAnsi="宋体" w:eastAsia="宋体"/>
                <w:sz w:val="16"/>
              </w:rPr>
              <w:t>农产品质量安全检验检测中心运转经费项目总投资20万元。其中化验室水电气费1.2万元，化验试剂耗材费 16.8万元，打印报告耗材费1万元，实验室安防器材更换1万元，合计20万元。对农产品的农药残留情况进行更加全面的检测，在检测技术和能力方面进行升级，满足农产品质量安全监管的现实需要，更加准确、科学、全面地为农产品质量安全监管提供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0F261">
            <w:pPr>
              <w:jc w:val="both"/>
            </w:pPr>
            <w:r>
              <w:rPr>
                <w:rFonts w:hint="eastAsia" w:ascii="宋体" w:hAnsi="宋体"/>
                <w:sz w:val="16"/>
                <w:lang w:eastAsia="zh-CN"/>
              </w:rPr>
              <w:t>截至</w:t>
            </w:r>
            <w:r>
              <w:rPr>
                <w:rFonts w:ascii="宋体" w:hAnsi="宋体" w:eastAsia="宋体"/>
                <w:sz w:val="16"/>
              </w:rPr>
              <w:t>2024年12月31日，该项目总资金20万元，到位资金20万元，实际支出20万元，执行率100%。项目已完成化验室水电气费1.2万元，化验试剂耗材费16.8万元，打印报告耗材费1万元，实验室安防器材更换1万元，合计20万元,资金分配准确率100%。对农产品的农药残留情况进行更加全面的检测，在检测技术和能力方面进行升级，满足农产品质量安全监管的现实需要，更加准确、科学、全面地为农产品质量安全监管提供依据。</w:t>
            </w:r>
          </w:p>
        </w:tc>
      </w:tr>
      <w:tr w14:paraId="3AA25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75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F0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66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16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E7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8C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ED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E1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79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A9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5E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28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74B8">
            <w:pPr>
              <w:jc w:val="center"/>
            </w:pPr>
            <w:r>
              <w:rPr>
                <w:rFonts w:ascii="宋体" w:hAnsi="宋体" w:eastAsia="宋体"/>
                <w:sz w:val="16"/>
              </w:rPr>
              <w:t>偏差原因分析及改进措施</w:t>
            </w:r>
          </w:p>
        </w:tc>
      </w:tr>
      <w:tr w14:paraId="12FAC9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8B8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36B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CCD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E97A">
            <w:pPr>
              <w:jc w:val="center"/>
            </w:pPr>
            <w:r>
              <w:rPr>
                <w:rFonts w:ascii="宋体" w:hAnsi="宋体" w:eastAsia="宋体"/>
                <w:sz w:val="16"/>
              </w:rPr>
              <w:t>购买打印耗材（批）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3BB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C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AC7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2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82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3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83A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5E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C977">
            <w:pPr>
              <w:jc w:val="center"/>
            </w:pPr>
          </w:p>
        </w:tc>
      </w:tr>
      <w:tr w14:paraId="6746C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C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A6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19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FD21">
            <w:pPr>
              <w:jc w:val="center"/>
            </w:pPr>
            <w:r>
              <w:rPr>
                <w:rFonts w:ascii="宋体" w:hAnsi="宋体" w:eastAsia="宋体"/>
                <w:sz w:val="16"/>
              </w:rPr>
              <w:t>购买化验试剂耗材（批）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161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9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A90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4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24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1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7F1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732B">
            <w:pPr>
              <w:jc w:val="center"/>
            </w:pPr>
          </w:p>
        </w:tc>
      </w:tr>
      <w:tr w14:paraId="719C1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E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DB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35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EE6C">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4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F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D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2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5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D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E5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2F376">
            <w:pPr>
              <w:jc w:val="center"/>
            </w:pPr>
          </w:p>
        </w:tc>
      </w:tr>
      <w:tr w14:paraId="2A643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55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FE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D3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630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20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E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9E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46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69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4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78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6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8626">
            <w:pPr>
              <w:jc w:val="center"/>
            </w:pPr>
          </w:p>
        </w:tc>
      </w:tr>
      <w:tr w14:paraId="2FDAA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592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792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48E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0AFF">
            <w:pPr>
              <w:jc w:val="center"/>
            </w:pPr>
            <w:r>
              <w:rPr>
                <w:rFonts w:ascii="宋体" w:hAnsi="宋体" w:eastAsia="宋体"/>
                <w:sz w:val="16"/>
              </w:rPr>
              <w:t>化验室水电气费（万元）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5BF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0B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C53B">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7A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6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48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614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4C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AA0D">
            <w:pPr>
              <w:jc w:val="center"/>
            </w:pPr>
          </w:p>
        </w:tc>
      </w:tr>
      <w:tr w14:paraId="2F8DF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6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9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A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F0B5">
            <w:pPr>
              <w:jc w:val="center"/>
            </w:pPr>
            <w:r>
              <w:rPr>
                <w:rFonts w:ascii="宋体" w:hAnsi="宋体" w:eastAsia="宋体"/>
                <w:sz w:val="16"/>
              </w:rPr>
              <w:t>化验试剂耗材费（万元）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E281">
            <w:pPr>
              <w:jc w:val="center"/>
            </w:pPr>
            <w:r>
              <w:rPr>
                <w:rFonts w:ascii="宋体" w:hAnsi="宋体" w:eastAsia="宋体"/>
                <w:sz w:val="16"/>
              </w:rPr>
              <w:t>&lt;=16.80万元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61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18B3">
            <w:pPr>
              <w:jc w:val="center"/>
            </w:pPr>
            <w:r>
              <w:rPr>
                <w:rFonts w:ascii="宋体" w:hAnsi="宋体" w:eastAsia="宋体"/>
                <w:sz w:val="16"/>
              </w:rPr>
              <w:t>&lt;=16.08万元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55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A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17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FF34">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6E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1C5A">
            <w:pPr>
              <w:jc w:val="center"/>
            </w:pPr>
          </w:p>
        </w:tc>
      </w:tr>
      <w:tr w14:paraId="63361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6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10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4E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8502">
            <w:pPr>
              <w:jc w:val="center"/>
            </w:pPr>
            <w:r>
              <w:rPr>
                <w:rFonts w:ascii="宋体" w:hAnsi="宋体" w:eastAsia="宋体"/>
                <w:sz w:val="16"/>
              </w:rPr>
              <w:t>打印报告耗材费（万元）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570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73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102B">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E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80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03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2DD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6B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90935">
            <w:pPr>
              <w:jc w:val="center"/>
            </w:pPr>
          </w:p>
        </w:tc>
      </w:tr>
      <w:tr w14:paraId="59CF5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42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4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7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5E19">
            <w:pPr>
              <w:jc w:val="center"/>
            </w:pPr>
            <w:r>
              <w:rPr>
                <w:rFonts w:ascii="宋体" w:hAnsi="宋体" w:eastAsia="宋体"/>
                <w:sz w:val="16"/>
              </w:rPr>
              <w:t>实验室安防器材更换（万元）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8FB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45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A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5A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1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C9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5DC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A0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5DFB">
            <w:pPr>
              <w:jc w:val="center"/>
            </w:pPr>
          </w:p>
        </w:tc>
      </w:tr>
      <w:tr w14:paraId="599FC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4D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64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1C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976C">
            <w:pPr>
              <w:jc w:val="center"/>
            </w:pPr>
            <w:r>
              <w:rPr>
                <w:rFonts w:ascii="宋体" w:hAnsi="宋体" w:eastAsia="宋体"/>
                <w:sz w:val="16"/>
              </w:rPr>
              <w:t>提高全民生活质量，保障消费者安全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70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C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D3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3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6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C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2B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61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AA08">
            <w:pPr>
              <w:jc w:val="center"/>
            </w:pPr>
          </w:p>
        </w:tc>
      </w:tr>
      <w:tr w14:paraId="21696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E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82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1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F704">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28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9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0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B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76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2BC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D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CE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1C4B">
            <w:pPr>
              <w:jc w:val="center"/>
            </w:pPr>
            <w:r>
              <w:rPr>
                <w:rFonts w:ascii="宋体" w:hAnsi="宋体" w:eastAsia="宋体"/>
                <w:sz w:val="16"/>
              </w:rPr>
              <w:t>偏差原因:受益人员对该项目基本满意；改进措施：严格按照实施方案实行</w:t>
            </w:r>
          </w:p>
        </w:tc>
      </w:tr>
      <w:tr w14:paraId="7E03C4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867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0B2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2A8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265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5244FC"/>
        </w:tc>
      </w:tr>
    </w:tbl>
    <w:p w14:paraId="15FFC726">
      <w:r>
        <w:br w:type="page"/>
      </w:r>
    </w:p>
    <w:p w14:paraId="50449EE0">
      <w:pPr>
        <w:spacing w:line="640" w:lineRule="exact"/>
        <w:ind w:firstLine="640"/>
        <w:jc w:val="both"/>
        <w:outlineLvl w:val="2"/>
      </w:pPr>
      <w:r>
        <w:rPr>
          <w:rFonts w:ascii="黑体" w:hAnsi="黑体" w:eastAsia="黑体"/>
          <w:sz w:val="32"/>
        </w:rPr>
        <w:t>十二、其他需说明的事项</w:t>
      </w:r>
    </w:p>
    <w:p w14:paraId="2134D955">
      <w:pPr>
        <w:spacing w:line="580" w:lineRule="exact"/>
        <w:ind w:firstLine="640"/>
        <w:jc w:val="both"/>
      </w:pPr>
      <w:r>
        <w:rPr>
          <w:rFonts w:ascii="仿宋_GB2312" w:hAnsi="仿宋_GB2312" w:eastAsia="仿宋_GB2312"/>
          <w:b w:val="0"/>
          <w:sz w:val="32"/>
        </w:rPr>
        <w:t>本单位无其他需说明的事项。</w:t>
      </w:r>
    </w:p>
    <w:p w14:paraId="756C4135">
      <w:r>
        <w:br w:type="page"/>
      </w:r>
    </w:p>
    <w:p w14:paraId="02CB1E21">
      <w:pPr>
        <w:spacing w:line="240" w:lineRule="auto"/>
        <w:jc w:val="center"/>
        <w:outlineLvl w:val="1"/>
      </w:pPr>
      <w:r>
        <w:rPr>
          <w:rFonts w:ascii="黑体" w:hAnsi="黑体" w:eastAsia="黑体"/>
          <w:sz w:val="32"/>
        </w:rPr>
        <w:t>第三部分 专业名词解释</w:t>
      </w:r>
    </w:p>
    <w:p w14:paraId="350A08E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0D82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9012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12EF9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2D8B0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979C7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0AB2A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44EF3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572B2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B7FC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0F5CE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5B34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EE2CD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2F22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E20943">
      <w:r>
        <w:br w:type="page"/>
      </w:r>
    </w:p>
    <w:p w14:paraId="17C1CA59">
      <w:pPr>
        <w:spacing w:line="240" w:lineRule="auto"/>
        <w:jc w:val="center"/>
        <w:outlineLvl w:val="1"/>
      </w:pPr>
      <w:r>
        <w:rPr>
          <w:rFonts w:ascii="黑体" w:hAnsi="黑体" w:eastAsia="黑体"/>
          <w:sz w:val="32"/>
        </w:rPr>
        <w:t>第四部分 部门决算报表（见附表）</w:t>
      </w:r>
    </w:p>
    <w:p w14:paraId="47A4B323">
      <w:pPr>
        <w:spacing w:line="240" w:lineRule="auto"/>
        <w:ind w:firstLine="640"/>
        <w:jc w:val="both"/>
      </w:pPr>
      <w:r>
        <w:rPr>
          <w:rFonts w:ascii="仿宋_GB2312" w:hAnsi="仿宋_GB2312" w:eastAsia="仿宋_GB2312"/>
          <w:b w:val="0"/>
          <w:sz w:val="32"/>
        </w:rPr>
        <w:t>一、《收入支出决算总表》</w:t>
      </w:r>
    </w:p>
    <w:p w14:paraId="2EBA0B43">
      <w:pPr>
        <w:spacing w:line="240" w:lineRule="auto"/>
        <w:ind w:firstLine="640"/>
        <w:jc w:val="both"/>
      </w:pPr>
      <w:r>
        <w:rPr>
          <w:rFonts w:ascii="仿宋_GB2312" w:hAnsi="仿宋_GB2312" w:eastAsia="仿宋_GB2312"/>
          <w:b w:val="0"/>
          <w:sz w:val="32"/>
        </w:rPr>
        <w:t>二、《收入决算表》</w:t>
      </w:r>
    </w:p>
    <w:p w14:paraId="29373C9E">
      <w:pPr>
        <w:spacing w:line="240" w:lineRule="auto"/>
        <w:ind w:firstLine="640"/>
        <w:jc w:val="both"/>
      </w:pPr>
      <w:r>
        <w:rPr>
          <w:rFonts w:ascii="仿宋_GB2312" w:hAnsi="仿宋_GB2312" w:eastAsia="仿宋_GB2312"/>
          <w:b w:val="0"/>
          <w:sz w:val="32"/>
        </w:rPr>
        <w:t>三、《支出决算表》</w:t>
      </w:r>
    </w:p>
    <w:p w14:paraId="1A2DAE00">
      <w:pPr>
        <w:spacing w:line="240" w:lineRule="auto"/>
        <w:ind w:firstLine="640"/>
        <w:jc w:val="both"/>
      </w:pPr>
      <w:r>
        <w:rPr>
          <w:rFonts w:ascii="仿宋_GB2312" w:hAnsi="仿宋_GB2312" w:eastAsia="仿宋_GB2312"/>
          <w:b w:val="0"/>
          <w:sz w:val="32"/>
        </w:rPr>
        <w:t>四、《财政拨款收入支出决算总表》</w:t>
      </w:r>
    </w:p>
    <w:p w14:paraId="125B41FA">
      <w:pPr>
        <w:spacing w:line="240" w:lineRule="auto"/>
        <w:ind w:firstLine="640"/>
        <w:jc w:val="both"/>
      </w:pPr>
      <w:r>
        <w:rPr>
          <w:rFonts w:ascii="仿宋_GB2312" w:hAnsi="仿宋_GB2312" w:eastAsia="仿宋_GB2312"/>
          <w:b w:val="0"/>
          <w:sz w:val="32"/>
        </w:rPr>
        <w:t>五、《一般公共预算财政拨款支出决算表》</w:t>
      </w:r>
    </w:p>
    <w:p w14:paraId="2CDCCAD7">
      <w:pPr>
        <w:spacing w:line="240" w:lineRule="auto"/>
        <w:ind w:firstLine="640"/>
        <w:jc w:val="both"/>
      </w:pPr>
      <w:r>
        <w:rPr>
          <w:rFonts w:ascii="仿宋_GB2312" w:hAnsi="仿宋_GB2312" w:eastAsia="仿宋_GB2312"/>
          <w:b w:val="0"/>
          <w:sz w:val="32"/>
        </w:rPr>
        <w:t>六、《一般公共预算财政拨款基本支出决算表》</w:t>
      </w:r>
    </w:p>
    <w:p w14:paraId="0F3508A4">
      <w:pPr>
        <w:spacing w:line="240" w:lineRule="auto"/>
        <w:ind w:firstLine="640"/>
        <w:jc w:val="both"/>
      </w:pPr>
      <w:r>
        <w:rPr>
          <w:rFonts w:ascii="仿宋_GB2312" w:hAnsi="仿宋_GB2312" w:eastAsia="仿宋_GB2312"/>
          <w:b w:val="0"/>
          <w:sz w:val="32"/>
        </w:rPr>
        <w:t>七、《政府性基金预算财政拨款收入支出决算表》</w:t>
      </w:r>
    </w:p>
    <w:p w14:paraId="2E17879F">
      <w:pPr>
        <w:spacing w:line="240" w:lineRule="auto"/>
        <w:ind w:firstLine="640"/>
        <w:jc w:val="both"/>
      </w:pPr>
      <w:r>
        <w:rPr>
          <w:rFonts w:ascii="仿宋_GB2312" w:hAnsi="仿宋_GB2312" w:eastAsia="仿宋_GB2312"/>
          <w:b w:val="0"/>
          <w:sz w:val="32"/>
        </w:rPr>
        <w:t>八、《国有资本经营预算财政拨款收入支出决算表》</w:t>
      </w:r>
    </w:p>
    <w:p w14:paraId="126120BF">
      <w:pPr>
        <w:spacing w:line="240" w:lineRule="auto"/>
        <w:ind w:firstLine="640"/>
        <w:jc w:val="both"/>
      </w:pPr>
      <w:r>
        <w:rPr>
          <w:rFonts w:ascii="仿宋_GB2312" w:hAnsi="仿宋_GB2312" w:eastAsia="仿宋_GB2312"/>
          <w:b w:val="0"/>
          <w:sz w:val="32"/>
        </w:rPr>
        <w:t>九、《财政拨款“三公”经费支出决算表》</w:t>
      </w:r>
    </w:p>
    <w:p w14:paraId="7D6CFCDC">
      <w:pPr>
        <w:spacing w:line="240" w:lineRule="auto"/>
        <w:ind w:firstLine="640"/>
        <w:jc w:val="both"/>
      </w:pPr>
    </w:p>
    <w:p w14:paraId="2380D5CE">
      <w:pPr>
        <w:spacing w:line="240" w:lineRule="auto"/>
        <w:ind w:firstLine="640"/>
        <w:jc w:val="both"/>
      </w:pPr>
    </w:p>
    <w:p w14:paraId="0663D727">
      <w:pPr>
        <w:spacing w:line="240" w:lineRule="auto"/>
        <w:ind w:firstLine="640"/>
        <w:jc w:val="both"/>
      </w:pPr>
    </w:p>
    <w:p w14:paraId="5BE66ED3">
      <w:pPr>
        <w:spacing w:line="240" w:lineRule="auto"/>
        <w:ind w:firstLine="640"/>
        <w:jc w:val="both"/>
      </w:pPr>
    </w:p>
    <w:p w14:paraId="13DE12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714D5"/>
    <w:rsid w:val="0B8C3ECC"/>
    <w:rsid w:val="0C3613A3"/>
    <w:rsid w:val="0C7227A7"/>
    <w:rsid w:val="0DCA6EF7"/>
    <w:rsid w:val="0E4B1576"/>
    <w:rsid w:val="0EA04331"/>
    <w:rsid w:val="0F9811B3"/>
    <w:rsid w:val="11E15093"/>
    <w:rsid w:val="120E0809"/>
    <w:rsid w:val="18782F0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8E396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5E5539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4986</Words>
  <Characters>5704</Characters>
  <Lines>0</Lines>
  <Paragraphs>0</Paragraphs>
  <TotalTime>9</TotalTime>
  <ScaleCrop>false</ScaleCrop>
  <LinksUpToDate>false</LinksUpToDate>
  <CharactersWithSpaces>5713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2025-10-09T03:49:02Z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